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B7B7A">
      <w:pPr>
        <w:pStyle w:val="7"/>
        <w:rPr>
          <w:rFonts w:hint="eastAsia" w:ascii="宋体" w:hAnsi="宋体"/>
          <w:sz w:val="36"/>
        </w:rPr>
      </w:pPr>
      <w:bookmarkStart w:id="0" w:name="_Toc38367762"/>
      <w:r>
        <w:rPr>
          <w:rFonts w:hint="eastAsia" w:ascii="宋体" w:hAnsi="宋体"/>
          <w:sz w:val="36"/>
        </w:rPr>
        <w:t>无线多通道脑电采集分析系统</w:t>
      </w:r>
      <w:r>
        <w:rPr>
          <w:rFonts w:ascii="宋体" w:hAnsi="宋体"/>
          <w:sz w:val="36"/>
        </w:rPr>
        <w:t>采购需求</w:t>
      </w:r>
      <w:bookmarkEnd w:id="0"/>
    </w:p>
    <w:p w14:paraId="5D3CBBCC">
      <w:pPr>
        <w:tabs>
          <w:tab w:val="left" w:pos="900"/>
        </w:tabs>
        <w:spacing w:before="156" w:beforeLines="50" w:line="360" w:lineRule="auto"/>
        <w:rPr>
          <w:b/>
          <w:szCs w:val="21"/>
        </w:rPr>
      </w:pPr>
      <w:bookmarkStart w:id="1" w:name="_Toc158978330"/>
      <w:bookmarkStart w:id="2" w:name="_Toc219271393"/>
      <w:bookmarkStart w:id="3" w:name="_Toc172360661"/>
      <w:r>
        <w:rPr>
          <w:rFonts w:hint="eastAsia" w:hAnsi="宋体"/>
          <w:b/>
          <w:szCs w:val="21"/>
        </w:rPr>
        <w:t>一、</w:t>
      </w:r>
      <w:r>
        <w:rPr>
          <w:rFonts w:hAnsi="宋体"/>
          <w:b/>
          <w:szCs w:val="21"/>
        </w:rPr>
        <w:t>采购</w:t>
      </w:r>
      <w:r>
        <w:rPr>
          <w:rFonts w:hint="eastAsia" w:hAnsi="宋体"/>
          <w:b/>
          <w:szCs w:val="21"/>
        </w:rPr>
        <w:t>标的</w:t>
      </w:r>
      <w:r>
        <w:rPr>
          <w:rFonts w:hAnsi="宋体"/>
          <w:b/>
          <w:szCs w:val="21"/>
        </w:rPr>
        <w:t>需实现的功能或者目标，以及为落实政府采购政策需满足的要求：</w:t>
      </w:r>
    </w:p>
    <w:p w14:paraId="7DFD66A2">
      <w:pPr>
        <w:tabs>
          <w:tab w:val="left" w:pos="900"/>
        </w:tabs>
        <w:spacing w:before="156" w:beforeLines="50" w:line="360" w:lineRule="auto"/>
        <w:rPr>
          <w:b/>
          <w:szCs w:val="21"/>
        </w:rPr>
      </w:pPr>
      <w:r>
        <w:rPr>
          <w:rFonts w:hAnsi="宋体"/>
          <w:b/>
          <w:szCs w:val="21"/>
        </w:rPr>
        <w:t>（一）采购</w:t>
      </w:r>
      <w:r>
        <w:rPr>
          <w:rFonts w:hint="eastAsia" w:hAnsi="宋体"/>
          <w:b/>
          <w:szCs w:val="21"/>
        </w:rPr>
        <w:t>标的</w:t>
      </w:r>
      <w:r>
        <w:rPr>
          <w:rFonts w:hAnsi="宋体"/>
          <w:b/>
          <w:szCs w:val="21"/>
        </w:rPr>
        <w:t>需实现的功能或者目标</w:t>
      </w:r>
    </w:p>
    <w:p w14:paraId="39C4A493">
      <w:pPr>
        <w:autoSpaceDE w:val="0"/>
        <w:autoSpaceDN w:val="0"/>
        <w:adjustRightInd w:val="0"/>
        <w:spacing w:before="50" w:line="360" w:lineRule="auto"/>
        <w:ind w:firstLine="420" w:firstLineChars="200"/>
        <w:rPr>
          <w:rFonts w:hint="eastAsia" w:ascii="宋体" w:hAnsi="宋体"/>
          <w:szCs w:val="21"/>
        </w:rPr>
      </w:pPr>
      <w:r>
        <w:rPr>
          <w:rFonts w:hint="eastAsia" w:ascii="宋体" w:hAnsi="宋体"/>
          <w:szCs w:val="21"/>
        </w:rPr>
        <w:t>本项目采购多套无线多通道脑电采集分析系统，用于脑机接口、人机交互研究，具备测量微弱的人体脑电信号及其在不同状态或和环境下的变化，解码认知意图的功能。本次采购</w:t>
      </w:r>
      <w:r>
        <w:rPr>
          <w:rFonts w:ascii="宋体" w:hAnsi="宋体"/>
          <w:szCs w:val="21"/>
        </w:rPr>
        <w:t>核心目标是构建一个服务于认知计算研究与应用的集成化</w:t>
      </w:r>
      <w:r>
        <w:rPr>
          <w:rFonts w:hint="eastAsia" w:ascii="宋体" w:hAnsi="宋体"/>
          <w:szCs w:val="21"/>
        </w:rPr>
        <w:t>研究</w:t>
      </w:r>
      <w:r>
        <w:rPr>
          <w:rFonts w:ascii="宋体" w:hAnsi="宋体"/>
          <w:szCs w:val="21"/>
        </w:rPr>
        <w:t>平台</w:t>
      </w:r>
      <w:r>
        <w:rPr>
          <w:rFonts w:hint="eastAsia" w:ascii="宋体" w:hAnsi="宋体"/>
          <w:szCs w:val="21"/>
        </w:rPr>
        <w:t>，</w:t>
      </w:r>
      <w:r>
        <w:rPr>
          <w:rFonts w:ascii="宋体" w:hAnsi="宋体"/>
          <w:szCs w:val="21"/>
        </w:rPr>
        <w:t>该系统需具备高通道数、高采样率及低噪声的采集能力，以获取反映</w:t>
      </w:r>
      <w:r>
        <w:rPr>
          <w:rFonts w:hint="eastAsia" w:ascii="宋体" w:hAnsi="宋体"/>
          <w:szCs w:val="21"/>
        </w:rPr>
        <w:t>视觉</w:t>
      </w:r>
      <w:r>
        <w:rPr>
          <w:rFonts w:ascii="宋体" w:hAnsi="宋体"/>
          <w:szCs w:val="21"/>
        </w:rPr>
        <w:t>、记忆、</w:t>
      </w:r>
      <w:r>
        <w:rPr>
          <w:rFonts w:hint="eastAsia" w:ascii="宋体" w:hAnsi="宋体"/>
          <w:szCs w:val="21"/>
        </w:rPr>
        <w:t>情绪变化</w:t>
      </w:r>
      <w:r>
        <w:rPr>
          <w:rFonts w:ascii="宋体" w:hAnsi="宋体"/>
          <w:szCs w:val="21"/>
        </w:rPr>
        <w:t>等认知过程的高质量脑电数据，为认知计算模型提供训练和验证的“数据燃料”。同时，</w:t>
      </w:r>
      <w:r>
        <w:rPr>
          <w:rFonts w:hint="eastAsia" w:ascii="宋体" w:hAnsi="宋体"/>
          <w:szCs w:val="21"/>
        </w:rPr>
        <w:t>采购多套设备可以实现多人同步采集，用于研究认知计算任务下，不同个体间的实时信息交互，</w:t>
      </w:r>
      <w:r>
        <w:rPr>
          <w:rFonts w:ascii="宋体" w:hAnsi="宋体"/>
          <w:szCs w:val="21"/>
        </w:rPr>
        <w:t>其</w:t>
      </w:r>
      <w:r>
        <w:rPr>
          <w:rFonts w:hint="eastAsia" w:ascii="宋体" w:hAnsi="宋体"/>
          <w:szCs w:val="21"/>
        </w:rPr>
        <w:t>小体积、长续航的无线</w:t>
      </w:r>
      <w:r>
        <w:rPr>
          <w:rFonts w:ascii="宋体" w:hAnsi="宋体"/>
          <w:szCs w:val="21"/>
        </w:rPr>
        <w:t>便携性支持自然情境下的实验范式，确保数据的生态效度。系统</w:t>
      </w:r>
      <w:r>
        <w:rPr>
          <w:rFonts w:hint="eastAsia" w:ascii="宋体" w:hAnsi="宋体"/>
          <w:szCs w:val="21"/>
        </w:rPr>
        <w:t>需要</w:t>
      </w:r>
      <w:r>
        <w:rPr>
          <w:rFonts w:ascii="宋体" w:hAnsi="宋体"/>
          <w:szCs w:val="21"/>
        </w:rPr>
        <w:t>提供实时数据处理与开放API接口，能对脑信号进行</w:t>
      </w:r>
      <w:r>
        <w:rPr>
          <w:rFonts w:hint="eastAsia" w:ascii="宋体" w:hAnsi="宋体"/>
          <w:szCs w:val="21"/>
        </w:rPr>
        <w:t>实时获取和批量预处理</w:t>
      </w:r>
      <w:r>
        <w:rPr>
          <w:rFonts w:ascii="宋体" w:hAnsi="宋体"/>
          <w:szCs w:val="21"/>
        </w:rPr>
        <w:t>。</w:t>
      </w:r>
    </w:p>
    <w:p w14:paraId="7236454C">
      <w:pPr>
        <w:tabs>
          <w:tab w:val="left" w:pos="900"/>
        </w:tabs>
        <w:spacing w:before="156" w:beforeLines="50" w:line="360" w:lineRule="auto"/>
        <w:rPr>
          <w:b/>
          <w:szCs w:val="21"/>
        </w:rPr>
      </w:pPr>
      <w:r>
        <w:rPr>
          <w:rFonts w:hAnsi="宋体"/>
          <w:b/>
          <w:szCs w:val="21"/>
        </w:rPr>
        <w:t>（二）为落实政府采购政策需满足的要求</w:t>
      </w:r>
    </w:p>
    <w:p w14:paraId="270D6BAC">
      <w:pPr>
        <w:tabs>
          <w:tab w:val="left" w:pos="900"/>
        </w:tabs>
        <w:spacing w:line="360" w:lineRule="auto"/>
        <w:ind w:left="420"/>
        <w:rPr>
          <w:rFonts w:hint="eastAsia" w:hAnsi="宋体"/>
          <w:szCs w:val="21"/>
        </w:rPr>
      </w:pPr>
      <w:r>
        <w:rPr>
          <w:rFonts w:hint="eastAsia" w:hAnsi="宋体"/>
          <w:szCs w:val="24"/>
        </w:rPr>
        <w:t>1</w:t>
      </w:r>
      <w:r>
        <w:rPr>
          <w:rFonts w:hAnsi="宋体"/>
          <w:szCs w:val="24"/>
        </w:rPr>
        <w:t>.根据</w:t>
      </w:r>
      <w:r>
        <w:rPr>
          <w:rFonts w:hAnsi="宋体"/>
        </w:rPr>
        <w:t>《政府采购促进中小企业发展管理办法》</w:t>
      </w:r>
      <w:r>
        <w:rPr>
          <w:rFonts w:hint="eastAsia" w:hAnsi="宋体"/>
        </w:rPr>
        <w:t>（财库【2</w:t>
      </w:r>
      <w:r>
        <w:rPr>
          <w:rFonts w:hAnsi="宋体"/>
        </w:rPr>
        <w:t>020</w:t>
      </w:r>
      <w:r>
        <w:rPr>
          <w:rFonts w:hint="eastAsia" w:hAnsi="宋体"/>
        </w:rPr>
        <w:t>】4</w:t>
      </w:r>
      <w:r>
        <w:rPr>
          <w:rFonts w:hAnsi="宋体"/>
        </w:rPr>
        <w:t>6</w:t>
      </w:r>
      <w:r>
        <w:rPr>
          <w:rFonts w:hint="eastAsia" w:hAnsi="宋体"/>
        </w:rPr>
        <w:t>号）</w:t>
      </w:r>
      <w:r>
        <w:rPr>
          <w:rFonts w:hAnsi="宋体"/>
        </w:rPr>
        <w:t>规定，本项目</w:t>
      </w:r>
      <w:r>
        <w:rPr>
          <w:rFonts w:hint="eastAsia" w:hAnsi="宋体"/>
        </w:rPr>
        <w:t>采购标的</w:t>
      </w:r>
      <w:r>
        <w:rPr>
          <w:rFonts w:hAnsi="宋体"/>
        </w:rPr>
        <w:t>为</w:t>
      </w:r>
      <w:r>
        <w:rPr>
          <w:rFonts w:hint="eastAsia" w:hAnsi="宋体"/>
        </w:rPr>
        <w:t>中小</w:t>
      </w:r>
      <w:r>
        <w:rPr>
          <w:rFonts w:hAnsi="宋体"/>
        </w:rPr>
        <w:t>型企业</w:t>
      </w:r>
      <w:r>
        <w:rPr>
          <w:rFonts w:hint="eastAsia" w:hAnsi="宋体"/>
        </w:rPr>
        <w:t>制造、承建或承接</w:t>
      </w:r>
      <w:r>
        <w:rPr>
          <w:rFonts w:hAnsi="宋体"/>
          <w:szCs w:val="24"/>
        </w:rPr>
        <w:t>的，</w:t>
      </w:r>
      <w:r>
        <w:rPr>
          <w:rFonts w:hAnsi="宋体"/>
        </w:rPr>
        <w:t>投标人应</w:t>
      </w:r>
      <w:r>
        <w:rPr>
          <w:rFonts w:hint="eastAsia" w:hAnsi="宋体"/>
        </w:rPr>
        <w:t>提供办法规定的</w:t>
      </w:r>
      <w:r>
        <w:rPr>
          <w:rFonts w:hAnsi="宋体"/>
          <w:szCs w:val="21"/>
        </w:rPr>
        <w:t>《中小企业声明函》</w:t>
      </w:r>
      <w:r>
        <w:rPr>
          <w:rFonts w:hint="eastAsia" w:hAnsi="宋体"/>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14:paraId="48E87116">
      <w:pPr>
        <w:tabs>
          <w:tab w:val="left" w:pos="900"/>
        </w:tabs>
        <w:spacing w:line="360" w:lineRule="auto"/>
        <w:ind w:left="420"/>
        <w:rPr>
          <w:rFonts w:hint="eastAsia" w:hAnsi="宋体"/>
          <w:color w:val="FF0000"/>
          <w:szCs w:val="24"/>
        </w:rPr>
      </w:pPr>
      <w:r>
        <w:rPr>
          <w:rFonts w:hint="eastAsia" w:hAnsi="宋体"/>
          <w:szCs w:val="24"/>
        </w:rPr>
        <w:t>本项目采购标的对应的《中小企业划型标准规定》所属行业为：</w:t>
      </w:r>
      <w:r>
        <w:rPr>
          <w:rFonts w:hint="eastAsia" w:hAnsi="宋体"/>
          <w:szCs w:val="24"/>
          <w:u w:val="single"/>
        </w:rPr>
        <w:t xml:space="preserve"> </w:t>
      </w:r>
      <w:r>
        <w:rPr>
          <w:rFonts w:hAnsi="宋体"/>
          <w:szCs w:val="24"/>
          <w:u w:val="single"/>
        </w:rPr>
        <w:t xml:space="preserve"> </w:t>
      </w:r>
      <w:r>
        <w:rPr>
          <w:rFonts w:hint="eastAsia" w:hAnsi="宋体"/>
          <w:szCs w:val="24"/>
          <w:u w:val="single"/>
        </w:rPr>
        <w:t>工业</w:t>
      </w:r>
      <w:r>
        <w:rPr>
          <w:rFonts w:hAnsi="宋体"/>
          <w:szCs w:val="24"/>
          <w:u w:val="single"/>
        </w:rPr>
        <w:t xml:space="preserve">     </w:t>
      </w:r>
      <w:r>
        <w:rPr>
          <w:rFonts w:hint="eastAsia" w:hAnsi="宋体"/>
          <w:szCs w:val="24"/>
        </w:rPr>
        <w:t>。</w:t>
      </w:r>
    </w:p>
    <w:p w14:paraId="18473D66">
      <w:pPr>
        <w:tabs>
          <w:tab w:val="left" w:pos="900"/>
        </w:tabs>
        <w:spacing w:line="360" w:lineRule="auto"/>
        <w:ind w:left="420"/>
        <w:rPr>
          <w:rFonts w:hint="eastAsia" w:cs="宋体" w:asciiTheme="minorEastAsia" w:hAnsiTheme="minorEastAsia"/>
          <w:b/>
          <w:color w:val="000000"/>
          <w:kern w:val="0"/>
          <w:sz w:val="20"/>
          <w:szCs w:val="21"/>
        </w:rPr>
      </w:pPr>
      <w:r>
        <w:rPr>
          <w:rFonts w:hint="eastAsia" w:hAnsi="宋体"/>
          <w:szCs w:val="24"/>
        </w:rPr>
        <w:t>2</w:t>
      </w:r>
      <w:r>
        <w:rPr>
          <w:rFonts w:hAnsi="宋体"/>
          <w:szCs w:val="24"/>
        </w:rPr>
        <w:t>.</w:t>
      </w:r>
      <w:r>
        <w:rPr>
          <w:rFonts w:hint="eastAsia" w:cs="宋体" w:asciiTheme="minorEastAsia" w:hAnsiTheme="minorEastAsia"/>
          <w:color w:val="000000"/>
          <w:kern w:val="0"/>
          <w:sz w:val="20"/>
          <w:szCs w:val="21"/>
        </w:rPr>
        <w:t xml:space="preserve"> </w:t>
      </w:r>
      <w:r>
        <w:rPr>
          <w:rFonts w:hint="eastAsia" w:cs="宋体" w:asciiTheme="minorEastAsia" w:hAnsiTheme="minorEastAsia"/>
          <w:b/>
          <w:color w:val="000000"/>
          <w:kern w:val="0"/>
          <w:sz w:val="20"/>
          <w:szCs w:val="21"/>
        </w:rPr>
        <w:t>□ 本采购项目允许进口产品参加。</w:t>
      </w:r>
    </w:p>
    <w:p w14:paraId="000B34D2">
      <w:pPr>
        <w:tabs>
          <w:tab w:val="left" w:pos="900"/>
        </w:tabs>
        <w:spacing w:line="360" w:lineRule="auto"/>
        <w:ind w:left="420" w:firstLine="201" w:firstLineChars="100"/>
        <w:rPr>
          <w:rFonts w:hint="eastAsia" w:cs="宋体" w:asciiTheme="minorEastAsia" w:hAnsiTheme="minorEastAsia"/>
          <w:b/>
          <w:color w:val="000000"/>
          <w:kern w:val="0"/>
          <w:sz w:val="20"/>
          <w:szCs w:val="21"/>
        </w:rPr>
      </w:pPr>
      <w:r>
        <w:rPr>
          <w:rFonts w:hint="eastAsia" w:cs="宋体" w:asciiTheme="minorEastAsia" w:hAnsiTheme="minorEastAsia"/>
          <w:b/>
          <w:color w:val="000000"/>
          <w:kern w:val="0"/>
          <w:sz w:val="20"/>
          <w:szCs w:val="21"/>
        </w:rPr>
        <w:t>（说明：请项目单位根据采购实际情况在“□”中打勾（</w:t>
      </w:r>
      <w:r>
        <w:rPr>
          <w:rFonts w:hint="eastAsia" w:cs="宋体" w:asciiTheme="minorEastAsia" w:hAnsiTheme="minorEastAsia"/>
          <w:b/>
          <w:color w:val="000000"/>
          <w:kern w:val="0"/>
          <w:sz w:val="24"/>
          <w:szCs w:val="24"/>
        </w:rPr>
        <w:sym w:font="Wingdings 2" w:char="F052"/>
      </w:r>
      <w:r>
        <w:rPr>
          <w:rFonts w:hint="eastAsia" w:cs="宋体" w:asciiTheme="minorEastAsia" w:hAnsiTheme="minorEastAsia"/>
          <w:b/>
          <w:color w:val="000000"/>
          <w:kern w:val="0"/>
          <w:sz w:val="24"/>
          <w:szCs w:val="24"/>
        </w:rPr>
        <w:t>）</w:t>
      </w:r>
      <w:r>
        <w:rPr>
          <w:rFonts w:hint="eastAsia" w:cs="宋体" w:asciiTheme="minorEastAsia" w:hAnsiTheme="minorEastAsia"/>
          <w:b/>
          <w:color w:val="000000"/>
          <w:kern w:val="0"/>
          <w:sz w:val="20"/>
          <w:szCs w:val="21"/>
        </w:rPr>
        <w:t>。未进行勾选的，视为只接受本国产品参加）</w:t>
      </w:r>
    </w:p>
    <w:p w14:paraId="21DECE5B">
      <w:pPr>
        <w:tabs>
          <w:tab w:val="left" w:pos="900"/>
        </w:tabs>
        <w:spacing w:before="156" w:beforeLines="50" w:line="360" w:lineRule="auto"/>
        <w:rPr>
          <w:rFonts w:hint="eastAsia" w:hAnsi="宋体"/>
          <w:b/>
          <w:szCs w:val="21"/>
        </w:rPr>
      </w:pPr>
      <w:r>
        <w:rPr>
          <w:rFonts w:hint="eastAsia" w:hAnsi="宋体"/>
          <w:b/>
          <w:szCs w:val="21"/>
        </w:rPr>
        <w:t>二、</w:t>
      </w:r>
      <w:r>
        <w:rPr>
          <w:rFonts w:hAnsi="宋体"/>
          <w:b/>
          <w:szCs w:val="21"/>
        </w:rPr>
        <w:t>采购</w:t>
      </w:r>
      <w:r>
        <w:rPr>
          <w:rFonts w:hint="eastAsia" w:hAnsi="宋体"/>
          <w:b/>
          <w:szCs w:val="21"/>
        </w:rPr>
        <w:t>标的</w:t>
      </w:r>
      <w:r>
        <w:rPr>
          <w:rFonts w:hAnsi="宋体"/>
          <w:b/>
          <w:szCs w:val="21"/>
        </w:rPr>
        <w:t>需执行的国家相关标准、行业标准、地方标准或者其他标准、规范：</w:t>
      </w:r>
    </w:p>
    <w:p w14:paraId="24BE7278">
      <w:pPr>
        <w:tabs>
          <w:tab w:val="left" w:pos="900"/>
        </w:tabs>
        <w:spacing w:before="156" w:beforeLines="50" w:line="360" w:lineRule="auto"/>
        <w:ind w:firstLine="420" w:firstLineChars="200"/>
        <w:rPr>
          <w:color w:val="FF0000"/>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393A2D00">
      <w:pPr>
        <w:tabs>
          <w:tab w:val="left" w:pos="900"/>
        </w:tabs>
        <w:spacing w:before="156" w:beforeLines="50" w:line="360" w:lineRule="auto"/>
        <w:rPr>
          <w:rFonts w:hint="eastAsia" w:hAnsi="宋体"/>
          <w:b/>
          <w:szCs w:val="21"/>
        </w:rPr>
      </w:pPr>
      <w:r>
        <w:rPr>
          <w:rFonts w:hint="eastAsia" w:hAnsi="宋体"/>
          <w:b/>
          <w:szCs w:val="21"/>
        </w:rPr>
        <w:t>三、采购标的概况</w:t>
      </w:r>
    </w:p>
    <w:p w14:paraId="07DD36D0">
      <w:pPr>
        <w:spacing w:before="156" w:beforeLines="50" w:line="360" w:lineRule="auto"/>
        <w:rPr>
          <w:rFonts w:hint="eastAsia" w:hAnsi="宋体"/>
          <w:szCs w:val="21"/>
        </w:rPr>
      </w:pPr>
      <w:r>
        <w:rPr>
          <w:rFonts w:hint="eastAsia" w:ascii="宋体" w:hAnsi="宋体"/>
          <w:szCs w:val="21"/>
        </w:rPr>
        <w:t>（一）采购项目名称：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无线多通道脑电采集分析系统</w:t>
      </w:r>
      <w:r>
        <w:rPr>
          <w:rFonts w:ascii="宋体" w:hAnsi="宋体"/>
          <w:szCs w:val="21"/>
          <w:u w:val="single"/>
        </w:rPr>
        <w:t xml:space="preserve">      </w:t>
      </w:r>
      <w:r>
        <w:rPr>
          <w:rFonts w:hAnsi="宋体"/>
          <w:szCs w:val="21"/>
        </w:rPr>
        <w:t xml:space="preserve">   </w:t>
      </w:r>
    </w:p>
    <w:p w14:paraId="4C8C8CEC">
      <w:pPr>
        <w:spacing w:before="156" w:beforeLines="50" w:line="360" w:lineRule="auto"/>
        <w:rPr>
          <w:rFonts w:hint="eastAsia" w:hAnsi="宋体"/>
          <w:szCs w:val="21"/>
          <w:u w:val="single"/>
        </w:rPr>
      </w:pPr>
      <w:r>
        <w:rPr>
          <w:rFonts w:hint="eastAsia" w:hAnsi="宋体"/>
          <w:szCs w:val="21"/>
        </w:rPr>
        <w:t>（二）采购数量及计量单位：</w:t>
      </w:r>
      <w:r>
        <w:rPr>
          <w:rFonts w:hAnsi="宋体"/>
          <w:szCs w:val="21"/>
          <w:u w:val="single"/>
        </w:rPr>
        <w:t xml:space="preserve">   </w:t>
      </w:r>
      <w:r>
        <w:rPr>
          <w:rFonts w:hint="eastAsia" w:hAnsi="宋体"/>
          <w:szCs w:val="21"/>
          <w:u w:val="single"/>
        </w:rPr>
        <w:t>5套</w:t>
      </w:r>
      <w:r>
        <w:rPr>
          <w:rFonts w:hAnsi="宋体"/>
          <w:szCs w:val="21"/>
          <w:u w:val="single"/>
        </w:rPr>
        <w:t xml:space="preserve">      </w:t>
      </w:r>
    </w:p>
    <w:p w14:paraId="47071EE3">
      <w:pPr>
        <w:spacing w:before="156" w:beforeLines="50" w:line="360" w:lineRule="auto"/>
        <w:rPr>
          <w:rFonts w:hint="eastAsia" w:hAnsi="宋体"/>
          <w:szCs w:val="21"/>
        </w:rPr>
      </w:pPr>
      <w:r>
        <w:rPr>
          <w:rFonts w:hint="eastAsia" w:hAnsi="宋体"/>
          <w:szCs w:val="21"/>
        </w:rPr>
        <w:t>（三）最高限价：人民币</w:t>
      </w:r>
      <w:r>
        <w:rPr>
          <w:rFonts w:hint="eastAsia" w:hAnsi="宋体"/>
          <w:szCs w:val="21"/>
          <w:u w:val="single"/>
        </w:rPr>
        <w:t xml:space="preserve"> </w:t>
      </w:r>
      <w:r>
        <w:rPr>
          <w:rFonts w:hAnsi="宋体"/>
          <w:szCs w:val="21"/>
          <w:u w:val="single"/>
        </w:rPr>
        <w:t xml:space="preserve">   </w:t>
      </w:r>
      <w:r>
        <w:rPr>
          <w:rFonts w:hint="eastAsia" w:hAnsi="宋体"/>
          <w:szCs w:val="21"/>
          <w:u w:val="single"/>
        </w:rPr>
        <w:t>998000</w:t>
      </w:r>
      <w:r>
        <w:rPr>
          <w:rFonts w:hAnsi="宋体"/>
          <w:szCs w:val="21"/>
          <w:u w:val="single"/>
        </w:rPr>
        <w:t xml:space="preserve">     </w:t>
      </w:r>
      <w:r>
        <w:rPr>
          <w:rFonts w:hAnsi="宋体"/>
          <w:szCs w:val="21"/>
        </w:rPr>
        <w:t xml:space="preserve"> </w:t>
      </w:r>
      <w:r>
        <w:rPr>
          <w:rFonts w:hint="eastAsia" w:hAnsi="宋体"/>
          <w:szCs w:val="21"/>
        </w:rPr>
        <w:t>元。</w:t>
      </w:r>
    </w:p>
    <w:p w14:paraId="7738CC8B">
      <w:pPr>
        <w:spacing w:before="156" w:beforeLines="50" w:line="360" w:lineRule="auto"/>
        <w:rPr>
          <w:szCs w:val="21"/>
        </w:rPr>
      </w:pPr>
      <w:r>
        <w:rPr>
          <w:rFonts w:hint="eastAsia" w:hAnsi="宋体"/>
          <w:szCs w:val="21"/>
        </w:rPr>
        <w:t>（四）</w:t>
      </w:r>
      <w:r>
        <w:rPr>
          <w:rFonts w:hAnsi="宋体"/>
          <w:szCs w:val="21"/>
        </w:rPr>
        <w:t>交付时间：</w:t>
      </w:r>
      <w:r>
        <w:rPr>
          <w:rFonts w:hAnsi="宋体"/>
        </w:rPr>
        <w:t>合同签订后</w:t>
      </w:r>
      <w:r>
        <w:rPr>
          <w:rFonts w:hAnsi="宋体"/>
          <w:u w:val="single"/>
        </w:rPr>
        <w:t xml:space="preserve">  </w:t>
      </w:r>
      <w:r>
        <w:rPr>
          <w:rFonts w:hint="eastAsia" w:hAnsi="宋体"/>
          <w:u w:val="single"/>
        </w:rPr>
        <w:t>30</w:t>
      </w:r>
      <w:r>
        <w:rPr>
          <w:rFonts w:hAnsi="宋体"/>
          <w:u w:val="single"/>
        </w:rPr>
        <w:t xml:space="preserve">  </w:t>
      </w:r>
      <w:r>
        <w:rPr>
          <w:rFonts w:hint="eastAsia" w:hAnsi="宋体"/>
        </w:rPr>
        <w:t>天内。</w:t>
      </w:r>
    </w:p>
    <w:p w14:paraId="590BE7C8">
      <w:pPr>
        <w:tabs>
          <w:tab w:val="left" w:pos="900"/>
        </w:tabs>
        <w:spacing w:before="156" w:beforeLines="50" w:line="360" w:lineRule="auto"/>
        <w:rPr>
          <w:rFonts w:hint="eastAsia" w:hAnsi="宋体"/>
          <w:szCs w:val="21"/>
        </w:rPr>
      </w:pPr>
      <w:r>
        <w:rPr>
          <w:rFonts w:hint="eastAsia" w:hAnsi="宋体"/>
          <w:szCs w:val="21"/>
        </w:rPr>
        <w:t>（五）</w:t>
      </w:r>
      <w:r>
        <w:rPr>
          <w:rFonts w:hAnsi="宋体"/>
          <w:szCs w:val="21"/>
        </w:rPr>
        <w:t>交付地点：</w:t>
      </w:r>
      <w:r>
        <w:rPr>
          <w:rFonts w:hint="eastAsia" w:hAnsi="宋体"/>
          <w:szCs w:val="21"/>
          <w:u w:val="single"/>
        </w:rPr>
        <w:t xml:space="preserve"> 西安市碑林区咸宁西路28号西安交通大学科学馆三楼 </w:t>
      </w:r>
      <w:r>
        <w:rPr>
          <w:rFonts w:hAnsi="宋体"/>
          <w:szCs w:val="21"/>
          <w:u w:val="single"/>
        </w:rPr>
        <w:t xml:space="preserve">  </w:t>
      </w:r>
      <w:r>
        <w:rPr>
          <w:rFonts w:hint="eastAsia" w:hAnsi="宋体"/>
          <w:szCs w:val="21"/>
        </w:rPr>
        <w:t>。</w:t>
      </w:r>
    </w:p>
    <w:p w14:paraId="38C7C417">
      <w:pPr>
        <w:tabs>
          <w:tab w:val="left" w:pos="900"/>
        </w:tabs>
        <w:spacing w:before="156" w:beforeLines="50" w:line="360" w:lineRule="auto"/>
        <w:rPr>
          <w:rFonts w:hint="eastAsia" w:hAnsi="宋体"/>
          <w:szCs w:val="21"/>
        </w:rPr>
      </w:pPr>
      <w:r>
        <w:rPr>
          <w:rFonts w:hint="eastAsia" w:hAnsi="宋体"/>
          <w:szCs w:val="21"/>
        </w:rPr>
        <w:t>（六）付款进度安排：</w:t>
      </w:r>
      <w:r>
        <w:rPr>
          <w:rFonts w:hint="eastAsia" w:hAnsi="宋体"/>
          <w:szCs w:val="21"/>
          <w:u w:val="single"/>
        </w:rPr>
        <w:t xml:space="preserve"> 到货验收合格后付款</w:t>
      </w:r>
      <w:r>
        <w:rPr>
          <w:rFonts w:hAnsi="宋体"/>
          <w:szCs w:val="21"/>
          <w:u w:val="single"/>
        </w:rPr>
        <w:t xml:space="preserve">          </w:t>
      </w:r>
      <w:r>
        <w:rPr>
          <w:rFonts w:hint="eastAsia" w:hAnsi="宋体"/>
          <w:szCs w:val="21"/>
        </w:rPr>
        <w:t>。</w:t>
      </w:r>
    </w:p>
    <w:p w14:paraId="62BA776D">
      <w:pPr>
        <w:tabs>
          <w:tab w:val="left" w:pos="900"/>
        </w:tabs>
        <w:spacing w:before="156" w:beforeLines="50" w:line="360" w:lineRule="auto"/>
        <w:rPr>
          <w:rFonts w:hint="eastAsia" w:hAnsi="宋体"/>
          <w:szCs w:val="21"/>
        </w:rPr>
      </w:pPr>
    </w:p>
    <w:p w14:paraId="26847EF8">
      <w:pPr>
        <w:tabs>
          <w:tab w:val="left" w:pos="900"/>
        </w:tabs>
        <w:spacing w:before="156" w:beforeLines="50" w:line="360" w:lineRule="auto"/>
        <w:rPr>
          <w:rFonts w:hint="eastAsia" w:hAnsi="宋体"/>
          <w:b/>
          <w:szCs w:val="21"/>
        </w:rPr>
      </w:pPr>
      <w:r>
        <w:rPr>
          <w:rFonts w:hint="eastAsia" w:hAnsi="宋体"/>
          <w:b/>
          <w:szCs w:val="21"/>
        </w:rPr>
        <w:t>四、采购标的需满足的质量、安全、技术规格、物理特性等要求：</w:t>
      </w:r>
    </w:p>
    <w:p w14:paraId="0F0B94DD">
      <w:pPr>
        <w:tabs>
          <w:tab w:val="left" w:pos="900"/>
        </w:tabs>
        <w:spacing w:before="156" w:beforeLines="50" w:line="360" w:lineRule="auto"/>
        <w:rPr>
          <w:b/>
          <w:bCs/>
          <w:szCs w:val="21"/>
        </w:rPr>
      </w:pPr>
      <w:r>
        <w:rPr>
          <w:rFonts w:hint="eastAsia"/>
          <w:b/>
          <w:bCs/>
          <w:szCs w:val="21"/>
        </w:rPr>
        <w:t>（一）系统技术参数</w:t>
      </w:r>
    </w:p>
    <w:p w14:paraId="72DAC73F">
      <w:pPr>
        <w:spacing w:line="360" w:lineRule="auto"/>
        <w:ind w:firstLine="210" w:firstLineChars="100"/>
      </w:pPr>
      <w:r>
        <w:rPr>
          <w:rFonts w:hint="eastAsia"/>
        </w:rPr>
        <w:t>1. 通道数：≥</w:t>
      </w:r>
      <w:r>
        <w:t>32</w:t>
      </w:r>
      <w:r>
        <w:rPr>
          <w:rFonts w:hint="eastAsia"/>
        </w:rPr>
        <w:t>通道，带可更换的备用电极</w:t>
      </w:r>
    </w:p>
    <w:p w14:paraId="4E1AAD07">
      <w:pPr>
        <w:spacing w:line="360" w:lineRule="auto"/>
        <w:ind w:firstLine="210" w:firstLineChars="100"/>
      </w:pPr>
      <w:r>
        <w:rPr>
          <w:rFonts w:hint="eastAsia"/>
        </w:rPr>
        <w:t>2. 采样率：最大采样率≥1</w:t>
      </w:r>
      <w:r>
        <w:t>000Hz</w:t>
      </w:r>
      <w:r>
        <w:rPr>
          <w:rFonts w:hint="eastAsia"/>
        </w:rPr>
        <w:t>，且可分档位调节，档位数大于等于2</w:t>
      </w:r>
    </w:p>
    <w:p w14:paraId="706CCA2B">
      <w:pPr>
        <w:spacing w:line="360" w:lineRule="auto"/>
        <w:ind w:firstLine="210" w:firstLineChars="100"/>
      </w:pPr>
      <w:r>
        <w:rPr>
          <w:rFonts w:hint="eastAsia"/>
        </w:rPr>
        <w:t>3. 共模抑制比：≥90</w:t>
      </w:r>
      <w:r>
        <w:t>dB</w:t>
      </w:r>
    </w:p>
    <w:p w14:paraId="494E9A1F">
      <w:pPr>
        <w:spacing w:line="360" w:lineRule="auto"/>
        <w:ind w:firstLine="210" w:firstLineChars="100"/>
      </w:pPr>
      <w:r>
        <w:rPr>
          <w:rFonts w:hint="eastAsia"/>
        </w:rPr>
        <w:t>4. 尺寸：放大器体积≤不大于</w:t>
      </w:r>
      <w:r>
        <w:t>90(</w:t>
      </w:r>
      <w:r>
        <w:rPr>
          <w:rFonts w:hint="eastAsia"/>
        </w:rPr>
        <w:t>长</w:t>
      </w:r>
      <w:r>
        <w:t xml:space="preserve">) </w:t>
      </w:r>
      <w:r>
        <w:rPr>
          <w:rFonts w:hint="eastAsia"/>
        </w:rPr>
        <w:t>×</w:t>
      </w:r>
      <w:r>
        <w:t xml:space="preserve"> 60(</w:t>
      </w:r>
      <w:r>
        <w:rPr>
          <w:rFonts w:hint="eastAsia"/>
        </w:rPr>
        <w:t>宽</w:t>
      </w:r>
      <w:r>
        <w:t xml:space="preserve">) </w:t>
      </w:r>
      <w:r>
        <w:rPr>
          <w:rFonts w:hint="eastAsia"/>
        </w:rPr>
        <w:t>×</w:t>
      </w:r>
      <w:r>
        <w:t>30 (</w:t>
      </w:r>
      <w:r>
        <w:rPr>
          <w:rFonts w:hint="eastAsia"/>
        </w:rPr>
        <w:t>厚</w:t>
      </w:r>
      <w:r>
        <w:t>) mm</w:t>
      </w:r>
    </w:p>
    <w:p w14:paraId="1894D1A7">
      <w:pPr>
        <w:spacing w:line="360" w:lineRule="auto"/>
        <w:ind w:firstLine="210" w:firstLineChars="100"/>
      </w:pPr>
      <w:r>
        <w:rPr>
          <w:rFonts w:hint="eastAsia"/>
        </w:rPr>
        <w:t>5. 输入阻抗：≥</w:t>
      </w:r>
      <w:r>
        <w:t>1GΩ</w:t>
      </w:r>
    </w:p>
    <w:p w14:paraId="203BBB3A">
      <w:pPr>
        <w:spacing w:line="360" w:lineRule="auto"/>
        <w:ind w:firstLine="210" w:firstLineChars="100"/>
      </w:pPr>
      <w:r>
        <w:rPr>
          <w:rFonts w:hint="eastAsia"/>
        </w:rPr>
        <w:t>6. 输入噪声：≤</w:t>
      </w:r>
      <w:r>
        <w:t>0.4uVrms</w:t>
      </w:r>
    </w:p>
    <w:p w14:paraId="0E62F4A0">
      <w:pPr>
        <w:spacing w:line="360" w:lineRule="auto"/>
        <w:ind w:firstLine="210" w:firstLineChars="100"/>
      </w:pPr>
      <w:r>
        <w:rPr>
          <w:rFonts w:hint="eastAsia"/>
        </w:rPr>
        <w:t>7. 事件同步：</w:t>
      </w:r>
      <w:r>
        <w:t>WIFI</w:t>
      </w:r>
      <w:r>
        <w:rPr>
          <w:rFonts w:hint="eastAsia"/>
        </w:rPr>
        <w:t>无线同步，时间精度≤</w:t>
      </w:r>
      <w:r>
        <w:t>1ms</w:t>
      </w:r>
    </w:p>
    <w:p w14:paraId="054F5DAB">
      <w:pPr>
        <w:spacing w:line="360" w:lineRule="auto"/>
      </w:pPr>
      <w:r>
        <w:rPr>
          <w:rFonts w:hint="eastAsia" w:asciiTheme="minorEastAsia" w:hAnsiTheme="minorEastAsia"/>
        </w:rPr>
        <w:t>※</w:t>
      </w:r>
      <w:r>
        <w:rPr>
          <w:rFonts w:hint="eastAsia"/>
        </w:rPr>
        <w:t>8. 通信方式：</w:t>
      </w:r>
      <w:r>
        <w:t>5GHz</w:t>
      </w:r>
      <w:r>
        <w:rPr>
          <w:rFonts w:hint="eastAsia"/>
        </w:rPr>
        <w:t>无线</w:t>
      </w:r>
      <w:r>
        <w:t>WIFI</w:t>
      </w:r>
      <w:r>
        <w:rPr>
          <w:rFonts w:hint="eastAsia"/>
        </w:rPr>
        <w:t>信号传输</w:t>
      </w:r>
    </w:p>
    <w:p w14:paraId="50C91DCC">
      <w:pPr>
        <w:spacing w:line="360" w:lineRule="auto"/>
      </w:pPr>
      <w:r>
        <w:rPr>
          <w:rFonts w:hint="eastAsia" w:asciiTheme="minorEastAsia" w:hAnsiTheme="minorEastAsia"/>
        </w:rPr>
        <w:t>※</w:t>
      </w:r>
      <w:r>
        <w:rPr>
          <w:rFonts w:hint="eastAsia"/>
        </w:rPr>
        <w:t>9. 供电方式：</w:t>
      </w:r>
      <w:r>
        <w:t>3.85V</w:t>
      </w:r>
      <w:r>
        <w:rPr>
          <w:rFonts w:hint="eastAsia"/>
        </w:rPr>
        <w:t>可替换式锂电池，电池容量≥</w:t>
      </w:r>
      <w:r>
        <w:t>1700mAh</w:t>
      </w:r>
      <w:r>
        <w:rPr>
          <w:rFonts w:hint="eastAsia"/>
        </w:rPr>
        <w:t>，带可更换的备用电池。提供专用充电器，通过USB方式充电。</w:t>
      </w:r>
    </w:p>
    <w:p w14:paraId="4E88E92F">
      <w:pPr>
        <w:spacing w:line="360" w:lineRule="auto"/>
      </w:pPr>
      <w:r>
        <w:rPr>
          <w:rFonts w:hint="eastAsia" w:asciiTheme="minorEastAsia" w:hAnsiTheme="minorEastAsia"/>
        </w:rPr>
        <w:t>※</w:t>
      </w:r>
      <w:r>
        <w:rPr>
          <w:rFonts w:hint="eastAsia"/>
        </w:rPr>
        <w:t>10. 单块电池续航时间：≥</w:t>
      </w:r>
      <w:r>
        <w:t>10</w:t>
      </w:r>
      <w:r>
        <w:rPr>
          <w:rFonts w:hint="eastAsia"/>
        </w:rPr>
        <w:t>小时</w:t>
      </w:r>
    </w:p>
    <w:p w14:paraId="7B5255D4">
      <w:pPr>
        <w:spacing w:line="360" w:lineRule="auto"/>
        <w:ind w:firstLine="210" w:firstLineChars="100"/>
      </w:pPr>
      <w:r>
        <w:rPr>
          <w:rFonts w:hint="eastAsia"/>
        </w:rPr>
        <w:t>11. 放大器具有</w:t>
      </w:r>
      <w:r>
        <w:t>CE</w:t>
      </w:r>
      <w:r>
        <w:rPr>
          <w:rFonts w:hint="eastAsia"/>
        </w:rPr>
        <w:t>、</w:t>
      </w:r>
      <w:r>
        <w:t>FCC</w:t>
      </w:r>
      <w:r>
        <w:rPr>
          <w:rFonts w:hint="eastAsia"/>
        </w:rPr>
        <w:t>认证证书</w:t>
      </w:r>
    </w:p>
    <w:p w14:paraId="20B3AC84">
      <w:pPr>
        <w:spacing w:line="360" w:lineRule="auto"/>
        <w:ind w:firstLine="210" w:firstLineChars="100"/>
      </w:pPr>
      <w:r>
        <w:rPr>
          <w:rFonts w:hint="eastAsia"/>
        </w:rPr>
        <w:t>12. 放大器具有</w:t>
      </w:r>
      <w:r>
        <w:t>GB4943</w:t>
      </w:r>
      <w:r>
        <w:rPr>
          <w:rFonts w:hint="eastAsia"/>
        </w:rPr>
        <w:t>质检报告，保证产品的基础安全性</w:t>
      </w:r>
    </w:p>
    <w:p w14:paraId="6F7F0587">
      <w:pPr>
        <w:spacing w:line="360" w:lineRule="auto"/>
        <w:ind w:firstLine="210" w:firstLineChars="100"/>
      </w:pPr>
      <w:r>
        <w:rPr>
          <w:rFonts w:hint="eastAsia"/>
        </w:rPr>
        <w:t>13.脑电电极帽采用盐水电极，电极排布符合国际10-20或10-10系统。每套设备赠送不少于3份备用耗材，可配合脑电帽使用。</w:t>
      </w:r>
    </w:p>
    <w:p w14:paraId="0BFFA24F">
      <w:pPr>
        <w:spacing w:line="360" w:lineRule="auto"/>
        <w:ind w:firstLine="210" w:firstLineChars="100"/>
        <w:rPr>
          <w:szCs w:val="22"/>
        </w:rPr>
      </w:pPr>
      <w:r>
        <w:rPr>
          <w:rFonts w:hint="eastAsia"/>
        </w:rPr>
        <w:t>14. 配套脑电采集软件，可以在线查看和离线保存数据。</w:t>
      </w:r>
    </w:p>
    <w:p w14:paraId="69025D6E">
      <w:pPr>
        <w:spacing w:line="360" w:lineRule="auto"/>
        <w:ind w:firstLine="210" w:firstLineChars="100"/>
      </w:pPr>
      <w:r>
        <w:rPr>
          <w:rFonts w:hint="eastAsia"/>
        </w:rPr>
        <w:t>15. 阻抗检测：可以实时检测计算每个电极的接触阻抗；并通过红绿黄的颜色直观呈现接触状态。</w:t>
      </w:r>
    </w:p>
    <w:p w14:paraId="1AC72FA9">
      <w:pPr>
        <w:spacing w:line="360" w:lineRule="auto"/>
        <w:ind w:firstLine="210" w:firstLineChars="100"/>
      </w:pPr>
      <w:r>
        <w:rPr>
          <w:rFonts w:hint="eastAsia"/>
        </w:rPr>
        <w:t>16. 时域波形：可以在线实时展示每个通道的脑电时域波形，展示通道可选。</w:t>
      </w:r>
    </w:p>
    <w:p w14:paraId="667C330B">
      <w:pPr>
        <w:spacing w:line="360" w:lineRule="auto"/>
        <w:ind w:firstLine="210" w:firstLineChars="100"/>
      </w:pPr>
      <w:r>
        <w:rPr>
          <w:rFonts w:hint="eastAsia"/>
        </w:rPr>
        <w:t>17. 滤波功能：软件具有带通滤波和陷波的滤波功能。</w:t>
      </w:r>
    </w:p>
    <w:p w14:paraId="45BF263B">
      <w:pPr>
        <w:spacing w:line="360" w:lineRule="auto"/>
        <w:ind w:firstLine="210" w:firstLineChars="100"/>
        <w:rPr>
          <w:b/>
          <w:bCs/>
        </w:rPr>
      </w:pPr>
      <w:r>
        <w:rPr>
          <w:rFonts w:hint="eastAsia"/>
        </w:rPr>
        <w:t>18. 频域波形：可以在线实时展示每个通道的脑电频谱，展示通道可选；展示模式可选线性和对数</w:t>
      </w:r>
      <w:r>
        <w:rPr>
          <w:rFonts w:hint="eastAsia"/>
          <w:b/>
          <w:bCs/>
        </w:rPr>
        <w:t>。</w:t>
      </w:r>
    </w:p>
    <w:p w14:paraId="512A7B3A">
      <w:pPr>
        <w:numPr>
          <w:ilvl w:val="0"/>
          <w:numId w:val="1"/>
        </w:numPr>
        <w:spacing w:line="360" w:lineRule="auto"/>
        <w:ind w:firstLine="210" w:firstLineChars="100"/>
      </w:pPr>
      <w:r>
        <w:rPr>
          <w:rFonts w:hint="eastAsia"/>
        </w:rPr>
        <w:t>头部姿态：可以实时显示九轴数据，包括三轴角度、三轴角速度、三轴加速度；</w:t>
      </w:r>
    </w:p>
    <w:p w14:paraId="131909E4">
      <w:pPr>
        <w:numPr>
          <w:ilvl w:val="0"/>
          <w:numId w:val="1"/>
        </w:numPr>
        <w:spacing w:line="360" w:lineRule="auto"/>
        <w:ind w:firstLine="210" w:firstLineChars="100"/>
        <w:rPr>
          <w:szCs w:val="22"/>
        </w:rPr>
      </w:pPr>
      <w:r>
        <w:rPr>
          <w:rFonts w:hint="eastAsia"/>
        </w:rPr>
        <w:t>提供数据访问的开源接口，支持</w:t>
      </w:r>
      <w:r>
        <w:t>Python</w:t>
      </w:r>
      <w:r>
        <w:rPr>
          <w:rFonts w:hint="eastAsia"/>
        </w:rPr>
        <w:t>、</w:t>
      </w:r>
      <w:r>
        <w:t>Matlab</w:t>
      </w:r>
      <w:r>
        <w:rPr>
          <w:rFonts w:hint="eastAsia"/>
        </w:rPr>
        <w:t>和</w:t>
      </w:r>
      <w:r>
        <w:t>C/C++</w:t>
      </w:r>
      <w:r>
        <w:rPr>
          <w:rFonts w:hint="eastAsia"/>
        </w:rPr>
        <w:t>；</w:t>
      </w:r>
    </w:p>
    <w:p w14:paraId="2E294045">
      <w:pPr>
        <w:numPr>
          <w:ilvl w:val="0"/>
          <w:numId w:val="1"/>
        </w:numPr>
        <w:spacing w:line="360" w:lineRule="auto"/>
        <w:ind w:firstLine="210" w:firstLineChars="100"/>
      </w:pPr>
      <w:r>
        <w:rPr>
          <w:rFonts w:hint="eastAsia"/>
        </w:rPr>
        <w:t>软件可以数据回放，不少于查看各通道脑电时域波形、添加标记、删除标记、编辑标记、数据剔除等功能；</w:t>
      </w:r>
    </w:p>
    <w:p w14:paraId="7F937074">
      <w:pPr>
        <w:numPr>
          <w:ilvl w:val="0"/>
          <w:numId w:val="1"/>
        </w:numPr>
        <w:spacing w:line="360" w:lineRule="auto"/>
        <w:ind w:firstLine="210" w:firstLineChars="100"/>
      </w:pPr>
      <w:r>
        <w:rPr>
          <w:rFonts w:hint="eastAsia"/>
        </w:rPr>
        <w:t>软件包含脑电预处理功能，不少于通道选择、去基线、带通滤波、陷波、去伪迹、重参考等；</w:t>
      </w:r>
    </w:p>
    <w:p w14:paraId="564E06BA">
      <w:pPr>
        <w:spacing w:line="360" w:lineRule="auto"/>
        <w:ind w:firstLine="210" w:firstLineChars="100"/>
      </w:pPr>
      <w:r>
        <w:rPr>
          <w:rFonts w:hint="eastAsia"/>
        </w:rPr>
        <w:t>23. 软件可以进行脑电基础分析，计算特征不少于绝对功率、相对功率、脑对称指数</w:t>
      </w:r>
      <w:r>
        <w:t>BSI</w:t>
      </w:r>
      <w:r>
        <w:rPr>
          <w:rFonts w:hint="eastAsia"/>
        </w:rPr>
        <w:t>、</w:t>
      </w:r>
      <w:r>
        <w:t>DTABR</w:t>
      </w:r>
      <w:r>
        <w:rPr>
          <w:rFonts w:hint="eastAsia"/>
        </w:rPr>
        <w:t>、</w:t>
      </w:r>
      <w:r>
        <w:t>DAR</w:t>
      </w:r>
      <w:r>
        <w:rPr>
          <w:rFonts w:hint="eastAsia"/>
        </w:rPr>
        <w:t>等；</w:t>
      </w:r>
    </w:p>
    <w:p w14:paraId="0A64FFB1">
      <w:pPr>
        <w:spacing w:line="360" w:lineRule="auto"/>
        <w:ind w:firstLine="210" w:firstLineChars="100"/>
      </w:pPr>
      <w:r>
        <w:rPr>
          <w:rFonts w:hint="eastAsia"/>
        </w:rPr>
        <w:t>24. 软件可以进行时频分析和地形图分析，通道、时间范围和频带范围可自由设置，图像颜色可调；</w:t>
      </w:r>
    </w:p>
    <w:p w14:paraId="435BC7E4">
      <w:pPr>
        <w:spacing w:line="360" w:lineRule="auto"/>
        <w:ind w:firstLine="210" w:firstLineChars="100"/>
      </w:pPr>
      <w:r>
        <w:rPr>
          <w:rFonts w:hint="eastAsia"/>
        </w:rPr>
        <w:t>※25. 软件可以进行脑功能连接网络分析，计算特征不少于聚类系数、节点平均度、小世界属性、平均最短路径长度等。可以绘制脑功能连接网络图像；</w:t>
      </w:r>
    </w:p>
    <w:p w14:paraId="33104A59">
      <w:pPr>
        <w:spacing w:line="360" w:lineRule="auto"/>
        <w:ind w:firstLine="210" w:firstLineChars="100"/>
      </w:pPr>
      <w:r>
        <w:rPr>
          <w:rFonts w:hint="eastAsia"/>
        </w:rPr>
        <w:t>※26软件可以进行微状态分析，计算特征不少于状态持续时间、发生率、覆盖率等。可以绘制微状态图像。</w:t>
      </w:r>
    </w:p>
    <w:p w14:paraId="4515A8F5">
      <w:pPr>
        <w:spacing w:line="360" w:lineRule="auto"/>
        <w:ind w:firstLine="420" w:firstLineChars="200"/>
      </w:pPr>
      <w:r>
        <w:rPr>
          <w:rFonts w:hint="eastAsia"/>
        </w:rPr>
        <w:t>2</w:t>
      </w:r>
      <w:r>
        <w:t>7</w:t>
      </w:r>
      <w:r>
        <w:rPr>
          <w:rFonts w:hint="eastAsia"/>
        </w:rPr>
        <w:t>每套脑电设备配套专用数据分析的笔记本电脑。</w:t>
      </w:r>
    </w:p>
    <w:p w14:paraId="321ED871">
      <w:pPr>
        <w:spacing w:line="360" w:lineRule="auto"/>
        <w:ind w:firstLine="210" w:firstLineChars="100"/>
      </w:pPr>
      <w:r>
        <w:rPr>
          <w:rFonts w:hint="eastAsia" w:asciiTheme="minorEastAsia" w:hAnsiTheme="minorEastAsia"/>
        </w:rPr>
        <w:t>※</w:t>
      </w:r>
      <w:r>
        <w:rPr>
          <w:rFonts w:hint="eastAsia"/>
        </w:rPr>
        <w:t>28.提供认知事件相关电位范式软件，包括Go/Nogo、Stroop、Flanker、Oddball、N-back、语境语义加工、面孔加工、P50等范式。</w:t>
      </w:r>
    </w:p>
    <w:p w14:paraId="4CC54AE2">
      <w:pPr>
        <w:spacing w:line="360" w:lineRule="auto"/>
        <w:ind w:firstLine="420" w:firstLineChars="200"/>
      </w:pPr>
      <w:r>
        <w:rPr>
          <w:rFonts w:hint="eastAsia"/>
        </w:rPr>
        <w:t>29.具备自定义范式功能，每个刺激参数可以独立设置，支持视频、音频、图片等素材。</w:t>
      </w:r>
    </w:p>
    <w:p w14:paraId="3EF8C254">
      <w:pPr>
        <w:spacing w:line="360" w:lineRule="auto"/>
        <w:ind w:firstLine="420" w:firstLineChars="200"/>
        <w:rPr>
          <w:rFonts w:hint="eastAsia"/>
        </w:rPr>
      </w:pPr>
      <w:r>
        <w:rPr>
          <w:rFonts w:hint="eastAsia"/>
        </w:rPr>
        <w:t>30.配套USB无线同步盒，可以通过无线方式与脑电放大器同步。无线同步盒具备IN和OUT接口，也可以和外部设备进行同步。</w:t>
      </w:r>
    </w:p>
    <w:p w14:paraId="54AD453C">
      <w:pPr>
        <w:spacing w:line="360" w:lineRule="auto"/>
        <w:ind w:firstLine="210" w:firstLineChars="100"/>
      </w:pPr>
      <w:r>
        <w:rPr>
          <w:rFonts w:hint="eastAsia"/>
        </w:rPr>
        <w:t>※ 需要绝对满足的参数，不满足将导致无效投标</w:t>
      </w:r>
      <w:bookmarkStart w:id="4" w:name="_GoBack"/>
      <w:bookmarkEnd w:id="4"/>
    </w:p>
    <w:p w14:paraId="55067BC2">
      <w:pPr>
        <w:tabs>
          <w:tab w:val="left" w:pos="900"/>
        </w:tabs>
        <w:spacing w:before="156" w:beforeLines="50" w:line="360" w:lineRule="auto"/>
        <w:rPr>
          <w:szCs w:val="21"/>
        </w:rPr>
      </w:pPr>
      <w:r>
        <w:rPr>
          <w:rFonts w:hint="eastAsia"/>
          <w:szCs w:val="21"/>
        </w:rPr>
        <w:t>（二）配置要求</w:t>
      </w:r>
    </w:p>
    <w:p w14:paraId="012A70A5">
      <w:pPr>
        <w:tabs>
          <w:tab w:val="left" w:pos="900"/>
        </w:tabs>
        <w:spacing w:before="156" w:beforeLines="50" w:line="360" w:lineRule="auto"/>
        <w:rPr>
          <w:szCs w:val="21"/>
        </w:rPr>
      </w:pPr>
      <w:r>
        <w:rPr>
          <w:rFonts w:hint="eastAsia"/>
          <w:szCs w:val="21"/>
        </w:rPr>
        <w:t xml:space="preserve">1. 32导无线多通道脑电采集分析系统 </w:t>
      </w:r>
      <w:r>
        <w:rPr>
          <w:szCs w:val="21"/>
        </w:rPr>
        <w:t xml:space="preserve"> </w:t>
      </w:r>
      <w:r>
        <w:rPr>
          <w:rFonts w:hint="eastAsia"/>
          <w:szCs w:val="21"/>
        </w:rPr>
        <w:t>5套，其中脑电帽不少于 5套</w:t>
      </w:r>
    </w:p>
    <w:p w14:paraId="25C1B3C7">
      <w:pPr>
        <w:tabs>
          <w:tab w:val="left" w:pos="900"/>
        </w:tabs>
        <w:spacing w:before="156" w:beforeLines="50" w:line="360" w:lineRule="auto"/>
        <w:rPr>
          <w:szCs w:val="21"/>
        </w:rPr>
      </w:pPr>
      <w:r>
        <w:rPr>
          <w:rFonts w:hint="eastAsia"/>
          <w:szCs w:val="21"/>
        </w:rPr>
        <w:t>2. 脑电开源接口 5套</w:t>
      </w:r>
    </w:p>
    <w:p w14:paraId="6B167EBB">
      <w:pPr>
        <w:tabs>
          <w:tab w:val="left" w:pos="900"/>
        </w:tabs>
        <w:spacing w:before="156" w:beforeLines="50" w:line="360" w:lineRule="auto"/>
        <w:rPr>
          <w:szCs w:val="21"/>
        </w:rPr>
      </w:pPr>
      <w:r>
        <w:rPr>
          <w:rFonts w:hint="eastAsia"/>
          <w:szCs w:val="21"/>
        </w:rPr>
        <w:t>3. 脑电分析处理软件及部署的笔记本电脑 5套</w:t>
      </w:r>
    </w:p>
    <w:p w14:paraId="17DAC591">
      <w:pPr>
        <w:tabs>
          <w:tab w:val="left" w:pos="900"/>
        </w:tabs>
        <w:spacing w:before="156" w:beforeLines="50" w:line="360" w:lineRule="auto"/>
        <w:rPr>
          <w:szCs w:val="21"/>
        </w:rPr>
      </w:pPr>
      <w:r>
        <w:rPr>
          <w:rFonts w:hint="eastAsia"/>
          <w:szCs w:val="21"/>
        </w:rPr>
        <w:t>4. 认知事件相关电位范式软件 5套</w:t>
      </w:r>
    </w:p>
    <w:p w14:paraId="650AEDAB">
      <w:pPr>
        <w:tabs>
          <w:tab w:val="left" w:pos="900"/>
        </w:tabs>
        <w:spacing w:before="156" w:beforeLines="50" w:line="360" w:lineRule="auto"/>
        <w:rPr>
          <w:rFonts w:hint="eastAsia" w:hAnsi="宋体"/>
          <w:b/>
          <w:szCs w:val="21"/>
        </w:rPr>
      </w:pPr>
      <w:r>
        <w:rPr>
          <w:rFonts w:hint="eastAsia" w:hAnsi="宋体"/>
          <w:b/>
          <w:szCs w:val="21"/>
        </w:rPr>
        <w:t>五、采购标的需满足的服务标准、期限、效率等要求</w:t>
      </w:r>
    </w:p>
    <w:p w14:paraId="6F4CABFC">
      <w:pPr>
        <w:numPr>
          <w:ilvl w:val="0"/>
          <w:numId w:val="2"/>
        </w:numPr>
        <w:tabs>
          <w:tab w:val="left" w:pos="900"/>
        </w:tabs>
        <w:spacing w:before="156" w:beforeLines="50" w:line="360" w:lineRule="auto"/>
        <w:rPr>
          <w:rFonts w:hint="eastAsia" w:ascii="宋体" w:hAnsi="宋体"/>
          <w:szCs w:val="21"/>
        </w:rPr>
      </w:pPr>
      <w:r>
        <w:rPr>
          <w:rFonts w:hint="eastAsia" w:ascii="宋体" w:hAnsi="宋体"/>
          <w:szCs w:val="21"/>
        </w:rPr>
        <w:t xml:space="preserve">质保期： </w:t>
      </w:r>
      <w:r>
        <w:rPr>
          <w:rFonts w:ascii="宋体" w:hAnsi="宋体"/>
          <w:szCs w:val="21"/>
          <w:u w:val="single"/>
        </w:rPr>
        <w:t xml:space="preserve">  </w:t>
      </w:r>
      <w:r>
        <w:rPr>
          <w:rFonts w:ascii="宋体" w:hAnsi="宋体" w:cs="宋体"/>
          <w:u w:val="single"/>
        </w:rPr>
        <w:t>≥</w:t>
      </w:r>
      <w:r>
        <w:rPr>
          <w:rFonts w:ascii="宋体" w:hAnsi="宋体"/>
          <w:szCs w:val="21"/>
          <w:u w:val="single"/>
        </w:rPr>
        <w:t xml:space="preserve"> </w:t>
      </w:r>
      <w:r>
        <w:rPr>
          <w:rFonts w:hint="eastAsia" w:ascii="宋体" w:hAnsi="宋体"/>
          <w:szCs w:val="21"/>
          <w:u w:val="single"/>
        </w:rPr>
        <w:t>3</w:t>
      </w:r>
      <w:r>
        <w:rPr>
          <w:rFonts w:ascii="宋体" w:hAnsi="宋体"/>
          <w:szCs w:val="21"/>
          <w:u w:val="single"/>
        </w:rPr>
        <w:t xml:space="preserve">  </w:t>
      </w:r>
      <w:r>
        <w:rPr>
          <w:rFonts w:hint="eastAsia" w:ascii="宋体" w:hAnsi="宋体"/>
          <w:szCs w:val="21"/>
        </w:rPr>
        <w:t>年，</w:t>
      </w:r>
      <w:r>
        <w:rPr>
          <w:rFonts w:ascii="宋体" w:hAnsi="宋体" w:cs="宋体"/>
        </w:rPr>
        <w:t>质保期内免费维保≥2次/年，免人工服务费</w:t>
      </w:r>
      <w:r>
        <w:rPr>
          <w:rFonts w:hint="eastAsia" w:ascii="宋体" w:hAnsi="宋体" w:cs="宋体"/>
        </w:rPr>
        <w:t>，软件终身免费更新</w:t>
      </w:r>
      <w:r>
        <w:rPr>
          <w:rFonts w:ascii="宋体" w:hAnsi="宋体" w:cs="宋体"/>
        </w:rPr>
        <w:t>。</w:t>
      </w:r>
      <w:r>
        <w:rPr>
          <w:rFonts w:hint="eastAsia" w:ascii="宋体" w:hAnsi="宋体"/>
          <w:szCs w:val="21"/>
        </w:rPr>
        <w:t>质保期满后，仍需提供专业维修服务，投标人在投标文件中需注明维修服务单项报价。</w:t>
      </w:r>
    </w:p>
    <w:p w14:paraId="6B6ECDD8">
      <w:pPr>
        <w:numPr>
          <w:ilvl w:val="0"/>
          <w:numId w:val="2"/>
        </w:numPr>
        <w:tabs>
          <w:tab w:val="left" w:pos="900"/>
        </w:tabs>
        <w:spacing w:before="156" w:beforeLines="50" w:line="360" w:lineRule="auto"/>
        <w:rPr>
          <w:rFonts w:hint="eastAsia" w:ascii="宋体" w:hAnsi="宋体"/>
          <w:szCs w:val="21"/>
        </w:rPr>
      </w:pPr>
      <w:r>
        <w:rPr>
          <w:rFonts w:hint="eastAsia" w:ascii="宋体" w:hAnsi="宋体"/>
          <w:szCs w:val="21"/>
        </w:rPr>
        <w:t>服务响应时间：接到维修电话后4小时内给予明确答复，8小时内到达现场维修。维修人员到现场后若问题特殊无法现场修复的，供货方需在24小时内给出合理解决方案。</w:t>
      </w:r>
    </w:p>
    <w:p w14:paraId="4BCEEE34">
      <w:pPr>
        <w:pStyle w:val="20"/>
        <w:numPr>
          <w:ilvl w:val="0"/>
          <w:numId w:val="2"/>
        </w:numPr>
        <w:tabs>
          <w:tab w:val="left" w:pos="709"/>
        </w:tabs>
        <w:spacing w:before="156" w:line="360" w:lineRule="auto"/>
        <w:ind w:firstLineChars="0"/>
        <w:rPr>
          <w:rFonts w:hint="eastAsia" w:ascii="宋体" w:hAnsi="宋体"/>
          <w:b/>
          <w:szCs w:val="21"/>
        </w:rPr>
      </w:pPr>
      <w:r>
        <w:rPr>
          <w:rFonts w:ascii="宋体" w:hAnsi="宋体"/>
          <w:szCs w:val="21"/>
        </w:rPr>
        <w:t>培训</w:t>
      </w:r>
      <w:r>
        <w:rPr>
          <w:rFonts w:hint="eastAsia" w:ascii="宋体" w:hAnsi="宋体"/>
          <w:szCs w:val="21"/>
        </w:rPr>
        <w:t>要求：</w:t>
      </w:r>
      <w:r>
        <w:rPr>
          <w:rFonts w:ascii="宋体" w:hAnsi="宋体" w:cs="宋体"/>
        </w:rPr>
        <w:t>提供培训电子资料及视频；供方免费为用户培训至少</w:t>
      </w:r>
      <w:r>
        <w:rPr>
          <w:rFonts w:ascii="宋体" w:hAnsi="宋体" w:cs="宋体"/>
          <w:u w:val="single"/>
        </w:rPr>
        <w:t xml:space="preserve"> </w:t>
      </w:r>
      <w:r>
        <w:rPr>
          <w:rFonts w:hint="eastAsia" w:ascii="宋体" w:hAnsi="宋体" w:cs="宋体"/>
          <w:u w:val="single"/>
        </w:rPr>
        <w:t>4</w:t>
      </w:r>
      <w:r>
        <w:rPr>
          <w:rFonts w:ascii="宋体" w:hAnsi="宋体" w:cs="宋体"/>
        </w:rPr>
        <w:t>名操作人员进行为期至少</w:t>
      </w:r>
      <w:r>
        <w:rPr>
          <w:rFonts w:ascii="宋体" w:hAnsi="宋体" w:cs="宋体"/>
          <w:u w:val="single"/>
        </w:rPr>
        <w:t xml:space="preserve"> </w:t>
      </w:r>
      <w:r>
        <w:rPr>
          <w:rFonts w:hint="eastAsia" w:ascii="宋体" w:hAnsi="宋体" w:cs="宋体"/>
          <w:u w:val="single"/>
        </w:rPr>
        <w:t>3</w:t>
      </w:r>
      <w:r>
        <w:rPr>
          <w:rFonts w:ascii="宋体" w:hAnsi="宋体" w:cs="宋体"/>
          <w:u w:val="single"/>
        </w:rPr>
        <w:t xml:space="preserve"> </w:t>
      </w:r>
      <w:r>
        <w:rPr>
          <w:rFonts w:ascii="宋体" w:hAnsi="宋体" w:cs="宋体"/>
        </w:rPr>
        <w:t xml:space="preserve">天的现场操作培训以及应用培训，保证用户掌握有关设备的使用、维护、管理和应用等工作要求。不定期的免费提供相关设备应用方面的技术咨询等。 </w:t>
      </w:r>
    </w:p>
    <w:p w14:paraId="5C9520A6">
      <w:pPr>
        <w:tabs>
          <w:tab w:val="left" w:pos="420"/>
          <w:tab w:val="left" w:pos="900"/>
        </w:tabs>
        <w:spacing w:before="156" w:beforeLines="50" w:line="360" w:lineRule="auto"/>
        <w:rPr>
          <w:rFonts w:hint="eastAsia" w:ascii="宋体" w:hAnsi="宋体"/>
          <w:b/>
          <w:szCs w:val="21"/>
        </w:rPr>
      </w:pPr>
      <w:r>
        <w:rPr>
          <w:rFonts w:hint="eastAsia" w:ascii="宋体" w:hAnsi="宋体"/>
          <w:b/>
          <w:szCs w:val="21"/>
        </w:rPr>
        <w:t>六、</w:t>
      </w:r>
      <w:r>
        <w:rPr>
          <w:rFonts w:ascii="宋体" w:hAnsi="宋体"/>
          <w:b/>
          <w:szCs w:val="21"/>
        </w:rPr>
        <w:t>采购标的的</w:t>
      </w:r>
      <w:r>
        <w:rPr>
          <w:rFonts w:hint="eastAsia" w:ascii="宋体" w:hAnsi="宋体"/>
          <w:b/>
          <w:szCs w:val="21"/>
        </w:rPr>
        <w:t>履约验收标准</w:t>
      </w:r>
    </w:p>
    <w:bookmarkEnd w:id="1"/>
    <w:bookmarkEnd w:id="2"/>
    <w:bookmarkEnd w:id="3"/>
    <w:tbl>
      <w:tblPr>
        <w:tblStyle w:val="10"/>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507"/>
        <w:gridCol w:w="2254"/>
        <w:gridCol w:w="2114"/>
      </w:tblGrid>
      <w:tr w14:paraId="3BE2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601" w:type="dxa"/>
            <w:gridSpan w:val="4"/>
            <w:vAlign w:val="center"/>
          </w:tcPr>
          <w:p w14:paraId="60125F63">
            <w:pPr>
              <w:widowControl/>
              <w:jc w:val="center"/>
              <w:textAlignment w:val="baseline"/>
              <w:rPr>
                <w:color w:val="000000"/>
                <w:kern w:val="0"/>
                <w:sz w:val="20"/>
                <w:szCs w:val="21"/>
              </w:rPr>
            </w:pPr>
            <w:r>
              <w:rPr>
                <w:color w:val="000000"/>
                <w:kern w:val="0"/>
                <w:sz w:val="20"/>
                <w:szCs w:val="21"/>
              </w:rPr>
              <w:t>现场的检验指标及方法</w:t>
            </w:r>
          </w:p>
        </w:tc>
      </w:tr>
      <w:tr w14:paraId="3EAEA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14:paraId="72A69945">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7C52D483">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10AFADE3">
            <w:pPr>
              <w:widowControl/>
              <w:jc w:val="center"/>
              <w:textAlignment w:val="baseline"/>
              <w:rPr>
                <w:color w:val="000000"/>
                <w:kern w:val="0"/>
                <w:sz w:val="20"/>
                <w:szCs w:val="21"/>
              </w:rPr>
            </w:pPr>
            <w:r>
              <w:rPr>
                <w:color w:val="000000"/>
                <w:kern w:val="0"/>
                <w:sz w:val="20"/>
                <w:szCs w:val="21"/>
              </w:rPr>
              <w:t>验收或测试方法</w:t>
            </w:r>
          </w:p>
        </w:tc>
      </w:tr>
      <w:tr w14:paraId="5FEB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4C512453">
            <w:pPr>
              <w:widowControl/>
              <w:jc w:val="left"/>
              <w:textAlignment w:val="baseline"/>
              <w:rPr>
                <w:rFonts w:hint="eastAsia" w:ascii="黑体" w:hAnsi="黑体" w:eastAsia="黑体"/>
                <w:b/>
                <w:color w:val="000000"/>
                <w:kern w:val="0"/>
                <w:sz w:val="18"/>
                <w:szCs w:val="18"/>
              </w:rPr>
            </w:pPr>
            <w:r>
              <w:rPr>
                <w:rFonts w:hint="eastAsia" w:ascii="黑体" w:hAnsi="黑体" w:eastAsia="黑体"/>
                <w:b/>
                <w:color w:val="000000"/>
                <w:kern w:val="0"/>
                <w:sz w:val="18"/>
                <w:szCs w:val="18"/>
              </w:rPr>
              <w:t>项目建设单位验收要求：</w:t>
            </w:r>
          </w:p>
        </w:tc>
      </w:tr>
      <w:tr w14:paraId="7AB41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6176827B">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1A789735">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1F4D7CA9">
            <w:pPr>
              <w:widowControl/>
              <w:jc w:val="left"/>
              <w:textAlignment w:val="baseline"/>
              <w:rPr>
                <w:color w:val="000000"/>
                <w:kern w:val="0"/>
                <w:sz w:val="18"/>
                <w:szCs w:val="18"/>
              </w:rPr>
            </w:pPr>
            <w:r>
              <w:rPr>
                <w:color w:val="000000"/>
                <w:kern w:val="0"/>
                <w:sz w:val="18"/>
                <w:szCs w:val="18"/>
              </w:rPr>
              <w:t>现场核查</w:t>
            </w:r>
          </w:p>
        </w:tc>
      </w:tr>
      <w:tr w14:paraId="75A4B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6B38F02E">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0262F9F1">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2A1B5550">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14:paraId="65CC6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4A472C11">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27727366">
            <w:pPr>
              <w:widowControl/>
              <w:textAlignment w:val="baseline"/>
              <w:rPr>
                <w:color w:val="000000" w:themeColor="text1"/>
                <w:kern w:val="0"/>
                <w:sz w:val="18"/>
                <w:szCs w:val="18"/>
                <w14:textFill>
                  <w14:solidFill>
                    <w14:schemeClr w14:val="tx1"/>
                  </w14:solidFill>
                </w14:textFill>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6CC1E71E">
            <w:pPr>
              <w:rPr>
                <w:rFonts w:hint="eastAsia"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14:paraId="1FD04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6E70F4CB">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7E6BFD70">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0FE6AEE5">
            <w:pPr>
              <w:widowControl/>
              <w:textAlignment w:val="baseline"/>
              <w:rPr>
                <w:color w:val="000000"/>
                <w:kern w:val="0"/>
                <w:sz w:val="18"/>
                <w:szCs w:val="18"/>
              </w:rPr>
            </w:pPr>
            <w:r>
              <w:rPr>
                <w:color w:val="000000"/>
                <w:kern w:val="0"/>
                <w:sz w:val="18"/>
                <w:szCs w:val="18"/>
              </w:rPr>
              <w:t>现场核查</w:t>
            </w:r>
          </w:p>
        </w:tc>
      </w:tr>
      <w:tr w14:paraId="0430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1569E123">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19EEB6D6">
            <w:pPr>
              <w:widowControl/>
              <w:textAlignment w:val="baseline"/>
              <w:rPr>
                <w:color w:val="000000" w:themeColor="text1"/>
                <w:kern w:val="0"/>
                <w:sz w:val="18"/>
                <w:szCs w:val="18"/>
                <w14:textFill>
                  <w14:solidFill>
                    <w14:schemeClr w14:val="tx1"/>
                  </w14:solidFill>
                </w14:textFill>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75E8EF47">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14:paraId="734F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527FE450">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0F66BC37">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14:paraId="02F46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407FD3FD">
            <w:pPr>
              <w:widowControl/>
              <w:jc w:val="left"/>
              <w:textAlignment w:val="baseline"/>
              <w:rPr>
                <w:color w:val="000000"/>
                <w:kern w:val="0"/>
                <w:sz w:val="18"/>
                <w:szCs w:val="18"/>
              </w:rPr>
            </w:pPr>
            <w:r>
              <w:rPr>
                <w:rFonts w:hint="eastAsia" w:ascii="黑体" w:hAnsi="黑体" w:eastAsia="黑体"/>
                <w:b/>
                <w:color w:val="000000"/>
                <w:kern w:val="0"/>
                <w:sz w:val="18"/>
                <w:szCs w:val="18"/>
              </w:rPr>
              <w:t>学校验收复核要求：</w:t>
            </w:r>
          </w:p>
        </w:tc>
      </w:tr>
      <w:tr w14:paraId="0571E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756B1C86">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29323041">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14:paraId="6CBF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7D30FCE3">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5B627F6F">
            <w:pPr>
              <w:widowControl/>
              <w:textAlignment w:val="baseline"/>
              <w:rPr>
                <w:color w:val="000000"/>
                <w:kern w:val="0"/>
                <w:sz w:val="18"/>
                <w:szCs w:val="18"/>
              </w:rPr>
            </w:pPr>
            <w:r>
              <w:rPr>
                <w:rFonts w:hint="eastAsia"/>
                <w:color w:val="000000"/>
                <w:kern w:val="0"/>
                <w:sz w:val="18"/>
                <w:szCs w:val="18"/>
              </w:rPr>
              <w:t>提供《供应商货物类项目完工报告》</w:t>
            </w:r>
          </w:p>
        </w:tc>
      </w:tr>
      <w:tr w14:paraId="65AC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0E5B1F28">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58C70231">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14:paraId="072A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13D43234">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4E96B853">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14:paraId="4D776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79243F63">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7EA0B09F">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75A4C71C">
            <w:pPr>
              <w:widowControl/>
              <w:textAlignment w:val="baseline"/>
              <w:rPr>
                <w:color w:val="000000"/>
                <w:kern w:val="0"/>
                <w:sz w:val="20"/>
                <w:szCs w:val="21"/>
              </w:rPr>
            </w:pPr>
            <w:r>
              <w:rPr>
                <w:color w:val="000000"/>
                <w:kern w:val="0"/>
                <w:sz w:val="20"/>
                <w:szCs w:val="21"/>
              </w:rPr>
              <w:t>否</w:t>
            </w:r>
            <w:r>
              <w:rPr>
                <w:rFonts w:hint="eastAsia" w:cs="宋体" w:asciiTheme="minorEastAsia" w:hAnsiTheme="minorEastAsia"/>
                <w:color w:val="000000"/>
                <w:kern w:val="0"/>
                <w:sz w:val="20"/>
                <w:szCs w:val="21"/>
              </w:rPr>
              <w:t>□</w:t>
            </w:r>
          </w:p>
        </w:tc>
      </w:tr>
      <w:tr w14:paraId="1A64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78B90428">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6CE179B3">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2106BBF2">
            <w:pPr>
              <w:widowControl/>
              <w:textAlignment w:val="baseline"/>
              <w:rPr>
                <w:color w:val="000000"/>
                <w:kern w:val="0"/>
                <w:sz w:val="20"/>
                <w:szCs w:val="21"/>
              </w:rPr>
            </w:pPr>
            <w:r>
              <w:rPr>
                <w:color w:val="000000"/>
                <w:kern w:val="0"/>
                <w:sz w:val="20"/>
                <w:szCs w:val="21"/>
              </w:rPr>
              <w:t>否</w:t>
            </w:r>
            <w:r>
              <w:rPr>
                <w:rFonts w:hint="eastAsia" w:cs="宋体" w:asciiTheme="minorEastAsia" w:hAnsiTheme="minorEastAsia"/>
                <w:color w:val="000000"/>
                <w:kern w:val="0"/>
                <w:sz w:val="20"/>
                <w:szCs w:val="21"/>
              </w:rPr>
              <w:t>□</w:t>
            </w:r>
          </w:p>
        </w:tc>
      </w:tr>
      <w:tr w14:paraId="65C1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1" w:type="dxa"/>
            <w:gridSpan w:val="4"/>
            <w:vAlign w:val="center"/>
          </w:tcPr>
          <w:p w14:paraId="2BE75C00">
            <w:pPr>
              <w:widowControl/>
              <w:textAlignment w:val="baseline"/>
              <w:rPr>
                <w:color w:val="000000"/>
                <w:kern w:val="0"/>
                <w:sz w:val="20"/>
                <w:szCs w:val="21"/>
              </w:rPr>
            </w:pPr>
            <w:r>
              <w:rPr>
                <w:color w:val="000000"/>
                <w:kern w:val="0"/>
                <w:sz w:val="20"/>
                <w:szCs w:val="21"/>
              </w:rPr>
              <w:t>除现场验收外，需提供的其他验收要求</w:t>
            </w:r>
          </w:p>
        </w:tc>
      </w:tr>
      <w:tr w14:paraId="5D4F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33" w:type="dxa"/>
            <w:gridSpan w:val="2"/>
            <w:vAlign w:val="center"/>
          </w:tcPr>
          <w:p w14:paraId="428FDB8E">
            <w:pPr>
              <w:widowControl/>
              <w:spacing w:line="450" w:lineRule="atLeast"/>
              <w:textAlignment w:val="baseline"/>
              <w:rPr>
                <w:color w:val="000000"/>
                <w:kern w:val="0"/>
                <w:sz w:val="20"/>
                <w:szCs w:val="21"/>
              </w:rPr>
            </w:pPr>
            <w:r>
              <w:rPr>
                <w:color w:val="000000"/>
                <w:kern w:val="0"/>
                <w:sz w:val="20"/>
                <w:szCs w:val="21"/>
              </w:rPr>
              <w:t>除现场验收外，是</w:t>
            </w:r>
            <w:r>
              <w:rPr>
                <w:rFonts w:hint="eastAsia" w:cs="宋体" w:asciiTheme="minorEastAsia" w:hAnsiTheme="minorEastAsia"/>
                <w:color w:val="000000"/>
                <w:kern w:val="0"/>
                <w:sz w:val="20"/>
                <w:szCs w:val="21"/>
              </w:rPr>
              <w:t>□</w:t>
            </w:r>
            <w:r>
              <w:rPr>
                <w:color w:val="000000"/>
                <w:kern w:val="0"/>
                <w:sz w:val="20"/>
                <w:szCs w:val="21"/>
              </w:rPr>
              <w:t>否</w:t>
            </w:r>
            <w:r>
              <w:rPr>
                <w:rFonts w:hint="eastAsia" w:cs="宋体" w:asciiTheme="minorEastAsia" w:hAnsiTheme="minorEastAsia"/>
                <w:color w:val="000000"/>
                <w:kern w:val="0"/>
                <w:sz w:val="20"/>
                <w:szCs w:val="21"/>
              </w:rPr>
              <w:t>□</w:t>
            </w:r>
            <w:r>
              <w:rPr>
                <w:color w:val="000000"/>
                <w:kern w:val="0"/>
                <w:sz w:val="20"/>
                <w:szCs w:val="21"/>
              </w:rPr>
              <w:t>需提供第三方检测报告</w:t>
            </w:r>
          </w:p>
          <w:p w14:paraId="23E6A257">
            <w:pPr>
              <w:widowControl/>
              <w:spacing w:line="450" w:lineRule="atLeast"/>
              <w:textAlignment w:val="baseline"/>
              <w:rPr>
                <w:color w:val="000000"/>
                <w:kern w:val="0"/>
                <w:sz w:val="20"/>
                <w:szCs w:val="21"/>
              </w:rPr>
            </w:pPr>
          </w:p>
        </w:tc>
        <w:tc>
          <w:tcPr>
            <w:tcW w:w="4368" w:type="dxa"/>
            <w:gridSpan w:val="2"/>
            <w:vAlign w:val="center"/>
          </w:tcPr>
          <w:p w14:paraId="61EEAF95">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1CD2C803">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5EA80950"/>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F6D72">
    <w:pPr>
      <w:pStyle w:val="5"/>
      <w:jc w:val="center"/>
    </w:pPr>
    <w:r>
      <w:fldChar w:fldCharType="begin"/>
    </w:r>
    <w:r>
      <w:instrText xml:space="preserve">PAGE   \* MERGEFORMAT</w:instrText>
    </w:r>
    <w:r>
      <w:fldChar w:fldCharType="separate"/>
    </w:r>
    <w:r>
      <w:rPr>
        <w:lang w:val="zh-CN"/>
      </w:rPr>
      <w:t>4</w:t>
    </w:r>
    <w:r>
      <w:fldChar w:fldCharType="end"/>
    </w:r>
  </w:p>
  <w:p w14:paraId="15766B42">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D475B4"/>
    <w:multiLevelType w:val="multilevel"/>
    <w:tmpl w:val="1AD475B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5FAA11A"/>
    <w:multiLevelType w:val="singleLevel"/>
    <w:tmpl w:val="25FAA11A"/>
    <w:lvl w:ilvl="0" w:tentative="0">
      <w:start w:val="19"/>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FC"/>
    <w:rsid w:val="000045B7"/>
    <w:rsid w:val="000170BA"/>
    <w:rsid w:val="00017C9A"/>
    <w:rsid w:val="00047948"/>
    <w:rsid w:val="00050B00"/>
    <w:rsid w:val="00061B0D"/>
    <w:rsid w:val="00082504"/>
    <w:rsid w:val="00082FAA"/>
    <w:rsid w:val="00085A8A"/>
    <w:rsid w:val="00090056"/>
    <w:rsid w:val="000A0319"/>
    <w:rsid w:val="000A209A"/>
    <w:rsid w:val="000A6FFA"/>
    <w:rsid w:val="000C588B"/>
    <w:rsid w:val="000D1A34"/>
    <w:rsid w:val="000D3146"/>
    <w:rsid w:val="000E3297"/>
    <w:rsid w:val="0010504D"/>
    <w:rsid w:val="00105428"/>
    <w:rsid w:val="001221FB"/>
    <w:rsid w:val="0012727F"/>
    <w:rsid w:val="00130FF4"/>
    <w:rsid w:val="001341C2"/>
    <w:rsid w:val="00140AF0"/>
    <w:rsid w:val="0014252E"/>
    <w:rsid w:val="001507CE"/>
    <w:rsid w:val="001534B1"/>
    <w:rsid w:val="00155CAC"/>
    <w:rsid w:val="00157667"/>
    <w:rsid w:val="001609FC"/>
    <w:rsid w:val="00162A76"/>
    <w:rsid w:val="00167FED"/>
    <w:rsid w:val="00176534"/>
    <w:rsid w:val="001826A7"/>
    <w:rsid w:val="0018461B"/>
    <w:rsid w:val="00192B6A"/>
    <w:rsid w:val="00196DB9"/>
    <w:rsid w:val="001B03C0"/>
    <w:rsid w:val="001B712C"/>
    <w:rsid w:val="001C0880"/>
    <w:rsid w:val="001C41C3"/>
    <w:rsid w:val="001C7C84"/>
    <w:rsid w:val="001D1724"/>
    <w:rsid w:val="001E37E1"/>
    <w:rsid w:val="00212944"/>
    <w:rsid w:val="00212FD5"/>
    <w:rsid w:val="002204EA"/>
    <w:rsid w:val="00220D13"/>
    <w:rsid w:val="0023020D"/>
    <w:rsid w:val="00237253"/>
    <w:rsid w:val="00265772"/>
    <w:rsid w:val="00267EAD"/>
    <w:rsid w:val="00277500"/>
    <w:rsid w:val="002815C8"/>
    <w:rsid w:val="00292949"/>
    <w:rsid w:val="002A138D"/>
    <w:rsid w:val="002A4902"/>
    <w:rsid w:val="002A6571"/>
    <w:rsid w:val="002B1B40"/>
    <w:rsid w:val="002B3A1B"/>
    <w:rsid w:val="002B4CA5"/>
    <w:rsid w:val="002B7A13"/>
    <w:rsid w:val="002D31FC"/>
    <w:rsid w:val="002D68DE"/>
    <w:rsid w:val="003027D7"/>
    <w:rsid w:val="00310E17"/>
    <w:rsid w:val="003113D4"/>
    <w:rsid w:val="0032100D"/>
    <w:rsid w:val="00330219"/>
    <w:rsid w:val="003458D7"/>
    <w:rsid w:val="00345B2D"/>
    <w:rsid w:val="00345D8D"/>
    <w:rsid w:val="00350ED1"/>
    <w:rsid w:val="00353EC3"/>
    <w:rsid w:val="00362508"/>
    <w:rsid w:val="0036352F"/>
    <w:rsid w:val="003649AF"/>
    <w:rsid w:val="00374A5D"/>
    <w:rsid w:val="00385A33"/>
    <w:rsid w:val="003B1B61"/>
    <w:rsid w:val="003D06DB"/>
    <w:rsid w:val="003D20BE"/>
    <w:rsid w:val="003D7FE5"/>
    <w:rsid w:val="003E1208"/>
    <w:rsid w:val="003E4113"/>
    <w:rsid w:val="003E4FDA"/>
    <w:rsid w:val="003F3C77"/>
    <w:rsid w:val="00400206"/>
    <w:rsid w:val="00414EDD"/>
    <w:rsid w:val="00426CB3"/>
    <w:rsid w:val="00433FBE"/>
    <w:rsid w:val="004347CD"/>
    <w:rsid w:val="00437D82"/>
    <w:rsid w:val="00450994"/>
    <w:rsid w:val="00453832"/>
    <w:rsid w:val="00465B0B"/>
    <w:rsid w:val="004727EB"/>
    <w:rsid w:val="004951D7"/>
    <w:rsid w:val="004A43F0"/>
    <w:rsid w:val="004B3DFE"/>
    <w:rsid w:val="004C7724"/>
    <w:rsid w:val="004E36C2"/>
    <w:rsid w:val="004E4B14"/>
    <w:rsid w:val="00501176"/>
    <w:rsid w:val="0051081D"/>
    <w:rsid w:val="00510891"/>
    <w:rsid w:val="0052535A"/>
    <w:rsid w:val="0053111A"/>
    <w:rsid w:val="0053282E"/>
    <w:rsid w:val="00546BD9"/>
    <w:rsid w:val="00562C62"/>
    <w:rsid w:val="005633CE"/>
    <w:rsid w:val="0056346C"/>
    <w:rsid w:val="00571ADE"/>
    <w:rsid w:val="005768BD"/>
    <w:rsid w:val="00582620"/>
    <w:rsid w:val="005853E9"/>
    <w:rsid w:val="00591574"/>
    <w:rsid w:val="0059304A"/>
    <w:rsid w:val="005943C6"/>
    <w:rsid w:val="005951EF"/>
    <w:rsid w:val="005B62C9"/>
    <w:rsid w:val="005C0622"/>
    <w:rsid w:val="005C3DA0"/>
    <w:rsid w:val="005E6A0A"/>
    <w:rsid w:val="005E6C89"/>
    <w:rsid w:val="005F1571"/>
    <w:rsid w:val="005F401F"/>
    <w:rsid w:val="00611202"/>
    <w:rsid w:val="006237BE"/>
    <w:rsid w:val="00627066"/>
    <w:rsid w:val="00636F27"/>
    <w:rsid w:val="00640733"/>
    <w:rsid w:val="006509E0"/>
    <w:rsid w:val="00673B27"/>
    <w:rsid w:val="0068229C"/>
    <w:rsid w:val="006878E9"/>
    <w:rsid w:val="006A010C"/>
    <w:rsid w:val="006C198A"/>
    <w:rsid w:val="006C2918"/>
    <w:rsid w:val="006C48F1"/>
    <w:rsid w:val="006C782C"/>
    <w:rsid w:val="006D095D"/>
    <w:rsid w:val="006E3CC3"/>
    <w:rsid w:val="006F42CA"/>
    <w:rsid w:val="006F6BFC"/>
    <w:rsid w:val="00701EBF"/>
    <w:rsid w:val="00703AC6"/>
    <w:rsid w:val="00710AA5"/>
    <w:rsid w:val="00713415"/>
    <w:rsid w:val="00715B3F"/>
    <w:rsid w:val="0071672C"/>
    <w:rsid w:val="00732DC2"/>
    <w:rsid w:val="00736638"/>
    <w:rsid w:val="00746317"/>
    <w:rsid w:val="007467A9"/>
    <w:rsid w:val="007554BB"/>
    <w:rsid w:val="00756BAD"/>
    <w:rsid w:val="00762E9B"/>
    <w:rsid w:val="0076501A"/>
    <w:rsid w:val="007662D6"/>
    <w:rsid w:val="007839AE"/>
    <w:rsid w:val="00785146"/>
    <w:rsid w:val="007A15F0"/>
    <w:rsid w:val="007A5DE1"/>
    <w:rsid w:val="007E7BA3"/>
    <w:rsid w:val="007F4BD9"/>
    <w:rsid w:val="00800E12"/>
    <w:rsid w:val="00801053"/>
    <w:rsid w:val="0080554A"/>
    <w:rsid w:val="0080610F"/>
    <w:rsid w:val="008078A4"/>
    <w:rsid w:val="008153D5"/>
    <w:rsid w:val="00823CA9"/>
    <w:rsid w:val="008403A0"/>
    <w:rsid w:val="0084652E"/>
    <w:rsid w:val="00855B7F"/>
    <w:rsid w:val="00860346"/>
    <w:rsid w:val="00870113"/>
    <w:rsid w:val="00873792"/>
    <w:rsid w:val="00873F09"/>
    <w:rsid w:val="00877F76"/>
    <w:rsid w:val="00880E89"/>
    <w:rsid w:val="008862E8"/>
    <w:rsid w:val="0089621F"/>
    <w:rsid w:val="008C0BE7"/>
    <w:rsid w:val="008C4F7D"/>
    <w:rsid w:val="008D094B"/>
    <w:rsid w:val="008D1ECA"/>
    <w:rsid w:val="008F2526"/>
    <w:rsid w:val="008F2ED3"/>
    <w:rsid w:val="00902581"/>
    <w:rsid w:val="00912013"/>
    <w:rsid w:val="009168D9"/>
    <w:rsid w:val="00925E61"/>
    <w:rsid w:val="00937C9F"/>
    <w:rsid w:val="00946EF5"/>
    <w:rsid w:val="00956338"/>
    <w:rsid w:val="00957F0A"/>
    <w:rsid w:val="00974E03"/>
    <w:rsid w:val="009822E7"/>
    <w:rsid w:val="00987BC8"/>
    <w:rsid w:val="0099177F"/>
    <w:rsid w:val="00993E4C"/>
    <w:rsid w:val="00995789"/>
    <w:rsid w:val="009A18C3"/>
    <w:rsid w:val="009B2EF0"/>
    <w:rsid w:val="009C07D0"/>
    <w:rsid w:val="009C6858"/>
    <w:rsid w:val="009D2A48"/>
    <w:rsid w:val="009D3518"/>
    <w:rsid w:val="009E29E5"/>
    <w:rsid w:val="009F2975"/>
    <w:rsid w:val="009F6CAB"/>
    <w:rsid w:val="009F7A2C"/>
    <w:rsid w:val="00A047F0"/>
    <w:rsid w:val="00A161FC"/>
    <w:rsid w:val="00A274AB"/>
    <w:rsid w:val="00A34069"/>
    <w:rsid w:val="00A357A0"/>
    <w:rsid w:val="00A454F0"/>
    <w:rsid w:val="00A610F1"/>
    <w:rsid w:val="00A61746"/>
    <w:rsid w:val="00A639F0"/>
    <w:rsid w:val="00A660A8"/>
    <w:rsid w:val="00A72D5D"/>
    <w:rsid w:val="00A7510F"/>
    <w:rsid w:val="00A75926"/>
    <w:rsid w:val="00A765E9"/>
    <w:rsid w:val="00A865ED"/>
    <w:rsid w:val="00AB0C3F"/>
    <w:rsid w:val="00AB38E1"/>
    <w:rsid w:val="00AB48E9"/>
    <w:rsid w:val="00AB6C59"/>
    <w:rsid w:val="00AC005D"/>
    <w:rsid w:val="00AC6F95"/>
    <w:rsid w:val="00AD727F"/>
    <w:rsid w:val="00AE1AFA"/>
    <w:rsid w:val="00AE67A6"/>
    <w:rsid w:val="00AE68C6"/>
    <w:rsid w:val="00AF4F8B"/>
    <w:rsid w:val="00AF740F"/>
    <w:rsid w:val="00AF7468"/>
    <w:rsid w:val="00B015CE"/>
    <w:rsid w:val="00B0396D"/>
    <w:rsid w:val="00B03CDA"/>
    <w:rsid w:val="00B151BE"/>
    <w:rsid w:val="00B26004"/>
    <w:rsid w:val="00B26ED8"/>
    <w:rsid w:val="00B41598"/>
    <w:rsid w:val="00B43698"/>
    <w:rsid w:val="00B4481B"/>
    <w:rsid w:val="00B479FC"/>
    <w:rsid w:val="00B47D50"/>
    <w:rsid w:val="00B72BD6"/>
    <w:rsid w:val="00B91989"/>
    <w:rsid w:val="00B94A57"/>
    <w:rsid w:val="00BA359E"/>
    <w:rsid w:val="00BB0DDE"/>
    <w:rsid w:val="00BB2053"/>
    <w:rsid w:val="00BB469B"/>
    <w:rsid w:val="00BB7636"/>
    <w:rsid w:val="00BB7A38"/>
    <w:rsid w:val="00BC3D86"/>
    <w:rsid w:val="00BC43F1"/>
    <w:rsid w:val="00BC7870"/>
    <w:rsid w:val="00BD0727"/>
    <w:rsid w:val="00BE12E8"/>
    <w:rsid w:val="00BE2F9E"/>
    <w:rsid w:val="00BE5444"/>
    <w:rsid w:val="00BE640F"/>
    <w:rsid w:val="00BF0CD1"/>
    <w:rsid w:val="00C1098B"/>
    <w:rsid w:val="00C12282"/>
    <w:rsid w:val="00C13005"/>
    <w:rsid w:val="00C15054"/>
    <w:rsid w:val="00C27D8F"/>
    <w:rsid w:val="00C36907"/>
    <w:rsid w:val="00C36A51"/>
    <w:rsid w:val="00C401BE"/>
    <w:rsid w:val="00C52F60"/>
    <w:rsid w:val="00C622B9"/>
    <w:rsid w:val="00C63818"/>
    <w:rsid w:val="00C82348"/>
    <w:rsid w:val="00CA4026"/>
    <w:rsid w:val="00CA787A"/>
    <w:rsid w:val="00CB02A2"/>
    <w:rsid w:val="00CD153F"/>
    <w:rsid w:val="00CD2230"/>
    <w:rsid w:val="00CD50E0"/>
    <w:rsid w:val="00CE2553"/>
    <w:rsid w:val="00D04B4C"/>
    <w:rsid w:val="00D26335"/>
    <w:rsid w:val="00D324D9"/>
    <w:rsid w:val="00D41788"/>
    <w:rsid w:val="00D43F80"/>
    <w:rsid w:val="00D45ED1"/>
    <w:rsid w:val="00D56E82"/>
    <w:rsid w:val="00D7114E"/>
    <w:rsid w:val="00D71C6E"/>
    <w:rsid w:val="00D74871"/>
    <w:rsid w:val="00D94396"/>
    <w:rsid w:val="00D97FEA"/>
    <w:rsid w:val="00DA6CD2"/>
    <w:rsid w:val="00DB6ED1"/>
    <w:rsid w:val="00DC1928"/>
    <w:rsid w:val="00DD4665"/>
    <w:rsid w:val="00DE17A4"/>
    <w:rsid w:val="00DE2A12"/>
    <w:rsid w:val="00DF1EA0"/>
    <w:rsid w:val="00DF5062"/>
    <w:rsid w:val="00E02FC1"/>
    <w:rsid w:val="00E05740"/>
    <w:rsid w:val="00E0581E"/>
    <w:rsid w:val="00E1130A"/>
    <w:rsid w:val="00E22081"/>
    <w:rsid w:val="00E27958"/>
    <w:rsid w:val="00E32427"/>
    <w:rsid w:val="00E4264C"/>
    <w:rsid w:val="00E55013"/>
    <w:rsid w:val="00E73399"/>
    <w:rsid w:val="00E74CB1"/>
    <w:rsid w:val="00E753B0"/>
    <w:rsid w:val="00E7573D"/>
    <w:rsid w:val="00E821CF"/>
    <w:rsid w:val="00E835E7"/>
    <w:rsid w:val="00E85911"/>
    <w:rsid w:val="00E8610F"/>
    <w:rsid w:val="00E931F1"/>
    <w:rsid w:val="00E97C02"/>
    <w:rsid w:val="00EA2C81"/>
    <w:rsid w:val="00EB6441"/>
    <w:rsid w:val="00EC3820"/>
    <w:rsid w:val="00EC4B59"/>
    <w:rsid w:val="00ED7B6B"/>
    <w:rsid w:val="00EF644A"/>
    <w:rsid w:val="00F072C1"/>
    <w:rsid w:val="00F07693"/>
    <w:rsid w:val="00F1033E"/>
    <w:rsid w:val="00F10369"/>
    <w:rsid w:val="00F17DEA"/>
    <w:rsid w:val="00F34275"/>
    <w:rsid w:val="00F35137"/>
    <w:rsid w:val="00F4204E"/>
    <w:rsid w:val="00F43286"/>
    <w:rsid w:val="00F57DCD"/>
    <w:rsid w:val="00F768B9"/>
    <w:rsid w:val="00F9789E"/>
    <w:rsid w:val="00FA1E1E"/>
    <w:rsid w:val="00FB00E1"/>
    <w:rsid w:val="00FB158F"/>
    <w:rsid w:val="00FB37DE"/>
    <w:rsid w:val="00FB75B1"/>
    <w:rsid w:val="00FC1111"/>
    <w:rsid w:val="00FC3BB8"/>
    <w:rsid w:val="00FC5334"/>
    <w:rsid w:val="00FD3811"/>
    <w:rsid w:val="00FE1B41"/>
    <w:rsid w:val="00FF21F2"/>
    <w:rsid w:val="00FF30A0"/>
    <w:rsid w:val="00FF339E"/>
    <w:rsid w:val="00FF47AD"/>
    <w:rsid w:val="00FF698C"/>
    <w:rsid w:val="00FF7E2B"/>
    <w:rsid w:val="0BA97A44"/>
    <w:rsid w:val="10206545"/>
    <w:rsid w:val="18D52260"/>
    <w:rsid w:val="19D73CC6"/>
    <w:rsid w:val="1A472154"/>
    <w:rsid w:val="1BC72B84"/>
    <w:rsid w:val="39777F08"/>
    <w:rsid w:val="43257B85"/>
    <w:rsid w:val="492F53CE"/>
    <w:rsid w:val="4FAF6015"/>
    <w:rsid w:val="55105F29"/>
    <w:rsid w:val="55EE10FA"/>
    <w:rsid w:val="57782B06"/>
    <w:rsid w:val="6480658F"/>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4"/>
    <w:semiHidden/>
    <w:unhideWhenUsed/>
    <w:qFormat/>
    <w:uiPriority w:val="99"/>
    <w:pPr>
      <w:jc w:val="left"/>
    </w:pPr>
  </w:style>
  <w:style w:type="paragraph" w:styleId="3">
    <w:name w:val="Plain Text"/>
    <w:basedOn w:val="1"/>
    <w:link w:val="13"/>
    <w:qFormat/>
    <w:uiPriority w:val="0"/>
    <w:rPr>
      <w:rFonts w:ascii="宋体" w:hAnsi="Courier New" w:cstheme="minorBidi"/>
      <w:szCs w:val="22"/>
    </w:rPr>
  </w:style>
  <w:style w:type="paragraph" w:styleId="4">
    <w:name w:val="Balloon Text"/>
    <w:basedOn w:val="1"/>
    <w:link w:val="21"/>
    <w:semiHidden/>
    <w:unhideWhenUsed/>
    <w:qFormat/>
    <w:uiPriority w:val="99"/>
    <w:rPr>
      <w:sz w:val="18"/>
      <w:szCs w:val="18"/>
    </w:rPr>
  </w:style>
  <w:style w:type="paragraph" w:styleId="5">
    <w:name w:val="footer"/>
    <w:basedOn w:val="1"/>
    <w:link w:val="14"/>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link w:val="15"/>
    <w:qFormat/>
    <w:uiPriority w:val="0"/>
    <w:pPr>
      <w:spacing w:before="240" w:after="60"/>
      <w:jc w:val="center"/>
      <w:outlineLvl w:val="0"/>
    </w:pPr>
    <w:rPr>
      <w:rFonts w:ascii="Arial" w:hAnsi="Arial" w:cs="Arial"/>
      <w:b/>
      <w:bCs/>
      <w:sz w:val="32"/>
      <w:szCs w:val="32"/>
    </w:rPr>
  </w:style>
  <w:style w:type="paragraph" w:styleId="8">
    <w:name w:val="annotation subject"/>
    <w:basedOn w:val="2"/>
    <w:next w:val="2"/>
    <w:link w:val="25"/>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纯文本 字符"/>
    <w:link w:val="3"/>
    <w:qFormat/>
    <w:uiPriority w:val="0"/>
    <w:rPr>
      <w:rFonts w:ascii="宋体" w:hAnsi="Courier New" w:eastAsia="宋体"/>
    </w:rPr>
  </w:style>
  <w:style w:type="character" w:customStyle="1" w:styleId="14">
    <w:name w:val="页脚 字符"/>
    <w:link w:val="5"/>
    <w:qFormat/>
    <w:uiPriority w:val="0"/>
    <w:rPr>
      <w:sz w:val="18"/>
    </w:rPr>
  </w:style>
  <w:style w:type="character" w:customStyle="1" w:styleId="15">
    <w:name w:val="标题 字符"/>
    <w:link w:val="7"/>
    <w:qFormat/>
    <w:uiPriority w:val="0"/>
    <w:rPr>
      <w:rFonts w:ascii="Arial" w:hAnsi="Arial" w:eastAsia="宋体" w:cs="Arial"/>
      <w:b/>
      <w:bCs/>
      <w:sz w:val="32"/>
      <w:szCs w:val="32"/>
    </w:rPr>
  </w:style>
  <w:style w:type="character" w:customStyle="1" w:styleId="16">
    <w:name w:val="页脚 Char"/>
    <w:basedOn w:val="11"/>
    <w:semiHidden/>
    <w:qFormat/>
    <w:uiPriority w:val="99"/>
    <w:rPr>
      <w:rFonts w:ascii="Times New Roman" w:hAnsi="Times New Roman" w:eastAsia="宋体" w:cs="Times New Roman"/>
      <w:sz w:val="18"/>
      <w:szCs w:val="18"/>
    </w:rPr>
  </w:style>
  <w:style w:type="character" w:customStyle="1" w:styleId="17">
    <w:name w:val="标题 Char"/>
    <w:basedOn w:val="11"/>
    <w:qFormat/>
    <w:uiPriority w:val="10"/>
    <w:rPr>
      <w:rFonts w:eastAsia="宋体" w:asciiTheme="majorHAnsi" w:hAnsiTheme="majorHAnsi" w:cstheme="majorBidi"/>
      <w:b/>
      <w:bCs/>
      <w:sz w:val="32"/>
      <w:szCs w:val="32"/>
    </w:rPr>
  </w:style>
  <w:style w:type="character" w:customStyle="1" w:styleId="18">
    <w:name w:val="纯文本 Char"/>
    <w:basedOn w:val="11"/>
    <w:semiHidden/>
    <w:qFormat/>
    <w:uiPriority w:val="99"/>
    <w:rPr>
      <w:rFonts w:ascii="宋体" w:hAnsi="Courier New" w:eastAsia="宋体" w:cs="Courier New"/>
      <w:szCs w:val="21"/>
    </w:rPr>
  </w:style>
  <w:style w:type="character" w:customStyle="1" w:styleId="19">
    <w:name w:val="页眉 字符"/>
    <w:basedOn w:val="11"/>
    <w:link w:val="6"/>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批注框文本 字符"/>
    <w:basedOn w:val="11"/>
    <w:link w:val="4"/>
    <w:semiHidden/>
    <w:qFormat/>
    <w:uiPriority w:val="99"/>
    <w:rPr>
      <w:rFonts w:ascii="Times New Roman" w:hAnsi="Times New Roman" w:eastAsia="宋体" w:cs="Times New Roman"/>
      <w:sz w:val="18"/>
      <w:szCs w:val="18"/>
    </w:rPr>
  </w:style>
  <w:style w:type="paragraph" w:customStyle="1" w:styleId="22">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 w:type="paragraph" w:customStyle="1" w:styleId="23">
    <w:name w:val="Revision"/>
    <w:hidden/>
    <w:unhideWhenUsed/>
    <w:qFormat/>
    <w:uiPriority w:val="99"/>
    <w:rPr>
      <w:rFonts w:ascii="Times New Roman" w:hAnsi="Times New Roman" w:eastAsia="宋体" w:cs="Times New Roman"/>
      <w:kern w:val="2"/>
      <w:sz w:val="21"/>
      <w:lang w:val="en-US" w:eastAsia="zh-CN" w:bidi="ar-SA"/>
    </w:rPr>
  </w:style>
  <w:style w:type="character" w:customStyle="1" w:styleId="24">
    <w:name w:val="批注文字 字符"/>
    <w:basedOn w:val="11"/>
    <w:link w:val="2"/>
    <w:semiHidden/>
    <w:qFormat/>
    <w:uiPriority w:val="99"/>
    <w:rPr>
      <w:rFonts w:ascii="Times New Roman" w:hAnsi="Times New Roman" w:eastAsia="宋体" w:cs="Times New Roman"/>
      <w:kern w:val="2"/>
      <w:sz w:val="21"/>
    </w:rPr>
  </w:style>
  <w:style w:type="character" w:customStyle="1" w:styleId="25">
    <w:name w:val="批注主题 字符"/>
    <w:basedOn w:val="24"/>
    <w:link w:val="8"/>
    <w:semiHidden/>
    <w:qFormat/>
    <w:uiPriority w:val="99"/>
    <w:rPr>
      <w:rFonts w:ascii="Times New Roman" w:hAnsi="Times New Roman" w:eastAsia="宋体" w:cs="Times New Roman"/>
      <w:b/>
      <w:bCs/>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2994</Words>
  <Characters>3177</Characters>
  <Lines>24</Lines>
  <Paragraphs>6</Paragraphs>
  <TotalTime>155</TotalTime>
  <ScaleCrop>false</ScaleCrop>
  <LinksUpToDate>false</LinksUpToDate>
  <CharactersWithSpaces>3281</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2025-08-28T09:27:00Z</dcterms:created>
  <dc:creator>User</dc:creator>
  <cp:lastModifiedBy>Xuetao Zhang</cp:lastModifiedBy>
  <dcterms:modified xsi:type="dcterms:W3CDTF">2025-09-28T02:35:32Z</dcterms:modified>
  <cp:revision>333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4B7ED443BC014A14AF14716F9E135FD8_13</vt:lpwstr>
  </property>
  <property fmtid="{D5CDD505-2E9C-101B-9397-08002B2CF9AE}" pid="4" name="KSOTemplateDocerSaveRecord">
    <vt:lpwstr>eyJoZGlkIjoiOWJhMDE1MzMzNjI5YjljZTc1MjYyM2M4YzEzZjg0YmMiLCJ1c2VySWQiOiI2MzQxNjU4MTUifQ==</vt:lpwstr>
  </property>
</Properties>
</file>