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9982F">
      <w:pPr>
        <w:pStyle w:val="5"/>
        <w:rPr>
          <w:rFonts w:ascii="宋体" w:hAnsi="宋体"/>
          <w:sz w:val="36"/>
        </w:rPr>
      </w:pPr>
      <w:bookmarkStart w:id="0" w:name="_Toc38367762"/>
      <w:bookmarkStart w:id="11" w:name="_GoBack"/>
      <w:bookmarkEnd w:id="11"/>
      <w:r>
        <w:rPr>
          <w:rFonts w:hint="eastAsia" w:ascii="宋体" w:hAnsi="宋体"/>
          <w:sz w:val="36"/>
        </w:rPr>
        <w:t>【顺磁共振波谱仪】</w:t>
      </w:r>
      <w:r>
        <w:rPr>
          <w:rFonts w:ascii="宋体" w:hAnsi="宋体"/>
          <w:sz w:val="36"/>
        </w:rPr>
        <w:t>采购需求</w:t>
      </w:r>
    </w:p>
    <w:p w14:paraId="05F003BE">
      <w:pPr>
        <w:tabs>
          <w:tab w:val="left" w:pos="900"/>
        </w:tabs>
        <w:spacing w:before="156" w:beforeLines="50" w:line="360" w:lineRule="auto"/>
        <w:rPr>
          <w:b/>
          <w:szCs w:val="21"/>
        </w:rPr>
      </w:pPr>
      <w:r>
        <w:rPr>
          <w:rFonts w:hint="eastAsia" w:hAnsi="宋体"/>
          <w:b/>
          <w:szCs w:val="21"/>
        </w:rPr>
        <w:t>一、</w:t>
      </w:r>
      <w:r>
        <w:rPr>
          <w:rFonts w:hAnsi="宋体"/>
          <w:b/>
          <w:szCs w:val="21"/>
        </w:rPr>
        <w:t>采购</w:t>
      </w:r>
      <w:r>
        <w:rPr>
          <w:rFonts w:hint="eastAsia" w:hAnsi="宋体"/>
          <w:b/>
          <w:szCs w:val="21"/>
        </w:rPr>
        <w:t>标的</w:t>
      </w:r>
      <w:r>
        <w:rPr>
          <w:rFonts w:hAnsi="宋体"/>
          <w:b/>
          <w:szCs w:val="21"/>
        </w:rPr>
        <w:t>需实现的功能或者目标，以及为落实政府采购政策需满足的要求：</w:t>
      </w:r>
    </w:p>
    <w:p w14:paraId="63CC3A22">
      <w:pPr>
        <w:tabs>
          <w:tab w:val="left" w:pos="900"/>
        </w:tabs>
        <w:spacing w:before="156" w:beforeLines="50" w:line="360" w:lineRule="auto"/>
        <w:rPr>
          <w:rFonts w:hAnsi="宋体"/>
          <w:b/>
          <w:szCs w:val="21"/>
        </w:rPr>
      </w:pPr>
      <w:r>
        <w:rPr>
          <w:rFonts w:hAnsi="宋体"/>
          <w:b/>
          <w:szCs w:val="21"/>
        </w:rPr>
        <w:t>（一）采购</w:t>
      </w:r>
      <w:r>
        <w:rPr>
          <w:rFonts w:hint="eastAsia" w:hAnsi="宋体"/>
          <w:b/>
          <w:szCs w:val="21"/>
        </w:rPr>
        <w:t>标的</w:t>
      </w:r>
      <w:r>
        <w:rPr>
          <w:rFonts w:hAnsi="宋体"/>
          <w:b/>
          <w:szCs w:val="21"/>
        </w:rPr>
        <w:t>需实现的功能或者目标</w:t>
      </w:r>
    </w:p>
    <w:p w14:paraId="41C97E8D">
      <w:pPr>
        <w:tabs>
          <w:tab w:val="left" w:pos="900"/>
        </w:tabs>
        <w:spacing w:before="156" w:beforeLines="50" w:line="360" w:lineRule="auto"/>
        <w:ind w:firstLine="420" w:firstLineChars="200"/>
        <w:rPr>
          <w:szCs w:val="21"/>
        </w:rPr>
      </w:pPr>
      <w:r>
        <w:rPr>
          <w:rFonts w:hint="eastAsia"/>
          <w:szCs w:val="21"/>
        </w:rPr>
        <w:t>本项目采购顺磁共振波谱仪及配套附件1套。要求实现对样品（如自由基、d轨道或f轨道含奇数个未成对电子的金属离子、缺陷等体系）的定性与定量分析功能、对电子自旋弛豫特性、电子-电子相互作用等检测功能。设备需具备高灵敏度、高信噪比及干式无液氦低温变温功能，支持脉冲与连续波双模式操作，并配备具有数据处理及谱图模拟功能的</w:t>
      </w:r>
      <w:r>
        <w:rPr>
          <w:rFonts w:ascii="Times New Roman" w:hAnsi="Times New Roman"/>
          <w:szCs w:val="21"/>
        </w:rPr>
        <w:t>实验操作</w:t>
      </w:r>
      <w:r>
        <w:rPr>
          <w:rFonts w:hint="eastAsia"/>
          <w:szCs w:val="21"/>
        </w:rPr>
        <w:t>软件，满足复杂体系的原位检测需求。主要用于材料、化学及生物领域的相关研究。</w:t>
      </w:r>
    </w:p>
    <w:p w14:paraId="3CB6C114">
      <w:pPr>
        <w:tabs>
          <w:tab w:val="left" w:pos="900"/>
        </w:tabs>
        <w:spacing w:before="156" w:beforeLines="50" w:line="360" w:lineRule="auto"/>
        <w:rPr>
          <w:rFonts w:hAnsi="宋体"/>
          <w:b/>
          <w:szCs w:val="21"/>
        </w:rPr>
      </w:pPr>
      <w:r>
        <w:rPr>
          <w:rFonts w:hAnsi="宋体"/>
          <w:b/>
          <w:szCs w:val="21"/>
        </w:rPr>
        <w:t>（二）为落实政府采购政策需满足的要求</w:t>
      </w:r>
    </w:p>
    <w:p w14:paraId="4A19DE34">
      <w:pPr>
        <w:tabs>
          <w:tab w:val="left" w:pos="900"/>
        </w:tabs>
        <w:spacing w:before="156" w:beforeLines="50" w:line="360" w:lineRule="auto"/>
        <w:ind w:firstLine="420" w:firstLineChars="200"/>
        <w:rPr>
          <w:szCs w:val="21"/>
        </w:rPr>
      </w:pPr>
      <w:r>
        <w:rPr>
          <w:rFonts w:hint="eastAsia"/>
          <w:szCs w:val="21"/>
        </w:rPr>
        <w:t>根据《政府采购促进中小企业发展管理办法》（财库【2020】46号）规定，本项目采购标的为中小型企业制造、承建或承接的，投标人应提供办法规定的《中小企业声明函》，否则不得享受相关中小企业扶持政策。投标人应对提交的中小企业声明函的真实性负责，提交的中小企业声明函不真实的，应承担相应的法律责任。</w:t>
      </w:r>
    </w:p>
    <w:p w14:paraId="5D6E44BC">
      <w:pPr>
        <w:tabs>
          <w:tab w:val="left" w:pos="900"/>
        </w:tabs>
        <w:spacing w:before="156" w:beforeLines="50" w:line="360" w:lineRule="auto"/>
        <w:ind w:firstLine="420" w:firstLineChars="200"/>
        <w:rPr>
          <w:szCs w:val="21"/>
        </w:rPr>
      </w:pPr>
      <w:r>
        <w:rPr>
          <w:rFonts w:hint="eastAsia"/>
          <w:szCs w:val="21"/>
        </w:rPr>
        <w:t>本项目采购标的对应的《中小企业划型标准规定》所属行业为：   工业    。</w:t>
      </w:r>
    </w:p>
    <w:p w14:paraId="6A4FC3F3">
      <w:pPr>
        <w:tabs>
          <w:tab w:val="left" w:pos="900"/>
        </w:tabs>
        <w:spacing w:before="156" w:beforeLines="50" w:line="360" w:lineRule="auto"/>
        <w:ind w:firstLine="422" w:firstLineChars="200"/>
        <w:rPr>
          <w:rFonts w:hAnsi="宋体"/>
          <w:b/>
          <w:szCs w:val="21"/>
        </w:rPr>
      </w:pPr>
      <w:r>
        <w:rPr>
          <w:rFonts w:hint="eastAsia" w:hAnsi="宋体"/>
          <w:b/>
          <w:szCs w:val="21"/>
        </w:rPr>
        <w:t>2</w:t>
      </w:r>
      <w:r>
        <w:rPr>
          <w:rFonts w:hAnsi="宋体"/>
          <w:b/>
          <w:szCs w:val="21"/>
        </w:rPr>
        <w:t>.</w:t>
      </w:r>
      <w:r>
        <w:rPr>
          <w:rFonts w:hint="eastAsia" w:hAnsi="宋体"/>
          <w:b/>
          <w:szCs w:val="21"/>
        </w:rPr>
        <w:t xml:space="preserve"> □ 本采购项目允许进口产品参加。</w:t>
      </w:r>
    </w:p>
    <w:p w14:paraId="111D3173">
      <w:pPr>
        <w:tabs>
          <w:tab w:val="left" w:pos="900"/>
        </w:tabs>
        <w:spacing w:before="156" w:beforeLines="50" w:line="360" w:lineRule="auto"/>
        <w:rPr>
          <w:rFonts w:hAnsi="宋体"/>
          <w:b/>
          <w:szCs w:val="21"/>
        </w:rPr>
      </w:pPr>
      <w:r>
        <w:rPr>
          <w:rFonts w:hint="eastAsia" w:hAnsi="宋体"/>
          <w:b/>
          <w:szCs w:val="21"/>
        </w:rPr>
        <w:t>（说明：请项目单位根据采购实际情况在“□”中打勾（</w:t>
      </w:r>
      <w:r>
        <w:rPr>
          <w:rFonts w:hint="eastAsia" w:hAnsi="宋体"/>
          <w:b/>
          <w:szCs w:val="21"/>
        </w:rPr>
        <w:sym w:font="Wingdings 2" w:char="F052"/>
      </w:r>
      <w:r>
        <w:rPr>
          <w:rFonts w:hint="eastAsia" w:hAnsi="宋体"/>
          <w:b/>
          <w:szCs w:val="21"/>
        </w:rPr>
        <w:t>）。未进行勾选的，视为只接受本国产品参加）</w:t>
      </w:r>
    </w:p>
    <w:p w14:paraId="720D40D8">
      <w:pPr>
        <w:tabs>
          <w:tab w:val="left" w:pos="900"/>
        </w:tabs>
        <w:spacing w:before="156" w:beforeLines="50" w:line="360" w:lineRule="auto"/>
        <w:rPr>
          <w:rFonts w:hAnsi="宋体"/>
          <w:b/>
          <w:szCs w:val="21"/>
        </w:rPr>
      </w:pPr>
      <w:r>
        <w:rPr>
          <w:rFonts w:hint="eastAsia" w:hAnsi="宋体"/>
          <w:b/>
          <w:szCs w:val="21"/>
        </w:rPr>
        <w:t>二、</w:t>
      </w:r>
      <w:r>
        <w:rPr>
          <w:rFonts w:hAnsi="宋体"/>
          <w:b/>
          <w:szCs w:val="21"/>
        </w:rPr>
        <w:t>采购</w:t>
      </w:r>
      <w:r>
        <w:rPr>
          <w:rFonts w:hint="eastAsia" w:hAnsi="宋体"/>
          <w:b/>
          <w:szCs w:val="21"/>
        </w:rPr>
        <w:t>标的</w:t>
      </w:r>
      <w:r>
        <w:rPr>
          <w:rFonts w:hAnsi="宋体"/>
          <w:b/>
          <w:szCs w:val="21"/>
        </w:rPr>
        <w:t>需执行的国家相关标准、行业标准、地方标准或者其他标准、规范：</w:t>
      </w:r>
    </w:p>
    <w:p w14:paraId="017D8F9D">
      <w:pPr>
        <w:tabs>
          <w:tab w:val="left" w:pos="900"/>
        </w:tabs>
        <w:spacing w:before="156" w:beforeLines="50" w:line="360" w:lineRule="auto"/>
        <w:ind w:firstLine="420" w:firstLineChars="20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68ABB9A3">
      <w:pPr>
        <w:tabs>
          <w:tab w:val="left" w:pos="900"/>
        </w:tabs>
        <w:spacing w:before="156" w:beforeLines="50" w:line="360" w:lineRule="auto"/>
        <w:rPr>
          <w:rFonts w:hAnsi="宋体"/>
          <w:b/>
          <w:szCs w:val="21"/>
        </w:rPr>
      </w:pPr>
      <w:r>
        <w:rPr>
          <w:rFonts w:hint="eastAsia" w:hAnsi="宋体"/>
          <w:b/>
          <w:szCs w:val="21"/>
        </w:rPr>
        <w:t>三、采购标的概况</w:t>
      </w:r>
    </w:p>
    <w:p w14:paraId="1EFD9B73">
      <w:pPr>
        <w:spacing w:before="156" w:beforeLines="50" w:line="360" w:lineRule="auto"/>
        <w:rPr>
          <w:rFonts w:hAnsi="宋体"/>
          <w:szCs w:val="21"/>
        </w:rPr>
      </w:pPr>
      <w:r>
        <w:rPr>
          <w:rFonts w:hint="eastAsia" w:ascii="宋体" w:hAnsi="宋体"/>
          <w:szCs w:val="21"/>
        </w:rPr>
        <w:t>（一）采购项目名称：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顺磁共振波谱仪</w:t>
      </w:r>
      <w:r>
        <w:rPr>
          <w:rFonts w:ascii="宋体" w:hAnsi="宋体"/>
          <w:szCs w:val="21"/>
          <w:u w:val="single"/>
        </w:rPr>
        <w:t xml:space="preserve">      </w:t>
      </w:r>
    </w:p>
    <w:p w14:paraId="02416093">
      <w:pPr>
        <w:spacing w:before="156" w:beforeLines="50" w:line="360" w:lineRule="auto"/>
        <w:rPr>
          <w:rFonts w:hAnsi="宋体"/>
          <w:szCs w:val="21"/>
          <w:u w:val="single"/>
        </w:rPr>
      </w:pPr>
      <w:r>
        <w:rPr>
          <w:rFonts w:hint="eastAsia" w:hAnsi="宋体"/>
          <w:szCs w:val="21"/>
        </w:rPr>
        <w:t>（二）采购数量及计量单位：</w:t>
      </w:r>
      <w:r>
        <w:rPr>
          <w:rFonts w:hAnsi="宋体"/>
          <w:szCs w:val="21"/>
          <w:u w:val="single"/>
        </w:rPr>
        <w:t xml:space="preserve">   1</w:t>
      </w:r>
      <w:r>
        <w:rPr>
          <w:rFonts w:hint="eastAsia" w:hAnsi="宋体"/>
          <w:szCs w:val="21"/>
          <w:u w:val="single"/>
        </w:rPr>
        <w:t>套</w:t>
      </w:r>
      <w:r>
        <w:rPr>
          <w:rFonts w:hAnsi="宋体"/>
          <w:szCs w:val="21"/>
          <w:u w:val="single"/>
        </w:rPr>
        <w:t xml:space="preserve">         </w:t>
      </w:r>
    </w:p>
    <w:p w14:paraId="21229A0E">
      <w:pPr>
        <w:spacing w:before="156" w:beforeLines="50" w:line="360" w:lineRule="auto"/>
        <w:rPr>
          <w:rFonts w:hAnsi="宋体"/>
          <w:szCs w:val="21"/>
        </w:rPr>
      </w:pPr>
      <w:r>
        <w:rPr>
          <w:rFonts w:hint="eastAsia" w:hAnsi="宋体"/>
          <w:szCs w:val="21"/>
        </w:rPr>
        <w:t>（三）最高限价：人民币</w:t>
      </w:r>
      <w:r>
        <w:rPr>
          <w:rFonts w:hint="eastAsia" w:hAnsi="宋体"/>
          <w:szCs w:val="21"/>
          <w:u w:val="single"/>
        </w:rPr>
        <w:t xml:space="preserve"> </w:t>
      </w:r>
      <w:r>
        <w:rPr>
          <w:rFonts w:hAnsi="宋体"/>
          <w:szCs w:val="21"/>
          <w:u w:val="single"/>
        </w:rPr>
        <w:t xml:space="preserve">   475</w:t>
      </w:r>
      <w:r>
        <w:rPr>
          <w:rFonts w:hint="eastAsia" w:hAnsi="宋体"/>
          <w:szCs w:val="21"/>
          <w:u w:val="single"/>
        </w:rPr>
        <w:t xml:space="preserve">万 </w:t>
      </w:r>
      <w:r>
        <w:rPr>
          <w:rFonts w:hAnsi="宋体"/>
          <w:szCs w:val="21"/>
          <w:u w:val="single"/>
        </w:rPr>
        <w:t xml:space="preserve">      </w:t>
      </w:r>
      <w:r>
        <w:rPr>
          <w:rFonts w:hAnsi="宋体"/>
          <w:szCs w:val="21"/>
        </w:rPr>
        <w:t xml:space="preserve"> </w:t>
      </w:r>
      <w:r>
        <w:rPr>
          <w:rFonts w:hint="eastAsia" w:hAnsi="宋体"/>
          <w:szCs w:val="21"/>
        </w:rPr>
        <w:t>元。</w:t>
      </w:r>
    </w:p>
    <w:p w14:paraId="477CDCD6">
      <w:pPr>
        <w:spacing w:before="156" w:beforeLines="50" w:line="360" w:lineRule="auto"/>
        <w:rPr>
          <w:szCs w:val="21"/>
        </w:rPr>
      </w:pPr>
      <w:r>
        <w:rPr>
          <w:rFonts w:hint="eastAsia" w:hAnsi="宋体"/>
          <w:szCs w:val="21"/>
        </w:rPr>
        <w:t>（四）</w:t>
      </w:r>
      <w:r>
        <w:rPr>
          <w:rFonts w:hAnsi="宋体"/>
          <w:szCs w:val="21"/>
        </w:rPr>
        <w:t>交付时间：</w:t>
      </w:r>
      <w:r>
        <w:rPr>
          <w:rFonts w:hAnsi="宋体"/>
        </w:rPr>
        <w:t>合同签订后</w:t>
      </w:r>
      <w:r>
        <w:rPr>
          <w:rFonts w:hAnsi="宋体"/>
          <w:u w:val="single"/>
        </w:rPr>
        <w:t xml:space="preserve">    </w:t>
      </w:r>
      <w:r>
        <w:rPr>
          <w:rFonts w:hint="eastAsia" w:hAnsi="宋体"/>
          <w:u w:val="single"/>
        </w:rPr>
        <w:t>180</w:t>
      </w:r>
      <w:r>
        <w:rPr>
          <w:rFonts w:hAnsi="宋体"/>
          <w:u w:val="single"/>
        </w:rPr>
        <w:t xml:space="preserve">     </w:t>
      </w:r>
      <w:r>
        <w:rPr>
          <w:rFonts w:hint="eastAsia" w:hAnsi="宋体"/>
        </w:rPr>
        <w:t>天内。</w:t>
      </w:r>
    </w:p>
    <w:p w14:paraId="1C30CEBE">
      <w:pPr>
        <w:tabs>
          <w:tab w:val="left" w:pos="900"/>
        </w:tabs>
        <w:spacing w:before="156" w:beforeLines="50" w:line="360" w:lineRule="auto"/>
        <w:rPr>
          <w:rFonts w:hAnsi="宋体"/>
          <w:szCs w:val="21"/>
        </w:rPr>
      </w:pPr>
      <w:r>
        <w:rPr>
          <w:rFonts w:hint="eastAsia" w:hAnsi="宋体"/>
          <w:szCs w:val="21"/>
        </w:rPr>
        <w:t>（五）</w:t>
      </w:r>
      <w:r>
        <w:rPr>
          <w:rFonts w:hAnsi="宋体"/>
          <w:szCs w:val="21"/>
        </w:rPr>
        <w:t>交付地点：</w:t>
      </w:r>
      <w:r>
        <w:rPr>
          <w:rFonts w:hint="eastAsia" w:hAnsi="宋体"/>
          <w:szCs w:val="21"/>
          <w:u w:val="single"/>
        </w:rPr>
        <w:t xml:space="preserve">  西安交通大学创新港校区1</w:t>
      </w:r>
      <w:r>
        <w:rPr>
          <w:rFonts w:hAnsi="宋体"/>
          <w:szCs w:val="21"/>
          <w:u w:val="single"/>
        </w:rPr>
        <w:t>8</w:t>
      </w:r>
      <w:r>
        <w:rPr>
          <w:rFonts w:hint="eastAsia" w:hAnsi="宋体"/>
          <w:szCs w:val="21"/>
          <w:u w:val="single"/>
        </w:rPr>
        <w:t>号楼辅楼1</w:t>
      </w:r>
      <w:r>
        <w:rPr>
          <w:rFonts w:hAnsi="宋体"/>
          <w:szCs w:val="21"/>
          <w:u w:val="single"/>
        </w:rPr>
        <w:t>025</w:t>
      </w:r>
      <w:r>
        <w:rPr>
          <w:rFonts w:hint="eastAsia" w:hAnsi="宋体"/>
          <w:szCs w:val="21"/>
        </w:rPr>
        <w:t>。</w:t>
      </w:r>
    </w:p>
    <w:p w14:paraId="17781010">
      <w:pPr>
        <w:tabs>
          <w:tab w:val="left" w:pos="900"/>
        </w:tabs>
        <w:spacing w:before="156" w:beforeLines="50" w:line="360" w:lineRule="auto"/>
        <w:rPr>
          <w:rFonts w:hAnsi="宋体"/>
          <w:szCs w:val="21"/>
        </w:rPr>
      </w:pPr>
      <w:r>
        <w:rPr>
          <w:rFonts w:hint="eastAsia" w:hAnsi="宋体"/>
          <w:szCs w:val="21"/>
        </w:rPr>
        <w:t>（六）付款进度安排：</w:t>
      </w:r>
      <w:r>
        <w:rPr>
          <w:rFonts w:hint="eastAsia" w:hAnsi="宋体"/>
          <w:szCs w:val="21"/>
          <w:u w:val="single"/>
        </w:rPr>
        <w:t xml:space="preserve">  </w:t>
      </w:r>
      <w:r>
        <w:rPr>
          <w:rFonts w:hint="eastAsia" w:ascii="Calibri" w:hAnsi="宋体" w:eastAsia="宋体" w:cs="Times New Roman"/>
          <w:i w:val="0"/>
          <w:iCs w:val="0"/>
          <w:caps w:val="0"/>
          <w:spacing w:val="0"/>
          <w:sz w:val="21"/>
          <w:szCs w:val="21"/>
          <w:u w:val="single"/>
          <w:shd w:val="clear"/>
        </w:rPr>
        <w:t>合同签订后，供方向需方开具见索即付银行保函，保函金额不低于合同总金额70%，保函期限见甲方货物类采购项目验收报告结束。保函内容应得到采购方认可。需方在合同签订后向供方支付合同全款，供方出具的银行保函作为需方支付该合同款项的必要依据。</w:t>
      </w:r>
    </w:p>
    <w:p w14:paraId="322FE196">
      <w:pPr>
        <w:tabs>
          <w:tab w:val="left" w:pos="900"/>
        </w:tabs>
        <w:spacing w:before="156" w:beforeLines="50" w:line="360" w:lineRule="auto"/>
        <w:rPr>
          <w:rFonts w:hAnsi="宋体"/>
          <w:b/>
          <w:szCs w:val="21"/>
        </w:rPr>
      </w:pPr>
      <w:r>
        <w:rPr>
          <w:rFonts w:hint="eastAsia" w:hAnsi="宋体"/>
          <w:b/>
          <w:szCs w:val="21"/>
        </w:rPr>
        <w:t>四、采购标的需满足的质量、安全、技术规格、物理特性等要求：</w:t>
      </w:r>
    </w:p>
    <w:p w14:paraId="504EB4C6">
      <w:pPr>
        <w:tabs>
          <w:tab w:val="left" w:pos="900"/>
        </w:tabs>
        <w:spacing w:before="156" w:beforeLines="50" w:line="360" w:lineRule="auto"/>
        <w:rPr>
          <w:rFonts w:ascii="Times New Roman" w:hAnsi="Times New Roman"/>
          <w:szCs w:val="21"/>
        </w:rPr>
      </w:pPr>
      <w:r>
        <w:rPr>
          <w:rFonts w:hint="eastAsia" w:ascii="Times New Roman" w:hAnsi="Times New Roman"/>
          <w:szCs w:val="21"/>
        </w:rPr>
        <w:t>“</w:t>
      </w:r>
      <w:r>
        <w:rPr>
          <w:rFonts w:ascii="Times New Roman" w:hAnsi="Times New Roman"/>
          <w:szCs w:val="21"/>
        </w:rPr>
        <w:t>*</w:t>
      </w:r>
      <w:r>
        <w:rPr>
          <w:rFonts w:hint="eastAsia" w:ascii="Times New Roman" w:hAnsi="Times New Roman"/>
          <w:szCs w:val="21"/>
        </w:rPr>
        <w:t>”指标为重点关注指标，不作废标项。</w:t>
      </w:r>
    </w:p>
    <w:p w14:paraId="02D50B09">
      <w:pPr>
        <w:tabs>
          <w:tab w:val="left" w:pos="900"/>
        </w:tabs>
        <w:spacing w:before="156" w:beforeLines="50" w:line="360" w:lineRule="auto"/>
        <w:rPr>
          <w:rFonts w:hAnsi="宋体"/>
          <w:b/>
          <w:szCs w:val="21"/>
        </w:rPr>
      </w:pPr>
      <w:r>
        <w:rPr>
          <w:rFonts w:hint="eastAsia" w:hAnsi="宋体"/>
          <w:b/>
          <w:szCs w:val="21"/>
        </w:rPr>
        <w:t>系统包括：顺磁共振波谱仪主机、原位光照系统、无液氦干式变温系统各1套及配套附件。主要技术参数要求如下：</w:t>
      </w:r>
    </w:p>
    <w:p w14:paraId="486F6F80">
      <w:pPr>
        <w:tabs>
          <w:tab w:val="left" w:pos="900"/>
        </w:tabs>
        <w:spacing w:before="156" w:beforeLines="50" w:line="360" w:lineRule="auto"/>
        <w:rPr>
          <w:rFonts w:ascii="Times New Roman" w:hAnsi="Times New Roman"/>
          <w:szCs w:val="21"/>
        </w:rPr>
      </w:pPr>
      <w:r>
        <w:rPr>
          <w:rFonts w:hint="eastAsia" w:ascii="Times New Roman" w:hAnsi="Times New Roman"/>
          <w:szCs w:val="21"/>
        </w:rPr>
        <w:t>1、主机</w:t>
      </w:r>
      <w:r>
        <w:rPr>
          <w:rFonts w:ascii="Times New Roman" w:hAnsi="Times New Roman"/>
          <w:szCs w:val="21"/>
        </w:rPr>
        <w:t>参数</w:t>
      </w:r>
    </w:p>
    <w:p w14:paraId="455C3226">
      <w:pPr>
        <w:tabs>
          <w:tab w:val="left" w:pos="900"/>
        </w:tabs>
        <w:spacing w:before="156" w:beforeLines="50" w:line="360" w:lineRule="auto"/>
        <w:rPr>
          <w:rFonts w:ascii="Times New Roman" w:hAnsi="Times New Roman"/>
          <w:szCs w:val="21"/>
        </w:rPr>
      </w:pPr>
      <w:r>
        <w:rPr>
          <w:rFonts w:ascii="Times New Roman" w:hAnsi="Times New Roman"/>
          <w:szCs w:val="21"/>
        </w:rPr>
        <w:t>*1.1</w:t>
      </w:r>
      <w:r>
        <w:rPr>
          <w:rFonts w:hint="eastAsia" w:ascii="Times New Roman" w:hAnsi="Times New Roman"/>
          <w:szCs w:val="21"/>
        </w:rPr>
        <w:t xml:space="preserve"> 主机具有脉冲和连续波两种工作模式，工作模式可选择。</w:t>
      </w:r>
    </w:p>
    <w:p w14:paraId="7615618E">
      <w:pPr>
        <w:tabs>
          <w:tab w:val="left" w:pos="900"/>
        </w:tabs>
        <w:spacing w:before="156" w:beforeLines="50" w:line="360" w:lineRule="auto"/>
        <w:rPr>
          <w:rFonts w:ascii="Times New Roman" w:hAnsi="Times New Roman"/>
          <w:szCs w:val="21"/>
        </w:rPr>
      </w:pPr>
      <w:r>
        <w:rPr>
          <w:rFonts w:ascii="Times New Roman" w:hAnsi="Times New Roman"/>
          <w:szCs w:val="21"/>
        </w:rPr>
        <w:t xml:space="preserve">*1.2 </w:t>
      </w:r>
      <w:bookmarkStart w:id="1" w:name="OLE_LINK15"/>
      <w:r>
        <w:rPr>
          <w:rFonts w:hint="eastAsia" w:ascii="Times New Roman" w:hAnsi="Times New Roman"/>
          <w:szCs w:val="21"/>
        </w:rPr>
        <w:t>两种</w:t>
      </w:r>
      <w:r>
        <w:rPr>
          <w:rFonts w:ascii="Times New Roman" w:hAnsi="Times New Roman"/>
          <w:szCs w:val="21"/>
        </w:rPr>
        <w:t>模式下</w:t>
      </w:r>
      <w:bookmarkEnd w:id="1"/>
      <w:r>
        <w:rPr>
          <w:rFonts w:ascii="Times New Roman" w:hAnsi="Times New Roman"/>
          <w:szCs w:val="21"/>
        </w:rPr>
        <w:t>探测信噪比：</w:t>
      </w:r>
      <w:bookmarkStart w:id="2" w:name="OLE_LINK16"/>
      <w:bookmarkStart w:id="3" w:name="OLE_LINK17"/>
      <w:r>
        <w:rPr>
          <w:rFonts w:ascii="Times New Roman" w:hAnsi="Times New Roman"/>
          <w:szCs w:val="21"/>
        </w:rPr>
        <w:t>≥</w:t>
      </w:r>
      <w:bookmarkEnd w:id="2"/>
      <w:bookmarkEnd w:id="3"/>
      <w:r>
        <w:rPr>
          <w:rFonts w:ascii="Times New Roman" w:hAnsi="Times New Roman"/>
          <w:szCs w:val="21"/>
        </w:rPr>
        <w:t xml:space="preserve"> 2500:1</w:t>
      </w:r>
      <w:r>
        <w:rPr>
          <w:rFonts w:hint="eastAsia" w:ascii="Times New Roman" w:hAnsi="Times New Roman"/>
          <w:szCs w:val="21"/>
        </w:rPr>
        <w:t>。</w:t>
      </w:r>
    </w:p>
    <w:p w14:paraId="2D4C7F8B">
      <w:pPr>
        <w:tabs>
          <w:tab w:val="left" w:pos="900"/>
        </w:tabs>
        <w:spacing w:before="156" w:beforeLines="50" w:line="360" w:lineRule="auto"/>
        <w:rPr>
          <w:rFonts w:ascii="Times New Roman" w:hAnsi="Times New Roman"/>
          <w:szCs w:val="21"/>
        </w:rPr>
      </w:pPr>
      <w:r>
        <w:rPr>
          <w:rFonts w:ascii="Times New Roman" w:hAnsi="Times New Roman"/>
          <w:szCs w:val="21"/>
        </w:rPr>
        <w:t>*1.3</w:t>
      </w:r>
      <w:r>
        <w:rPr>
          <w:rFonts w:hint="eastAsia" w:ascii="Times New Roman" w:hAnsi="Times New Roman"/>
          <w:szCs w:val="21"/>
        </w:rPr>
        <w:t xml:space="preserve"> 两种</w:t>
      </w:r>
      <w:r>
        <w:rPr>
          <w:rFonts w:ascii="Times New Roman" w:hAnsi="Times New Roman"/>
          <w:szCs w:val="21"/>
        </w:rPr>
        <w:t>模式下绝对自旋数目灵敏度：</w:t>
      </w:r>
      <w:bookmarkStart w:id="4" w:name="OLE_LINK21"/>
      <w:bookmarkStart w:id="5" w:name="OLE_LINK22"/>
      <w:r>
        <w:rPr>
          <w:rFonts w:ascii="Times New Roman" w:hAnsi="Times New Roman"/>
          <w:szCs w:val="21"/>
        </w:rPr>
        <w:t xml:space="preserve">≤ </w:t>
      </w:r>
      <w:bookmarkEnd w:id="4"/>
      <w:bookmarkEnd w:id="5"/>
      <w:r>
        <w:rPr>
          <w:rFonts w:ascii="Times New Roman" w:hAnsi="Times New Roman"/>
          <w:szCs w:val="21"/>
        </w:rPr>
        <w:t>1.2×10^9 spins/(G ∙ √</w:t>
      </w:r>
      <w:r>
        <w:rPr>
          <w:rFonts w:ascii="Cambria Math" w:hAnsi="Cambria Math" w:eastAsia="微软雅黑" w:cs="Cambria Math"/>
        </w:rPr>
        <w:t>𝐻𝑧</w:t>
      </w:r>
      <w:r>
        <w:rPr>
          <w:rFonts w:ascii="Times New Roman" w:hAnsi="Times New Roman"/>
          <w:szCs w:val="21"/>
        </w:rPr>
        <w:t>)</w:t>
      </w:r>
      <w:r>
        <w:rPr>
          <w:rFonts w:hint="eastAsia" w:ascii="Times New Roman" w:hAnsi="Times New Roman"/>
          <w:szCs w:val="21"/>
        </w:rPr>
        <w:t>。</w:t>
      </w:r>
    </w:p>
    <w:p w14:paraId="144F6F34">
      <w:pPr>
        <w:tabs>
          <w:tab w:val="left" w:pos="900"/>
        </w:tabs>
        <w:spacing w:before="156" w:beforeLines="50" w:line="360" w:lineRule="auto"/>
        <w:rPr>
          <w:rFonts w:ascii="Times New Roman" w:hAnsi="Times New Roman"/>
          <w:szCs w:val="21"/>
        </w:rPr>
      </w:pPr>
      <w:r>
        <w:rPr>
          <w:rFonts w:hint="eastAsia" w:ascii="Times New Roman" w:hAnsi="Times New Roman"/>
          <w:szCs w:val="21"/>
        </w:rPr>
        <w:t xml:space="preserve"> </w:t>
      </w:r>
      <w:r>
        <w:rPr>
          <w:rFonts w:ascii="Times New Roman" w:hAnsi="Times New Roman"/>
          <w:szCs w:val="21"/>
        </w:rPr>
        <w:t xml:space="preserve">1.4 </w:t>
      </w:r>
      <w:r>
        <w:rPr>
          <w:rFonts w:hint="eastAsia" w:ascii="Times New Roman" w:hAnsi="Times New Roman"/>
          <w:szCs w:val="21"/>
        </w:rPr>
        <w:t>连续波模式下</w:t>
      </w:r>
    </w:p>
    <w:p w14:paraId="59E197CF">
      <w:pPr>
        <w:tabs>
          <w:tab w:val="left" w:pos="900"/>
        </w:tabs>
        <w:spacing w:before="156" w:beforeLines="50" w:line="360" w:lineRule="auto"/>
        <w:ind w:left="420" w:leftChars="200"/>
        <w:rPr>
          <w:rFonts w:ascii="Times New Roman" w:hAnsi="Times New Roman"/>
          <w:szCs w:val="21"/>
        </w:rPr>
      </w:pPr>
      <w:r>
        <w:rPr>
          <w:rFonts w:ascii="Times New Roman" w:hAnsi="Times New Roman"/>
          <w:szCs w:val="21"/>
        </w:rPr>
        <w:t>1.4.1波源</w:t>
      </w:r>
      <w:r>
        <w:rPr>
          <w:rFonts w:hint="eastAsia" w:ascii="Times New Roman" w:hAnsi="Times New Roman"/>
          <w:szCs w:val="21"/>
        </w:rPr>
        <w:t>采用</w:t>
      </w:r>
      <w:r>
        <w:rPr>
          <w:rFonts w:ascii="Times New Roman" w:hAnsi="Times New Roman"/>
          <w:szCs w:val="21"/>
        </w:rPr>
        <w:t>低噪声固态微波源</w:t>
      </w:r>
      <w:r>
        <w:rPr>
          <w:rFonts w:hint="eastAsia" w:ascii="Times New Roman" w:hAnsi="Times New Roman"/>
          <w:szCs w:val="21"/>
        </w:rPr>
        <w:t>，</w:t>
      </w:r>
      <w:r>
        <w:rPr>
          <w:rFonts w:ascii="Times New Roman" w:hAnsi="Times New Roman"/>
          <w:szCs w:val="21"/>
        </w:rPr>
        <w:t>微波频率范围：9.2 - 9.9 GHz</w:t>
      </w:r>
      <w:r>
        <w:rPr>
          <w:rFonts w:hint="eastAsia" w:ascii="Times New Roman" w:hAnsi="Times New Roman"/>
          <w:szCs w:val="21"/>
        </w:rPr>
        <w:t>，</w:t>
      </w:r>
      <w:r>
        <w:rPr>
          <w:rFonts w:ascii="Times New Roman" w:hAnsi="Times New Roman"/>
          <w:szCs w:val="21"/>
        </w:rPr>
        <w:t>微波频率、功率衰减值、相位和偏置功率等可调节参数全部数字化控制</w:t>
      </w:r>
      <w:r>
        <w:rPr>
          <w:rFonts w:hint="eastAsia" w:ascii="Times New Roman" w:hAnsi="Times New Roman"/>
          <w:szCs w:val="21"/>
        </w:rPr>
        <w:t>。</w:t>
      </w:r>
    </w:p>
    <w:p w14:paraId="5905C691">
      <w:pPr>
        <w:tabs>
          <w:tab w:val="left" w:pos="900"/>
        </w:tabs>
        <w:spacing w:before="156" w:beforeLines="50" w:line="360" w:lineRule="auto"/>
        <w:ind w:firstLine="420" w:firstLineChars="200"/>
        <w:rPr>
          <w:rFonts w:ascii="Times New Roman" w:hAnsi="Times New Roman"/>
          <w:szCs w:val="21"/>
        </w:rPr>
      </w:pPr>
      <w:r>
        <w:rPr>
          <w:rFonts w:ascii="Times New Roman" w:hAnsi="Times New Roman"/>
          <w:szCs w:val="21"/>
        </w:rPr>
        <w:t>*1.4.2微波功率微波桥校平输出微波功率：</w:t>
      </w:r>
      <w:bookmarkStart w:id="6" w:name="OLE_LINK18"/>
      <w:r>
        <w:rPr>
          <w:rFonts w:ascii="Times New Roman" w:hAnsi="Times New Roman"/>
          <w:szCs w:val="21"/>
        </w:rPr>
        <w:t>≥</w:t>
      </w:r>
      <w:bookmarkEnd w:id="6"/>
      <w:r>
        <w:rPr>
          <w:rFonts w:ascii="Times New Roman" w:hAnsi="Times New Roman"/>
          <w:szCs w:val="21"/>
        </w:rPr>
        <w:t>200 mW</w:t>
      </w:r>
      <w:r>
        <w:rPr>
          <w:rFonts w:hint="eastAsia" w:ascii="Times New Roman" w:hAnsi="Times New Roman"/>
          <w:szCs w:val="21"/>
        </w:rPr>
        <w:t>，</w:t>
      </w:r>
      <w:r>
        <w:rPr>
          <w:rFonts w:ascii="Times New Roman" w:hAnsi="Times New Roman"/>
          <w:szCs w:val="21"/>
        </w:rPr>
        <w:t>微波功率衰减范围：0 - 60 dB，步进1 dB</w:t>
      </w:r>
    </w:p>
    <w:p w14:paraId="7A537FA6">
      <w:pPr>
        <w:tabs>
          <w:tab w:val="left" w:pos="900"/>
        </w:tabs>
        <w:spacing w:before="156" w:beforeLines="50" w:line="360" w:lineRule="auto"/>
        <w:ind w:left="425"/>
        <w:rPr>
          <w:rFonts w:ascii="Times New Roman" w:hAnsi="Times New Roman"/>
          <w:szCs w:val="21"/>
        </w:rPr>
      </w:pPr>
      <w:r>
        <w:rPr>
          <w:rFonts w:hint="eastAsia" w:ascii="Times New Roman" w:hAnsi="Times New Roman"/>
          <w:szCs w:val="21"/>
        </w:rPr>
        <w:t>1</w:t>
      </w:r>
      <w:r>
        <w:rPr>
          <w:rFonts w:ascii="Times New Roman" w:hAnsi="Times New Roman"/>
          <w:szCs w:val="21"/>
        </w:rPr>
        <w:t>.4.3 自动频率控制</w:t>
      </w:r>
      <w:r>
        <w:rPr>
          <w:rFonts w:hint="eastAsia" w:ascii="Times New Roman" w:hAnsi="Times New Roman"/>
          <w:szCs w:val="21"/>
        </w:rPr>
        <w:t>，</w:t>
      </w:r>
      <w:r>
        <w:rPr>
          <w:rFonts w:ascii="Times New Roman" w:hAnsi="Times New Roman"/>
          <w:szCs w:val="21"/>
        </w:rPr>
        <w:t>根据不同入腔功率自动调节 AFC参数</w:t>
      </w:r>
      <w:r>
        <w:rPr>
          <w:rFonts w:hint="eastAsia" w:ascii="Times New Roman" w:hAnsi="Times New Roman"/>
          <w:szCs w:val="21"/>
        </w:rPr>
        <w:t>。</w:t>
      </w:r>
    </w:p>
    <w:p w14:paraId="3722BB39">
      <w:pPr>
        <w:tabs>
          <w:tab w:val="left" w:pos="900"/>
        </w:tabs>
        <w:spacing w:before="156" w:beforeLines="50" w:line="360" w:lineRule="auto"/>
        <w:ind w:left="425"/>
        <w:rPr>
          <w:rFonts w:ascii="Times New Roman" w:hAnsi="Times New Roman"/>
          <w:szCs w:val="21"/>
        </w:rPr>
      </w:pPr>
      <w:r>
        <w:rPr>
          <w:rFonts w:ascii="Times New Roman" w:hAnsi="Times New Roman"/>
          <w:szCs w:val="21"/>
        </w:rPr>
        <w:t>1.4.4 检测系统</w:t>
      </w:r>
      <w:r>
        <w:rPr>
          <w:rFonts w:hint="eastAsia" w:ascii="Times New Roman" w:hAnsi="Times New Roman"/>
          <w:szCs w:val="21"/>
        </w:rPr>
        <w:t>采用</w:t>
      </w:r>
      <w:r>
        <w:rPr>
          <w:rFonts w:ascii="Times New Roman" w:hAnsi="Times New Roman"/>
          <w:szCs w:val="21"/>
        </w:rPr>
        <w:t>超低噪声信号探测</w:t>
      </w:r>
      <w:r>
        <w:rPr>
          <w:rFonts w:hint="eastAsia" w:ascii="Times New Roman" w:hAnsi="Times New Roman"/>
          <w:szCs w:val="21"/>
        </w:rPr>
        <w:t>，</w:t>
      </w:r>
      <w:r>
        <w:rPr>
          <w:rFonts w:ascii="Times New Roman" w:hAnsi="Times New Roman"/>
          <w:szCs w:val="21"/>
        </w:rPr>
        <w:t>具有偏置和相位可调的参考臂</w:t>
      </w:r>
      <w:r>
        <w:rPr>
          <w:rFonts w:hint="eastAsia" w:ascii="Times New Roman" w:hAnsi="Times New Roman"/>
          <w:szCs w:val="21"/>
        </w:rPr>
        <w:t>。</w:t>
      </w:r>
    </w:p>
    <w:p w14:paraId="15E71C97">
      <w:pPr>
        <w:tabs>
          <w:tab w:val="left" w:pos="900"/>
        </w:tabs>
        <w:spacing w:before="156" w:beforeLines="50" w:line="360" w:lineRule="auto"/>
        <w:ind w:left="425"/>
        <w:rPr>
          <w:rFonts w:ascii="Times New Roman" w:hAnsi="Times New Roman"/>
          <w:szCs w:val="21"/>
        </w:rPr>
      </w:pPr>
      <w:r>
        <w:rPr>
          <w:rFonts w:ascii="Times New Roman" w:hAnsi="Times New Roman"/>
          <w:szCs w:val="21"/>
        </w:rPr>
        <w:t>1.4.5 支持自动化调谐和匹配，电机驱动</w:t>
      </w:r>
      <w:r>
        <w:rPr>
          <w:rFonts w:hint="eastAsia" w:ascii="Times New Roman" w:hAnsi="Times New Roman"/>
          <w:szCs w:val="21"/>
        </w:rPr>
        <w:t>，</w:t>
      </w:r>
      <w:r>
        <w:rPr>
          <w:rFonts w:ascii="Times New Roman" w:hAnsi="Times New Roman"/>
          <w:szCs w:val="21"/>
        </w:rPr>
        <w:t>支持手动调谐和匹配</w:t>
      </w:r>
      <w:r>
        <w:rPr>
          <w:rFonts w:hint="eastAsia" w:ascii="Times New Roman" w:hAnsi="Times New Roman"/>
          <w:szCs w:val="21"/>
        </w:rPr>
        <w:t>。</w:t>
      </w:r>
    </w:p>
    <w:p w14:paraId="5E40959C">
      <w:pPr>
        <w:tabs>
          <w:tab w:val="left" w:pos="900"/>
        </w:tabs>
        <w:spacing w:before="156" w:beforeLines="50" w:line="360" w:lineRule="auto"/>
        <w:ind w:left="425"/>
        <w:rPr>
          <w:rFonts w:ascii="Times New Roman" w:hAnsi="Times New Roman"/>
          <w:szCs w:val="21"/>
        </w:rPr>
      </w:pPr>
      <w:r>
        <w:rPr>
          <w:rFonts w:ascii="Times New Roman" w:hAnsi="Times New Roman"/>
          <w:szCs w:val="21"/>
        </w:rPr>
        <w:t>1.4.6 最大100 MHz 扫描范围，可缩放以满足不同带宽的谐振腔</w:t>
      </w:r>
      <w:r>
        <w:rPr>
          <w:rFonts w:hint="eastAsia" w:ascii="Times New Roman" w:hAnsi="Times New Roman"/>
          <w:szCs w:val="21"/>
        </w:rPr>
        <w:t>。</w:t>
      </w:r>
    </w:p>
    <w:p w14:paraId="69E94BFD">
      <w:pPr>
        <w:tabs>
          <w:tab w:val="left" w:pos="900"/>
        </w:tabs>
        <w:spacing w:before="156" w:beforeLines="50" w:line="360" w:lineRule="auto"/>
        <w:ind w:left="425"/>
        <w:rPr>
          <w:rFonts w:ascii="Times New Roman" w:hAnsi="Times New Roman"/>
          <w:szCs w:val="21"/>
        </w:rPr>
      </w:pPr>
      <w:r>
        <w:rPr>
          <w:rFonts w:hint="eastAsia" w:ascii="Times New Roman" w:hAnsi="Times New Roman"/>
          <w:szCs w:val="21"/>
        </w:rPr>
        <w:t>1.4.7 连续波EPR数据采集模式包括但不限于以下模式：一维磁场扫描、一维时间扫描、二维磁场-时间扫描、二维磁场-功率扫描、二维磁场-调制场幅度扫描、二维磁场-角度扫描。</w:t>
      </w:r>
    </w:p>
    <w:p w14:paraId="6EB869D2">
      <w:pPr>
        <w:tabs>
          <w:tab w:val="left" w:pos="900"/>
        </w:tabs>
        <w:spacing w:before="156" w:beforeLines="50" w:line="360" w:lineRule="auto"/>
        <w:rPr>
          <w:rFonts w:ascii="Times New Roman" w:hAnsi="Times New Roman"/>
          <w:szCs w:val="21"/>
        </w:rPr>
      </w:pPr>
      <w:r>
        <w:rPr>
          <w:rFonts w:hint="eastAsia" w:ascii="Times New Roman" w:hAnsi="Times New Roman"/>
          <w:szCs w:val="21"/>
        </w:rPr>
        <w:t>1</w:t>
      </w:r>
      <w:r>
        <w:rPr>
          <w:rFonts w:ascii="Times New Roman" w:hAnsi="Times New Roman"/>
          <w:szCs w:val="21"/>
        </w:rPr>
        <w:t>.5 脉冲</w:t>
      </w:r>
      <w:r>
        <w:rPr>
          <w:rFonts w:hint="eastAsia" w:ascii="Times New Roman" w:hAnsi="Times New Roman"/>
          <w:szCs w:val="21"/>
        </w:rPr>
        <w:t>模式下</w:t>
      </w:r>
    </w:p>
    <w:p w14:paraId="7C6A1EEB">
      <w:pPr>
        <w:tabs>
          <w:tab w:val="left" w:pos="900"/>
        </w:tabs>
        <w:spacing w:before="156" w:beforeLines="50" w:line="360" w:lineRule="auto"/>
        <w:ind w:left="420" w:leftChars="200"/>
        <w:rPr>
          <w:rFonts w:ascii="Times New Roman" w:hAnsi="Times New Roman"/>
          <w:szCs w:val="21"/>
        </w:rPr>
      </w:pPr>
      <w:r>
        <w:rPr>
          <w:rFonts w:hint="eastAsia" w:ascii="Times New Roman" w:hAnsi="Times New Roman"/>
          <w:szCs w:val="21"/>
        </w:rPr>
        <w:t>1</w:t>
      </w:r>
      <w:r>
        <w:rPr>
          <w:rFonts w:ascii="Times New Roman" w:hAnsi="Times New Roman"/>
          <w:szCs w:val="21"/>
        </w:rPr>
        <w:t>.5.1 微波发射机</w:t>
      </w:r>
      <w:r>
        <w:rPr>
          <w:rFonts w:hint="eastAsia" w:ascii="Times New Roman" w:hAnsi="Times New Roman"/>
          <w:szCs w:val="21"/>
        </w:rPr>
        <w:t>的</w:t>
      </w:r>
      <w:r>
        <w:rPr>
          <w:rFonts w:ascii="Times New Roman" w:hAnsi="Times New Roman"/>
          <w:szCs w:val="21"/>
        </w:rPr>
        <w:t>等幅度</w:t>
      </w:r>
      <w:r>
        <w:rPr>
          <w:rFonts w:hint="eastAsia" w:ascii="Times New Roman" w:hAnsi="Times New Roman"/>
          <w:szCs w:val="21"/>
        </w:rPr>
        <w:t>脉冲</w:t>
      </w:r>
      <w:r>
        <w:rPr>
          <w:rFonts w:ascii="Times New Roman" w:hAnsi="Times New Roman"/>
          <w:szCs w:val="21"/>
        </w:rPr>
        <w:t>通道</w:t>
      </w:r>
      <w:r>
        <w:rPr>
          <w:rFonts w:hint="eastAsia" w:ascii="Times New Roman" w:hAnsi="Times New Roman"/>
          <w:szCs w:val="21"/>
        </w:rPr>
        <w:t>数量：≥4</w:t>
      </w:r>
      <w:r>
        <w:rPr>
          <w:rFonts w:ascii="Times New Roman" w:hAnsi="Times New Roman"/>
          <w:szCs w:val="21"/>
        </w:rPr>
        <w:t>，相位依次相差90 °（+X，+Y，-X，-Y），以支持相位循环</w:t>
      </w:r>
      <w:r>
        <w:rPr>
          <w:rFonts w:hint="eastAsia" w:ascii="Times New Roman" w:hAnsi="Times New Roman"/>
          <w:szCs w:val="21"/>
        </w:rPr>
        <w:t>。</w:t>
      </w:r>
    </w:p>
    <w:p w14:paraId="04B3C198">
      <w:pPr>
        <w:tabs>
          <w:tab w:val="left" w:pos="900"/>
        </w:tabs>
        <w:spacing w:before="156" w:beforeLines="50" w:line="360" w:lineRule="auto"/>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.5.2 微波发射机</w:t>
      </w:r>
      <w:r>
        <w:rPr>
          <w:rFonts w:hint="eastAsia" w:ascii="Times New Roman" w:hAnsi="Times New Roman"/>
          <w:szCs w:val="21"/>
        </w:rPr>
        <w:t>采用</w:t>
      </w:r>
      <w:r>
        <w:rPr>
          <w:rFonts w:ascii="Times New Roman" w:hAnsi="Times New Roman"/>
          <w:szCs w:val="21"/>
        </w:rPr>
        <w:t>固体微波功率放大器</w:t>
      </w:r>
      <w:r>
        <w:rPr>
          <w:rFonts w:hint="eastAsia" w:ascii="Times New Roman" w:hAnsi="Times New Roman"/>
          <w:szCs w:val="21"/>
        </w:rPr>
        <w:t>。</w:t>
      </w:r>
    </w:p>
    <w:p w14:paraId="58E5635F">
      <w:pPr>
        <w:tabs>
          <w:tab w:val="left" w:pos="900"/>
        </w:tabs>
        <w:spacing w:before="156" w:beforeLines="50" w:line="360" w:lineRule="auto"/>
        <w:ind w:firstLine="420" w:firstLineChars="200"/>
        <w:rPr>
          <w:rFonts w:ascii="Times New Roman" w:hAnsi="Times New Roman"/>
          <w:szCs w:val="21"/>
        </w:rPr>
      </w:pPr>
      <w:r>
        <w:rPr>
          <w:rFonts w:ascii="Times New Roman" w:hAnsi="Times New Roman"/>
          <w:szCs w:val="21"/>
        </w:rPr>
        <w:t>1.5.3 微波频率9.2 - 9.9 GHz</w:t>
      </w:r>
      <w:r>
        <w:rPr>
          <w:rFonts w:hint="eastAsia" w:ascii="Times New Roman" w:hAnsi="Times New Roman"/>
          <w:szCs w:val="21"/>
        </w:rPr>
        <w:t>，</w:t>
      </w:r>
      <w:r>
        <w:rPr>
          <w:rFonts w:ascii="Times New Roman" w:hAnsi="Times New Roman"/>
          <w:szCs w:val="21"/>
        </w:rPr>
        <w:t>微波功率</w:t>
      </w:r>
      <w:bookmarkStart w:id="7" w:name="OLE_LINK20"/>
      <w:bookmarkStart w:id="8" w:name="OLE_LINK19"/>
      <w:r>
        <w:rPr>
          <w:rFonts w:ascii="Times New Roman" w:hAnsi="Times New Roman"/>
          <w:szCs w:val="21"/>
        </w:rPr>
        <w:t>≥</w:t>
      </w:r>
      <w:bookmarkEnd w:id="7"/>
      <w:bookmarkEnd w:id="8"/>
      <w:r>
        <w:rPr>
          <w:rFonts w:ascii="Times New Roman" w:hAnsi="Times New Roman"/>
          <w:szCs w:val="21"/>
        </w:rPr>
        <w:t>300 W</w:t>
      </w:r>
      <w:r>
        <w:rPr>
          <w:rFonts w:hint="eastAsia" w:ascii="Times New Roman" w:hAnsi="Times New Roman"/>
          <w:szCs w:val="21"/>
        </w:rPr>
        <w:t>。</w:t>
      </w:r>
    </w:p>
    <w:p w14:paraId="69798E2C">
      <w:pPr>
        <w:tabs>
          <w:tab w:val="left" w:pos="900"/>
        </w:tabs>
        <w:spacing w:before="156" w:beforeLines="50" w:line="360" w:lineRule="auto"/>
        <w:ind w:left="420" w:leftChars="200"/>
        <w:rPr>
          <w:rFonts w:ascii="Times New Roman" w:hAnsi="Times New Roman"/>
          <w:szCs w:val="21"/>
        </w:rPr>
      </w:pPr>
      <w:r>
        <w:rPr>
          <w:rFonts w:hint="eastAsia" w:ascii="Times New Roman" w:hAnsi="Times New Roman"/>
          <w:szCs w:val="21"/>
        </w:rPr>
        <w:t>1</w:t>
      </w:r>
      <w:r>
        <w:rPr>
          <w:rFonts w:ascii="Times New Roman" w:hAnsi="Times New Roman"/>
          <w:szCs w:val="21"/>
        </w:rPr>
        <w:t>.5.4 接收机（检测系统）支持监控低功率微波脉冲、高功率微波脉冲，测试回波信</w:t>
      </w:r>
      <w:r>
        <w:rPr>
          <w:rFonts w:hint="eastAsia" w:ascii="Times New Roman" w:hAnsi="Times New Roman"/>
          <w:szCs w:val="21"/>
        </w:rPr>
        <w:t>号，</w:t>
      </w:r>
      <w:r>
        <w:rPr>
          <w:rFonts w:ascii="Times New Roman" w:hAnsi="Times New Roman"/>
          <w:szCs w:val="21"/>
        </w:rPr>
        <w:t>接收机前端含超低噪声放大器增益</w:t>
      </w:r>
      <w:r>
        <w:rPr>
          <w:rFonts w:hint="eastAsia" w:ascii="Times New Roman" w:hAnsi="Times New Roman"/>
          <w:szCs w:val="21"/>
        </w:rPr>
        <w:t xml:space="preserve"> </w:t>
      </w:r>
      <w:r>
        <w:rPr>
          <w:rFonts w:ascii="Times New Roman" w:hAnsi="Times New Roman"/>
          <w:szCs w:val="21"/>
        </w:rPr>
        <w:t>≥ 40 dB</w:t>
      </w:r>
      <w:r>
        <w:rPr>
          <w:rFonts w:hint="eastAsia" w:ascii="Times New Roman" w:hAnsi="Times New Roman"/>
          <w:szCs w:val="21"/>
        </w:rPr>
        <w:t>。</w:t>
      </w:r>
      <w:r>
        <w:rPr>
          <w:rFonts w:ascii="Times New Roman" w:hAnsi="Times New Roman"/>
          <w:szCs w:val="21"/>
        </w:rPr>
        <w:t xml:space="preserve"> </w:t>
      </w:r>
    </w:p>
    <w:p w14:paraId="4D4F750D">
      <w:pPr>
        <w:tabs>
          <w:tab w:val="left" w:pos="900"/>
        </w:tabs>
        <w:spacing w:before="156" w:beforeLines="50" w:line="360" w:lineRule="auto"/>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.5.5 脉冲模式接收机：带宽20 MHz和200 MHz两档可调节</w:t>
      </w:r>
      <w:r>
        <w:rPr>
          <w:rFonts w:hint="eastAsia" w:ascii="Times New Roman" w:hAnsi="Times New Roman"/>
          <w:szCs w:val="21"/>
        </w:rPr>
        <w:t>，</w:t>
      </w:r>
      <w:r>
        <w:rPr>
          <w:rFonts w:ascii="Times New Roman" w:hAnsi="Times New Roman"/>
          <w:szCs w:val="21"/>
        </w:rPr>
        <w:t>增益10 - 60 dB，10 dB步进</w:t>
      </w:r>
      <w:r>
        <w:rPr>
          <w:rFonts w:hint="eastAsia" w:ascii="Times New Roman" w:hAnsi="Times New Roman"/>
          <w:szCs w:val="21"/>
        </w:rPr>
        <w:t>。</w:t>
      </w:r>
    </w:p>
    <w:p w14:paraId="4EED7ED0">
      <w:pPr>
        <w:tabs>
          <w:tab w:val="left" w:pos="900"/>
        </w:tabs>
        <w:spacing w:before="156" w:beforeLines="50" w:line="360" w:lineRule="auto"/>
        <w:ind w:left="420" w:leftChars="200"/>
        <w:rPr>
          <w:rFonts w:ascii="Times New Roman" w:hAnsi="Times New Roman"/>
          <w:szCs w:val="21"/>
        </w:rPr>
      </w:pPr>
      <w:r>
        <w:rPr>
          <w:rFonts w:hint="eastAsia" w:ascii="Times New Roman" w:hAnsi="Times New Roman"/>
          <w:szCs w:val="21"/>
        </w:rPr>
        <w:t>*</w:t>
      </w:r>
      <w:r>
        <w:rPr>
          <w:rFonts w:ascii="Times New Roman" w:hAnsi="Times New Roman"/>
          <w:szCs w:val="21"/>
        </w:rPr>
        <w:t>1.5.6 脉冲发生器</w:t>
      </w:r>
      <w:r>
        <w:rPr>
          <w:rFonts w:hint="eastAsia" w:ascii="Times New Roman" w:hAnsi="Times New Roman"/>
          <w:szCs w:val="21"/>
        </w:rPr>
        <w:t xml:space="preserve">，脉冲通道数 </w:t>
      </w:r>
      <w:r>
        <w:rPr>
          <w:rFonts w:ascii="Times New Roman" w:hAnsi="Times New Roman"/>
          <w:szCs w:val="21"/>
        </w:rPr>
        <w:t xml:space="preserve">≥ </w:t>
      </w:r>
      <w:r>
        <w:rPr>
          <w:rFonts w:hint="eastAsia" w:ascii="Times New Roman" w:hAnsi="Times New Roman"/>
          <w:szCs w:val="21"/>
        </w:rPr>
        <w:t xml:space="preserve">12个，脉冲时间分辨率 </w:t>
      </w:r>
      <w:r>
        <w:rPr>
          <w:rFonts w:ascii="Times New Roman" w:hAnsi="Times New Roman"/>
          <w:szCs w:val="21"/>
        </w:rPr>
        <w:t xml:space="preserve">≤ </w:t>
      </w:r>
      <w:r>
        <w:rPr>
          <w:rFonts w:hint="eastAsia" w:ascii="Times New Roman" w:hAnsi="Times New Roman"/>
          <w:szCs w:val="21"/>
        </w:rPr>
        <w:t xml:space="preserve">50 ps，脉冲长度 </w:t>
      </w:r>
      <w:r>
        <w:rPr>
          <w:rFonts w:ascii="Times New Roman" w:hAnsi="Times New Roman"/>
          <w:szCs w:val="21"/>
        </w:rPr>
        <w:t>≤ 10</w:t>
      </w:r>
      <w:r>
        <w:rPr>
          <w:rFonts w:hint="eastAsia" w:ascii="Times New Roman" w:hAnsi="Times New Roman"/>
          <w:szCs w:val="21"/>
        </w:rPr>
        <w:t xml:space="preserve"> ns，脉冲数</w:t>
      </w:r>
      <w:r>
        <w:rPr>
          <w:rFonts w:ascii="Times New Roman" w:hAnsi="Times New Roman"/>
          <w:szCs w:val="21"/>
        </w:rPr>
        <w:t>≥</w:t>
      </w:r>
      <w:r>
        <w:rPr>
          <w:rFonts w:hint="eastAsia" w:ascii="Times New Roman" w:hAnsi="Times New Roman"/>
          <w:szCs w:val="21"/>
        </w:rPr>
        <w:t>20000 /通道，支持无限次循环播放。</w:t>
      </w:r>
    </w:p>
    <w:p w14:paraId="40B45ABC">
      <w:pPr>
        <w:tabs>
          <w:tab w:val="left" w:pos="900"/>
        </w:tabs>
        <w:spacing w:before="156" w:beforeLines="50" w:line="360" w:lineRule="auto"/>
        <w:ind w:left="420" w:leftChars="200"/>
        <w:rPr>
          <w:rFonts w:ascii="Times New Roman" w:hAnsi="Times New Roman"/>
          <w:szCs w:val="21"/>
        </w:rPr>
      </w:pPr>
      <w:r>
        <w:rPr>
          <w:rFonts w:hint="eastAsia" w:ascii="Times New Roman" w:hAnsi="Times New Roman"/>
          <w:szCs w:val="21"/>
        </w:rPr>
        <w:t>1.5.7 脉冲EPR数据采集模式包括但不限于以下模式：回波测试、FID测试、Rabi测试、T</w:t>
      </w:r>
      <w:r>
        <w:rPr>
          <w:rFonts w:hint="eastAsia" w:ascii="Times New Roman" w:hAnsi="Times New Roman"/>
          <w:szCs w:val="21"/>
          <w:vertAlign w:val="subscript"/>
        </w:rPr>
        <w:t>1</w:t>
      </w:r>
      <w:r>
        <w:rPr>
          <w:rFonts w:hint="eastAsia" w:ascii="Times New Roman" w:hAnsi="Times New Roman"/>
          <w:szCs w:val="21"/>
        </w:rPr>
        <w:t>、T</w:t>
      </w:r>
      <w:r>
        <w:rPr>
          <w:rFonts w:hint="eastAsia" w:ascii="Times New Roman" w:hAnsi="Times New Roman"/>
          <w:szCs w:val="21"/>
          <w:vertAlign w:val="subscript"/>
        </w:rPr>
        <w:t>2</w:t>
      </w:r>
      <w:r>
        <w:rPr>
          <w:rFonts w:hint="eastAsia" w:ascii="Times New Roman" w:hAnsi="Times New Roman"/>
          <w:szCs w:val="21"/>
        </w:rPr>
        <w:t>弛豫时间测试、ESEEM测试、HYSCORE测试。</w:t>
      </w:r>
    </w:p>
    <w:p w14:paraId="0826CD81">
      <w:pPr>
        <w:numPr>
          <w:ilvl w:val="0"/>
          <w:numId w:val="1"/>
        </w:numPr>
        <w:tabs>
          <w:tab w:val="left" w:pos="900"/>
        </w:tabs>
        <w:spacing w:before="156" w:beforeLines="50" w:line="360" w:lineRule="auto"/>
        <w:rPr>
          <w:rFonts w:ascii="Times New Roman" w:hAnsi="Times New Roman"/>
          <w:vanish/>
          <w:szCs w:val="21"/>
        </w:rPr>
      </w:pPr>
    </w:p>
    <w:p w14:paraId="766F28F1">
      <w:pPr>
        <w:tabs>
          <w:tab w:val="left" w:pos="900"/>
        </w:tabs>
        <w:spacing w:before="156" w:beforeLines="50" w:line="360" w:lineRule="auto"/>
        <w:ind w:left="420" w:hanging="420" w:hangingChars="200"/>
        <w:rPr>
          <w:rFonts w:ascii="Times New Roman" w:hAnsi="Times New Roman"/>
          <w:szCs w:val="21"/>
        </w:rPr>
      </w:pPr>
      <w:r>
        <w:rPr>
          <w:rFonts w:ascii="Times New Roman" w:hAnsi="Times New Roman"/>
          <w:szCs w:val="21"/>
        </w:rPr>
        <w:t>1.6</w:t>
      </w:r>
      <w:r>
        <w:rPr>
          <w:rFonts w:hint="eastAsia" w:ascii="Times New Roman" w:hAnsi="Times New Roman"/>
          <w:szCs w:val="21"/>
        </w:rPr>
        <w:t xml:space="preserve"> </w:t>
      </w:r>
      <w:r>
        <w:rPr>
          <w:rFonts w:ascii="Times New Roman" w:hAnsi="Times New Roman"/>
          <w:szCs w:val="21"/>
        </w:rPr>
        <w:t>谱仪控制系统</w:t>
      </w:r>
      <w:r>
        <w:rPr>
          <w:rFonts w:hint="eastAsia" w:ascii="Times New Roman" w:hAnsi="Times New Roman"/>
          <w:szCs w:val="21"/>
        </w:rPr>
        <w:t>：</w:t>
      </w:r>
      <w:r>
        <w:rPr>
          <w:rFonts w:ascii="Times New Roman" w:hAnsi="Times New Roman"/>
          <w:szCs w:val="21"/>
        </w:rPr>
        <w:t>高速数据采集器模拟带宽≥300 MHz</w:t>
      </w:r>
      <w:r>
        <w:rPr>
          <w:rFonts w:hint="eastAsia" w:ascii="Times New Roman" w:hAnsi="Times New Roman"/>
          <w:szCs w:val="21"/>
        </w:rPr>
        <w:t>，</w:t>
      </w:r>
      <w:r>
        <w:rPr>
          <w:rFonts w:ascii="Times New Roman" w:hAnsi="Times New Roman"/>
          <w:szCs w:val="21"/>
        </w:rPr>
        <w:t>输入通道≥2</w:t>
      </w:r>
      <w:r>
        <w:rPr>
          <w:rFonts w:hint="eastAsia" w:ascii="Times New Roman" w:hAnsi="Times New Roman"/>
          <w:szCs w:val="21"/>
        </w:rPr>
        <w:t>，</w:t>
      </w:r>
      <w:r>
        <w:rPr>
          <w:rFonts w:ascii="Times New Roman" w:hAnsi="Times New Roman"/>
          <w:szCs w:val="21"/>
        </w:rPr>
        <w:t>幅度分辨率≥14 bit</w:t>
      </w:r>
      <w:r>
        <w:rPr>
          <w:rFonts w:hint="eastAsia" w:ascii="Times New Roman" w:hAnsi="Times New Roman"/>
          <w:szCs w:val="21"/>
        </w:rPr>
        <w:t>，</w:t>
      </w:r>
      <w:r>
        <w:rPr>
          <w:rFonts w:ascii="Times New Roman" w:hAnsi="Times New Roman"/>
          <w:szCs w:val="21"/>
        </w:rPr>
        <w:t>采集模式</w:t>
      </w:r>
      <w:r>
        <w:rPr>
          <w:rFonts w:hint="eastAsia" w:ascii="Times New Roman" w:hAnsi="Times New Roman"/>
          <w:szCs w:val="21"/>
        </w:rPr>
        <w:t>分为</w:t>
      </w:r>
      <w:r>
        <w:rPr>
          <w:rFonts w:ascii="Times New Roman" w:hAnsi="Times New Roman"/>
          <w:szCs w:val="21"/>
        </w:rPr>
        <w:t>瞬态采集、单点采集、积分测试</w:t>
      </w:r>
      <w:r>
        <w:rPr>
          <w:rFonts w:hint="eastAsia" w:ascii="Times New Roman" w:hAnsi="Times New Roman"/>
          <w:szCs w:val="21"/>
        </w:rPr>
        <w:t>，</w:t>
      </w:r>
      <w:r>
        <w:rPr>
          <w:rFonts w:ascii="Times New Roman" w:hAnsi="Times New Roman"/>
          <w:szCs w:val="21"/>
        </w:rPr>
        <w:t>单次最大记录长度：≥ 80000点</w:t>
      </w:r>
      <w:r>
        <w:rPr>
          <w:rFonts w:hint="eastAsia" w:ascii="Times New Roman" w:hAnsi="Times New Roman"/>
          <w:szCs w:val="21"/>
        </w:rPr>
        <w:t>。</w:t>
      </w:r>
    </w:p>
    <w:p w14:paraId="5640C80B">
      <w:pPr>
        <w:tabs>
          <w:tab w:val="left" w:pos="900"/>
        </w:tabs>
        <w:spacing w:before="156" w:beforeLines="50" w:line="360" w:lineRule="auto"/>
        <w:ind w:left="420" w:hanging="420" w:hangingChars="200"/>
        <w:rPr>
          <w:rFonts w:ascii="Times New Roman" w:hAnsi="Times New Roman"/>
          <w:szCs w:val="21"/>
        </w:rPr>
      </w:pPr>
      <w:r>
        <w:rPr>
          <w:rFonts w:hint="eastAsia" w:ascii="Times New Roman" w:hAnsi="Times New Roman"/>
          <w:szCs w:val="21"/>
        </w:rPr>
        <w:t>1</w:t>
      </w:r>
      <w:r>
        <w:rPr>
          <w:rFonts w:ascii="Times New Roman" w:hAnsi="Times New Roman"/>
          <w:szCs w:val="21"/>
        </w:rPr>
        <w:t>.7 磁场控制器</w:t>
      </w:r>
      <w:r>
        <w:rPr>
          <w:rFonts w:hint="eastAsia" w:ascii="Times New Roman" w:hAnsi="Times New Roman"/>
          <w:szCs w:val="21"/>
        </w:rPr>
        <w:t>磁场控制范围：-0.1 - 1.5 T，</w:t>
      </w:r>
      <w:r>
        <w:rPr>
          <w:rFonts w:hint="eastAsia" w:ascii="Times New Roman" w:hAnsi="Times New Roman"/>
          <w:szCs w:val="21"/>
        </w:rPr>
        <w:tab/>
      </w:r>
      <w:r>
        <w:rPr>
          <w:rFonts w:hint="eastAsia" w:ascii="Times New Roman" w:hAnsi="Times New Roman"/>
          <w:szCs w:val="21"/>
        </w:rPr>
        <w:t>测磁方式：Hall测磁。 磁场长时间稳定性≤ ±</w:t>
      </w:r>
      <w:r>
        <w:rPr>
          <w:rFonts w:ascii="Times New Roman" w:hAnsi="Times New Roman"/>
          <w:szCs w:val="21"/>
        </w:rPr>
        <w:t xml:space="preserve"> </w:t>
      </w:r>
      <w:r>
        <w:rPr>
          <w:rFonts w:hint="eastAsia" w:ascii="Times New Roman" w:hAnsi="Times New Roman"/>
          <w:szCs w:val="21"/>
        </w:rPr>
        <w:t>10 mG/小时（环境温度变化≤</w:t>
      </w:r>
      <w:bookmarkStart w:id="9" w:name="_Hlk198113974"/>
      <w:r>
        <w:rPr>
          <w:rFonts w:hint="eastAsia" w:ascii="Times New Roman" w:hAnsi="Times New Roman"/>
          <w:szCs w:val="21"/>
        </w:rPr>
        <w:t xml:space="preserve">± </w:t>
      </w:r>
      <w:bookmarkEnd w:id="9"/>
      <w:r>
        <w:rPr>
          <w:rFonts w:hint="eastAsia" w:ascii="Times New Roman" w:hAnsi="Times New Roman"/>
          <w:szCs w:val="21"/>
        </w:rPr>
        <w:t>1 ℃），最大扫描点数：≥256000，场扫描时间≤320 μs/点- 5 s/点。</w:t>
      </w:r>
    </w:p>
    <w:p w14:paraId="0E472810">
      <w:pPr>
        <w:numPr>
          <w:ilvl w:val="0"/>
          <w:numId w:val="2"/>
        </w:numPr>
        <w:tabs>
          <w:tab w:val="left" w:pos="900"/>
        </w:tabs>
        <w:spacing w:before="156" w:beforeLines="50" w:line="360" w:lineRule="auto"/>
        <w:rPr>
          <w:rFonts w:ascii="Times New Roman" w:hAnsi="Times New Roman"/>
          <w:vanish/>
          <w:szCs w:val="21"/>
        </w:rPr>
      </w:pPr>
    </w:p>
    <w:p w14:paraId="0C900CB0">
      <w:pPr>
        <w:tabs>
          <w:tab w:val="left" w:pos="900"/>
        </w:tabs>
        <w:spacing w:before="156" w:beforeLines="50" w:line="360" w:lineRule="auto"/>
        <w:rPr>
          <w:rFonts w:ascii="Times New Roman" w:hAnsi="Times New Roman"/>
          <w:szCs w:val="21"/>
        </w:rPr>
      </w:pPr>
      <w:r>
        <w:rPr>
          <w:rFonts w:ascii="Times New Roman" w:hAnsi="Times New Roman"/>
          <w:szCs w:val="21"/>
        </w:rPr>
        <w:t>1.8 数字锁相采集器</w:t>
      </w:r>
      <w:r>
        <w:rPr>
          <w:rFonts w:hint="eastAsia" w:ascii="Times New Roman" w:hAnsi="Times New Roman"/>
          <w:szCs w:val="21"/>
        </w:rPr>
        <w:t>，相位精度：0.1°，可检测0°和90°相位信号。</w:t>
      </w:r>
    </w:p>
    <w:p w14:paraId="0D43629B">
      <w:pPr>
        <w:numPr>
          <w:ilvl w:val="0"/>
          <w:numId w:val="1"/>
        </w:numPr>
        <w:tabs>
          <w:tab w:val="left" w:pos="900"/>
        </w:tabs>
        <w:spacing w:before="156" w:beforeLines="50" w:line="360" w:lineRule="auto"/>
        <w:rPr>
          <w:rFonts w:ascii="Times New Roman" w:hAnsi="Times New Roman"/>
          <w:vanish/>
          <w:szCs w:val="21"/>
        </w:rPr>
      </w:pPr>
    </w:p>
    <w:p w14:paraId="5FEDA625">
      <w:pPr>
        <w:tabs>
          <w:tab w:val="left" w:pos="900"/>
        </w:tabs>
        <w:spacing w:before="156" w:beforeLines="50" w:line="360" w:lineRule="auto"/>
        <w:rPr>
          <w:rFonts w:ascii="Times New Roman" w:hAnsi="Times New Roman"/>
          <w:szCs w:val="21"/>
        </w:rPr>
      </w:pPr>
      <w:r>
        <w:rPr>
          <w:rFonts w:ascii="Times New Roman" w:hAnsi="Times New Roman"/>
          <w:szCs w:val="21"/>
        </w:rPr>
        <w:t>1.9 调制场放大器</w:t>
      </w:r>
      <w:r>
        <w:rPr>
          <w:rFonts w:hint="eastAsia" w:ascii="Times New Roman" w:hAnsi="Times New Roman"/>
          <w:szCs w:val="21"/>
        </w:rPr>
        <w:t>，调制场频率范围：0.5 - 120 kHz。</w:t>
      </w:r>
    </w:p>
    <w:p w14:paraId="3B0BCDE1">
      <w:pPr>
        <w:numPr>
          <w:ilvl w:val="0"/>
          <w:numId w:val="1"/>
        </w:numPr>
        <w:tabs>
          <w:tab w:val="left" w:pos="900"/>
        </w:tabs>
        <w:spacing w:before="156" w:beforeLines="50" w:line="360" w:lineRule="auto"/>
        <w:rPr>
          <w:rFonts w:ascii="Times New Roman" w:hAnsi="Times New Roman"/>
          <w:vanish/>
          <w:szCs w:val="21"/>
        </w:rPr>
      </w:pPr>
    </w:p>
    <w:p w14:paraId="138F5253">
      <w:pPr>
        <w:tabs>
          <w:tab w:val="left" w:pos="900"/>
        </w:tabs>
        <w:spacing w:before="156" w:beforeLines="50" w:line="360" w:lineRule="auto"/>
        <w:ind w:left="420" w:hanging="420" w:hangingChars="200"/>
        <w:rPr>
          <w:rFonts w:ascii="Times New Roman" w:hAnsi="Times New Roman"/>
          <w:szCs w:val="21"/>
        </w:rPr>
      </w:pPr>
      <w:r>
        <w:rPr>
          <w:rFonts w:ascii="Times New Roman" w:hAnsi="Times New Roman"/>
          <w:szCs w:val="21"/>
        </w:rPr>
        <w:t>1.10磁体系统</w:t>
      </w:r>
      <w:r>
        <w:rPr>
          <w:rFonts w:hint="eastAsia" w:ascii="Times New Roman" w:hAnsi="Times New Roman"/>
          <w:szCs w:val="21"/>
        </w:rPr>
        <w:t>：</w:t>
      </w:r>
      <w:r>
        <w:rPr>
          <w:rFonts w:ascii="Times New Roman" w:hAnsi="Times New Roman"/>
          <w:szCs w:val="21"/>
        </w:rPr>
        <w:t>1.5 T</w:t>
      </w:r>
      <w:r>
        <w:rPr>
          <w:rFonts w:hint="eastAsia" w:ascii="Times New Roman" w:hAnsi="Times New Roman"/>
          <w:szCs w:val="21"/>
        </w:rPr>
        <w:t>磁体，采用水冷</w:t>
      </w:r>
      <w:r>
        <w:rPr>
          <w:rFonts w:ascii="Times New Roman" w:hAnsi="Times New Roman"/>
          <w:szCs w:val="21"/>
        </w:rPr>
        <w:t>双极头亥姆霍兹电磁体</w:t>
      </w:r>
      <w:r>
        <w:rPr>
          <w:rFonts w:hint="eastAsia" w:ascii="Times New Roman" w:hAnsi="Times New Roman"/>
          <w:szCs w:val="21"/>
        </w:rPr>
        <w:t>，</w:t>
      </w:r>
      <w:r>
        <w:rPr>
          <w:rFonts w:ascii="Times New Roman" w:hAnsi="Times New Roman"/>
          <w:szCs w:val="21"/>
        </w:rPr>
        <w:t>磁极间距：72 mm</w:t>
      </w:r>
      <w:r>
        <w:rPr>
          <w:rFonts w:hint="eastAsia" w:ascii="Times New Roman" w:hAnsi="Times New Roman"/>
          <w:szCs w:val="21"/>
        </w:rPr>
        <w:t>，</w:t>
      </w:r>
      <w:r>
        <w:rPr>
          <w:rFonts w:ascii="Times New Roman" w:hAnsi="Times New Roman"/>
          <w:szCs w:val="21"/>
        </w:rPr>
        <w:t>磁场强度≥ 1.5 T</w:t>
      </w:r>
      <w:r>
        <w:rPr>
          <w:rFonts w:hint="eastAsia" w:ascii="Times New Roman" w:hAnsi="Times New Roman"/>
          <w:szCs w:val="21"/>
        </w:rPr>
        <w:t>，</w:t>
      </w:r>
      <w:r>
        <w:rPr>
          <w:rFonts w:ascii="Times New Roman" w:hAnsi="Times New Roman"/>
          <w:szCs w:val="21"/>
        </w:rPr>
        <w:t>扫场范围：-0.1 - 1.5 T</w:t>
      </w:r>
      <w:r>
        <w:rPr>
          <w:rFonts w:hint="eastAsia" w:ascii="Times New Roman" w:hAnsi="Times New Roman"/>
          <w:szCs w:val="21"/>
        </w:rPr>
        <w:t>，</w:t>
      </w:r>
      <w:r>
        <w:rPr>
          <w:rFonts w:ascii="Times New Roman" w:hAnsi="Times New Roman"/>
          <w:szCs w:val="21"/>
        </w:rPr>
        <w:t>具有过零扫描功能</w:t>
      </w:r>
      <w:r>
        <w:rPr>
          <w:rFonts w:hint="eastAsia" w:ascii="Times New Roman" w:hAnsi="Times New Roman"/>
          <w:szCs w:val="21"/>
        </w:rPr>
        <w:t>，</w:t>
      </w:r>
      <w:r>
        <w:rPr>
          <w:rFonts w:ascii="Times New Roman" w:hAnsi="Times New Roman"/>
          <w:szCs w:val="21"/>
        </w:rPr>
        <w:t xml:space="preserve"> 1.5 T磁体电源</w:t>
      </w:r>
      <w:r>
        <w:rPr>
          <w:rFonts w:hint="eastAsia" w:ascii="Times New Roman" w:hAnsi="Times New Roman"/>
          <w:szCs w:val="21"/>
        </w:rPr>
        <w:t>，工作电压</w:t>
      </w:r>
      <w:r>
        <w:rPr>
          <w:rFonts w:ascii="Times New Roman" w:hAnsi="Times New Roman"/>
          <w:szCs w:val="21"/>
        </w:rPr>
        <w:t>：380 VAC ± 10%</w:t>
      </w:r>
      <w:r>
        <w:rPr>
          <w:rFonts w:hint="eastAsia" w:ascii="Times New Roman" w:hAnsi="Times New Roman"/>
          <w:szCs w:val="21"/>
        </w:rPr>
        <w:t>，</w:t>
      </w:r>
      <w:r>
        <w:rPr>
          <w:rFonts w:ascii="Times New Roman" w:hAnsi="Times New Roman"/>
          <w:szCs w:val="21"/>
        </w:rPr>
        <w:t>电流</w:t>
      </w:r>
      <w:r>
        <w:rPr>
          <w:rFonts w:hint="eastAsia" w:ascii="Times New Roman" w:hAnsi="Times New Roman"/>
          <w:szCs w:val="21"/>
        </w:rPr>
        <w:t>≤</w:t>
      </w:r>
      <w:r>
        <w:rPr>
          <w:rFonts w:ascii="Times New Roman" w:hAnsi="Times New Roman"/>
          <w:szCs w:val="21"/>
        </w:rPr>
        <w:t>80 A</w:t>
      </w:r>
      <w:r>
        <w:rPr>
          <w:rFonts w:hint="eastAsia" w:ascii="Times New Roman" w:hAnsi="Times New Roman"/>
          <w:szCs w:val="21"/>
        </w:rPr>
        <w:t>。</w:t>
      </w:r>
    </w:p>
    <w:p w14:paraId="7189BE44">
      <w:pPr>
        <w:tabs>
          <w:tab w:val="left" w:pos="900"/>
        </w:tabs>
        <w:spacing w:before="156" w:beforeLines="50" w:line="360" w:lineRule="auto"/>
        <w:ind w:left="420" w:hanging="420" w:hangingChars="200"/>
        <w:rPr>
          <w:rFonts w:ascii="Times New Roman" w:hAnsi="Times New Roman"/>
          <w:szCs w:val="21"/>
        </w:rPr>
      </w:pPr>
      <w:r>
        <w:rPr>
          <w:rFonts w:hint="eastAsia" w:ascii="Times New Roman" w:hAnsi="Times New Roman"/>
          <w:szCs w:val="21"/>
        </w:rPr>
        <w:t>1</w:t>
      </w:r>
      <w:r>
        <w:rPr>
          <w:rFonts w:ascii="Times New Roman" w:hAnsi="Times New Roman"/>
          <w:szCs w:val="21"/>
        </w:rPr>
        <w:t>.11</w:t>
      </w:r>
      <w:r>
        <w:rPr>
          <w:rFonts w:hint="eastAsia" w:ascii="Times New Roman" w:hAnsi="Times New Roman"/>
          <w:szCs w:val="21"/>
        </w:rPr>
        <w:t>采用</w:t>
      </w:r>
      <w:r>
        <w:rPr>
          <w:rFonts w:ascii="Times New Roman" w:hAnsi="Times New Roman"/>
          <w:szCs w:val="21"/>
        </w:rPr>
        <w:t>分体式水冷机：包含室内机和室外机</w:t>
      </w:r>
      <w:r>
        <w:rPr>
          <w:rFonts w:hint="eastAsia" w:ascii="Times New Roman" w:hAnsi="Times New Roman"/>
          <w:szCs w:val="21"/>
        </w:rPr>
        <w:t>，</w:t>
      </w:r>
      <w:r>
        <w:rPr>
          <w:rFonts w:ascii="Times New Roman" w:hAnsi="Times New Roman"/>
          <w:szCs w:val="21"/>
        </w:rPr>
        <w:t>制冷功率：≥8 kW @ 25 ℃</w:t>
      </w:r>
      <w:r>
        <w:rPr>
          <w:rFonts w:hint="eastAsia" w:ascii="Times New Roman" w:hAnsi="Times New Roman"/>
          <w:szCs w:val="21"/>
        </w:rPr>
        <w:t>，</w:t>
      </w:r>
      <w:r>
        <w:rPr>
          <w:rFonts w:ascii="Times New Roman" w:hAnsi="Times New Roman"/>
          <w:szCs w:val="21"/>
        </w:rPr>
        <w:t>控温范围：10 - 30 ℃ 可调</w:t>
      </w:r>
      <w:r>
        <w:rPr>
          <w:rFonts w:hint="eastAsia" w:ascii="Times New Roman" w:hAnsi="Times New Roman"/>
          <w:szCs w:val="21"/>
        </w:rPr>
        <w:t>，</w:t>
      </w:r>
      <w:r>
        <w:rPr>
          <w:rFonts w:ascii="Times New Roman" w:hAnsi="Times New Roman"/>
          <w:szCs w:val="21"/>
        </w:rPr>
        <w:t>控温精度：±1 ℃</w:t>
      </w:r>
      <w:r>
        <w:rPr>
          <w:rFonts w:hint="eastAsia" w:ascii="Times New Roman" w:hAnsi="Times New Roman"/>
          <w:szCs w:val="21"/>
        </w:rPr>
        <w:t>。</w:t>
      </w:r>
    </w:p>
    <w:p w14:paraId="7AB3014F">
      <w:pPr>
        <w:pStyle w:val="10"/>
        <w:numPr>
          <w:ilvl w:val="1"/>
          <w:numId w:val="3"/>
        </w:numPr>
        <w:tabs>
          <w:tab w:val="left" w:pos="900"/>
        </w:tabs>
        <w:spacing w:before="156" w:beforeLines="50" w:line="360" w:lineRule="auto"/>
        <w:ind w:firstLineChars="0"/>
        <w:rPr>
          <w:rFonts w:ascii="Times New Roman" w:hAnsi="Times New Roman"/>
          <w:szCs w:val="21"/>
        </w:rPr>
      </w:pPr>
      <w:r>
        <w:rPr>
          <w:rFonts w:ascii="Times New Roman" w:hAnsi="Times New Roman"/>
          <w:szCs w:val="21"/>
        </w:rPr>
        <w:t xml:space="preserve"> X波段高Q探头</w:t>
      </w:r>
      <w:r>
        <w:rPr>
          <w:rFonts w:hint="eastAsia" w:ascii="Times New Roman" w:hAnsi="Times New Roman"/>
          <w:szCs w:val="21"/>
        </w:rPr>
        <w:t>：采用</w:t>
      </w:r>
      <w:r>
        <w:rPr>
          <w:rFonts w:ascii="Times New Roman" w:hAnsi="Times New Roman"/>
          <w:szCs w:val="21"/>
        </w:rPr>
        <w:t>高Q圆柱腔</w:t>
      </w:r>
      <w:r>
        <w:rPr>
          <w:rFonts w:hint="eastAsia" w:ascii="Times New Roman" w:hAnsi="Times New Roman"/>
          <w:szCs w:val="21"/>
        </w:rPr>
        <w:t>，</w:t>
      </w:r>
      <w:r>
        <w:rPr>
          <w:rFonts w:ascii="Times New Roman" w:hAnsi="Times New Roman"/>
          <w:szCs w:val="21"/>
        </w:rPr>
        <w:t>空腔谐振频率：9.5 - 9.9 GHz</w:t>
      </w:r>
      <w:r>
        <w:rPr>
          <w:rFonts w:hint="eastAsia" w:ascii="Times New Roman" w:hAnsi="Times New Roman"/>
          <w:szCs w:val="21"/>
        </w:rPr>
        <w:t>，</w:t>
      </w:r>
      <w:r>
        <w:rPr>
          <w:rFonts w:ascii="Times New Roman" w:hAnsi="Times New Roman"/>
          <w:szCs w:val="21"/>
        </w:rPr>
        <w:t>最大样品管入口直径：≥ 10 mm</w:t>
      </w:r>
      <w:r>
        <w:rPr>
          <w:rFonts w:hint="eastAsia" w:ascii="Times New Roman" w:hAnsi="Times New Roman"/>
          <w:szCs w:val="21"/>
        </w:rPr>
        <w:t>，</w:t>
      </w:r>
      <w:r>
        <w:rPr>
          <w:rFonts w:ascii="Times New Roman" w:hAnsi="Times New Roman"/>
          <w:szCs w:val="21"/>
        </w:rPr>
        <w:t>最大调制场幅度：≥ 20 Gauss</w:t>
      </w:r>
      <w:r>
        <w:rPr>
          <w:rFonts w:hint="eastAsia" w:ascii="Times New Roman" w:hAnsi="Times New Roman"/>
          <w:szCs w:val="21"/>
        </w:rPr>
        <w:t>，</w:t>
      </w:r>
      <w:r>
        <w:rPr>
          <w:rFonts w:ascii="Times New Roman" w:hAnsi="Times New Roman"/>
          <w:szCs w:val="21"/>
        </w:rPr>
        <w:t>无载Q值：≥ 18000</w:t>
      </w:r>
      <w:r>
        <w:rPr>
          <w:rFonts w:hint="eastAsia" w:ascii="Times New Roman" w:hAnsi="Times New Roman"/>
          <w:szCs w:val="21"/>
        </w:rPr>
        <w:t>。</w:t>
      </w:r>
      <w:r>
        <w:rPr>
          <w:rFonts w:ascii="Times New Roman" w:hAnsi="Times New Roman"/>
          <w:szCs w:val="21"/>
        </w:rPr>
        <w:t>Q值可在软件端实时显示并被存储</w:t>
      </w:r>
      <w:r>
        <w:rPr>
          <w:rFonts w:hint="eastAsia" w:ascii="Times New Roman" w:hAnsi="Times New Roman"/>
          <w:szCs w:val="21"/>
        </w:rPr>
        <w:t>，</w:t>
      </w:r>
      <w:r>
        <w:rPr>
          <w:rFonts w:ascii="Times New Roman" w:hAnsi="Times New Roman"/>
          <w:szCs w:val="21"/>
        </w:rPr>
        <w:t>支持手动和自动调谐</w:t>
      </w:r>
      <w:r>
        <w:rPr>
          <w:rFonts w:hint="eastAsia" w:ascii="Times New Roman" w:hAnsi="Times New Roman"/>
          <w:szCs w:val="21"/>
        </w:rPr>
        <w:t>。</w:t>
      </w:r>
      <w:r>
        <w:rPr>
          <w:rFonts w:ascii="Times New Roman" w:hAnsi="Times New Roman"/>
          <w:szCs w:val="21"/>
        </w:rPr>
        <w:t>配备光栅光照窗口，可接光纤</w:t>
      </w:r>
      <w:r>
        <w:rPr>
          <w:rFonts w:hint="eastAsia" w:ascii="Times New Roman" w:hAnsi="Times New Roman"/>
          <w:szCs w:val="21"/>
        </w:rPr>
        <w:t>，具有接入原位光照系统功能及接口。</w:t>
      </w:r>
    </w:p>
    <w:p w14:paraId="42530577">
      <w:pPr>
        <w:tabs>
          <w:tab w:val="left" w:pos="900"/>
        </w:tabs>
        <w:spacing w:before="156" w:beforeLines="50" w:line="360" w:lineRule="auto"/>
        <w:rPr>
          <w:rFonts w:ascii="Times New Roman" w:hAnsi="Times New Roman"/>
          <w:szCs w:val="21"/>
        </w:rPr>
      </w:pPr>
      <w:r>
        <w:rPr>
          <w:rFonts w:hint="eastAsia" w:ascii="Times New Roman" w:hAnsi="Times New Roman"/>
          <w:szCs w:val="21"/>
        </w:rPr>
        <w:t>1</w:t>
      </w:r>
      <w:r>
        <w:rPr>
          <w:rFonts w:ascii="Times New Roman" w:hAnsi="Times New Roman"/>
          <w:szCs w:val="21"/>
        </w:rPr>
        <w:t>.13</w:t>
      </w:r>
      <w:r>
        <w:rPr>
          <w:rFonts w:hint="eastAsia" w:ascii="Times New Roman" w:hAnsi="Times New Roman"/>
          <w:szCs w:val="21"/>
        </w:rPr>
        <w:t xml:space="preserve"> </w:t>
      </w:r>
      <w:r>
        <w:rPr>
          <w:rFonts w:ascii="Times New Roman" w:hAnsi="Times New Roman"/>
          <w:szCs w:val="21"/>
        </w:rPr>
        <w:t>介质探头</w:t>
      </w:r>
      <w:r>
        <w:rPr>
          <w:rFonts w:hint="eastAsia" w:ascii="Times New Roman" w:hAnsi="Times New Roman"/>
          <w:szCs w:val="21"/>
        </w:rPr>
        <w:t>：</w:t>
      </w:r>
      <w:r>
        <w:rPr>
          <w:rFonts w:ascii="Times New Roman" w:hAnsi="Times New Roman"/>
          <w:szCs w:val="21"/>
        </w:rPr>
        <w:t>空腔谐振频率：9.4 – 9.8 GHz</w:t>
      </w:r>
      <w:r>
        <w:rPr>
          <w:rFonts w:hint="eastAsia" w:ascii="Times New Roman" w:hAnsi="Times New Roman"/>
          <w:szCs w:val="21"/>
        </w:rPr>
        <w:t>，</w:t>
      </w:r>
      <w:r>
        <w:rPr>
          <w:rFonts w:ascii="Times New Roman" w:hAnsi="Times New Roman"/>
          <w:szCs w:val="21"/>
        </w:rPr>
        <w:t>支持样品管外径：≤ 4 mm</w:t>
      </w:r>
      <w:r>
        <w:rPr>
          <w:rFonts w:hint="eastAsia" w:ascii="Times New Roman" w:hAnsi="Times New Roman"/>
          <w:szCs w:val="21"/>
        </w:rPr>
        <w:t>，</w:t>
      </w:r>
      <w:r>
        <w:rPr>
          <w:rFonts w:ascii="Times New Roman" w:hAnsi="Times New Roman"/>
          <w:szCs w:val="21"/>
        </w:rPr>
        <w:t>无载Q值：100 – 4000</w:t>
      </w:r>
      <w:r>
        <w:rPr>
          <w:rFonts w:hint="eastAsia" w:ascii="Times New Roman" w:hAnsi="Times New Roman"/>
          <w:szCs w:val="21"/>
        </w:rPr>
        <w:t>，</w:t>
      </w:r>
    </w:p>
    <w:p w14:paraId="2AA454D2">
      <w:pPr>
        <w:tabs>
          <w:tab w:val="left" w:pos="900"/>
        </w:tabs>
        <w:spacing w:before="156" w:beforeLines="50" w:line="360" w:lineRule="auto"/>
        <w:ind w:left="425"/>
        <w:rPr>
          <w:rFonts w:ascii="Times New Roman" w:hAnsi="Times New Roman"/>
          <w:szCs w:val="21"/>
        </w:rPr>
      </w:pPr>
      <w:r>
        <w:rPr>
          <w:rFonts w:ascii="Times New Roman" w:hAnsi="Times New Roman"/>
          <w:szCs w:val="21"/>
        </w:rPr>
        <w:t>配备光栅光照窗口，可接光纤</w:t>
      </w:r>
      <w:r>
        <w:rPr>
          <w:rFonts w:hint="eastAsia" w:ascii="Times New Roman" w:hAnsi="Times New Roman"/>
          <w:szCs w:val="21"/>
        </w:rPr>
        <w:t>，具有接入原位光照系统功能及接口。</w:t>
      </w:r>
      <w:r>
        <w:rPr>
          <w:rFonts w:ascii="Times New Roman" w:hAnsi="Times New Roman"/>
          <w:szCs w:val="21"/>
        </w:rPr>
        <w:t>带宽：400 ± 40 MHz</w:t>
      </w:r>
      <w:r>
        <w:rPr>
          <w:rFonts w:hint="eastAsia" w:ascii="Times New Roman" w:hAnsi="Times New Roman"/>
          <w:szCs w:val="21"/>
        </w:rPr>
        <w:t>，</w:t>
      </w:r>
      <w:r>
        <w:rPr>
          <w:rFonts w:ascii="Times New Roman" w:hAnsi="Times New Roman"/>
          <w:szCs w:val="21"/>
        </w:rPr>
        <w:t>探测死时间：≤ 100 ns</w:t>
      </w:r>
      <w:r>
        <w:rPr>
          <w:rFonts w:hint="eastAsia" w:ascii="Times New Roman" w:hAnsi="Times New Roman"/>
          <w:szCs w:val="21"/>
        </w:rPr>
        <w:t>，</w:t>
      </w:r>
      <w:r>
        <w:rPr>
          <w:rFonts w:ascii="Times New Roman" w:hAnsi="Times New Roman"/>
          <w:szCs w:val="21"/>
        </w:rPr>
        <w:t>最大调制场幅度：≥ 10 Gauss</w:t>
      </w:r>
      <w:r>
        <w:rPr>
          <w:rFonts w:hint="eastAsia" w:ascii="Times New Roman" w:hAnsi="Times New Roman"/>
          <w:szCs w:val="21"/>
        </w:rPr>
        <w:t>。</w:t>
      </w:r>
    </w:p>
    <w:p w14:paraId="38F29C63">
      <w:pPr>
        <w:tabs>
          <w:tab w:val="left" w:pos="900"/>
        </w:tabs>
        <w:spacing w:before="156" w:beforeLines="50" w:line="360" w:lineRule="auto"/>
        <w:ind w:left="420" w:hanging="420" w:hangingChars="200"/>
        <w:rPr>
          <w:rFonts w:ascii="Times New Roman" w:hAnsi="Times New Roman"/>
          <w:szCs w:val="21"/>
        </w:rPr>
      </w:pPr>
      <w:r>
        <w:rPr>
          <w:rFonts w:hint="eastAsia" w:ascii="Times New Roman" w:hAnsi="Times New Roman"/>
          <w:szCs w:val="21"/>
        </w:rPr>
        <w:t>2</w:t>
      </w:r>
      <w:bookmarkStart w:id="10" w:name="OLE_LINK1"/>
      <w:r>
        <w:rPr>
          <w:rFonts w:hint="eastAsia" w:ascii="Times New Roman" w:hAnsi="Times New Roman"/>
          <w:szCs w:val="21"/>
        </w:rPr>
        <w:t>、</w:t>
      </w:r>
      <w:bookmarkEnd w:id="10"/>
      <w:r>
        <w:rPr>
          <w:rFonts w:ascii="Times New Roman" w:hAnsi="Times New Roman"/>
          <w:szCs w:val="21"/>
        </w:rPr>
        <w:t xml:space="preserve"> </w:t>
      </w:r>
      <w:r>
        <w:rPr>
          <w:rFonts w:hint="eastAsia" w:ascii="Times New Roman" w:hAnsi="Times New Roman"/>
          <w:szCs w:val="21"/>
        </w:rPr>
        <w:t>原位光照系统（高压氙灯）</w:t>
      </w:r>
    </w:p>
    <w:p w14:paraId="53A42956">
      <w:pPr>
        <w:tabs>
          <w:tab w:val="left" w:pos="900"/>
        </w:tabs>
        <w:spacing w:before="156" w:beforeLines="50" w:line="360" w:lineRule="auto"/>
        <w:ind w:left="420" w:hanging="420" w:hangingChars="200"/>
        <w:rPr>
          <w:rFonts w:ascii="Times New Roman" w:hAnsi="Times New Roman"/>
          <w:szCs w:val="21"/>
        </w:rPr>
      </w:pPr>
      <w:r>
        <w:rPr>
          <w:rFonts w:ascii="Times New Roman" w:hAnsi="Times New Roman"/>
          <w:szCs w:val="21"/>
        </w:rPr>
        <w:t xml:space="preserve">2.1 </w:t>
      </w:r>
      <w:r>
        <w:rPr>
          <w:rFonts w:hint="eastAsia" w:ascii="Times New Roman" w:hAnsi="Times New Roman"/>
          <w:szCs w:val="21"/>
        </w:rPr>
        <w:t>灯泡功率：300 W，1</w:t>
      </w:r>
      <w:r>
        <w:rPr>
          <w:rFonts w:ascii="Times New Roman" w:hAnsi="Times New Roman"/>
          <w:szCs w:val="21"/>
        </w:rPr>
        <w:t>50 W-300 W</w:t>
      </w:r>
      <w:r>
        <w:rPr>
          <w:rFonts w:hint="eastAsia" w:ascii="Times New Roman" w:hAnsi="Times New Roman"/>
          <w:szCs w:val="21"/>
        </w:rPr>
        <w:t>连续可调，总辐射光功率≥50 W，最大电流≥21A。</w:t>
      </w:r>
    </w:p>
    <w:p w14:paraId="2CE8B1EB">
      <w:pPr>
        <w:tabs>
          <w:tab w:val="left" w:pos="900"/>
        </w:tabs>
        <w:spacing w:before="156" w:beforeLines="50" w:line="360" w:lineRule="auto"/>
        <w:ind w:left="420" w:hanging="420" w:hangingChars="200"/>
        <w:rPr>
          <w:rFonts w:ascii="Times New Roman" w:hAnsi="Times New Roman"/>
          <w:szCs w:val="21"/>
        </w:rPr>
      </w:pPr>
      <w:r>
        <w:rPr>
          <w:rFonts w:ascii="Times New Roman" w:hAnsi="Times New Roman"/>
          <w:szCs w:val="21"/>
        </w:rPr>
        <w:t xml:space="preserve">2.2 </w:t>
      </w:r>
      <w:r>
        <w:rPr>
          <w:rFonts w:hint="eastAsia" w:ascii="Times New Roman" w:hAnsi="Times New Roman"/>
          <w:szCs w:val="21"/>
        </w:rPr>
        <w:t>光谱范围：3</w:t>
      </w:r>
      <w:r>
        <w:rPr>
          <w:rFonts w:ascii="Times New Roman" w:hAnsi="Times New Roman"/>
          <w:szCs w:val="21"/>
        </w:rPr>
        <w:t xml:space="preserve">20-780 </w:t>
      </w:r>
      <w:r>
        <w:rPr>
          <w:rFonts w:hint="eastAsia" w:ascii="Times New Roman" w:hAnsi="Times New Roman"/>
          <w:szCs w:val="21"/>
        </w:rPr>
        <w:t>nm。</w:t>
      </w:r>
    </w:p>
    <w:p w14:paraId="0B8151D3">
      <w:pPr>
        <w:tabs>
          <w:tab w:val="left" w:pos="900"/>
        </w:tabs>
        <w:spacing w:before="156" w:beforeLines="50" w:line="360" w:lineRule="auto"/>
        <w:ind w:left="420" w:hanging="420" w:hangingChars="200"/>
        <w:rPr>
          <w:rFonts w:ascii="Times New Roman" w:hAnsi="Times New Roman"/>
          <w:szCs w:val="21"/>
        </w:rPr>
      </w:pPr>
      <w:r>
        <w:rPr>
          <w:rFonts w:hint="eastAsia" w:ascii="Times New Roman" w:hAnsi="Times New Roman"/>
          <w:szCs w:val="21"/>
        </w:rPr>
        <w:t>2</w:t>
      </w:r>
      <w:r>
        <w:rPr>
          <w:rFonts w:ascii="Times New Roman" w:hAnsi="Times New Roman"/>
          <w:szCs w:val="21"/>
        </w:rPr>
        <w:t xml:space="preserve">.3 </w:t>
      </w:r>
      <w:r>
        <w:rPr>
          <w:rFonts w:hint="eastAsia" w:ascii="Times New Roman" w:hAnsi="Times New Roman"/>
          <w:szCs w:val="21"/>
        </w:rPr>
        <w:t>支持≥6位电动滤光轮，可软件控制切换，配合滤光片可以获得紫外光区、可见光区、近红外光区及单色光，提供一片滤光片。</w:t>
      </w:r>
    </w:p>
    <w:p w14:paraId="1E7409A2">
      <w:pPr>
        <w:tabs>
          <w:tab w:val="left" w:pos="900"/>
        </w:tabs>
        <w:spacing w:before="156" w:beforeLines="50" w:line="360" w:lineRule="auto"/>
        <w:rPr>
          <w:rFonts w:ascii="Times New Roman" w:hAnsi="Times New Roman"/>
          <w:szCs w:val="21"/>
        </w:rPr>
      </w:pPr>
      <w:r>
        <w:rPr>
          <w:rFonts w:hint="eastAsia" w:ascii="Times New Roman" w:hAnsi="Times New Roman"/>
          <w:szCs w:val="21"/>
        </w:rPr>
        <w:t>3、</w:t>
      </w:r>
      <w:r>
        <w:rPr>
          <w:rFonts w:ascii="Times New Roman" w:hAnsi="Times New Roman"/>
          <w:szCs w:val="21"/>
        </w:rPr>
        <w:t xml:space="preserve"> </w:t>
      </w:r>
      <w:r>
        <w:rPr>
          <w:rFonts w:hint="eastAsia" w:ascii="Times New Roman" w:hAnsi="Times New Roman"/>
          <w:szCs w:val="21"/>
        </w:rPr>
        <w:t>无液氦干式变温系统（适配X波段连续波探头+适配X波段脉冲探头）。</w:t>
      </w:r>
    </w:p>
    <w:p w14:paraId="64A2452B">
      <w:pPr>
        <w:tabs>
          <w:tab w:val="left" w:pos="900"/>
        </w:tabs>
        <w:spacing w:before="156" w:beforeLines="50" w:line="360" w:lineRule="auto"/>
        <w:rPr>
          <w:rFonts w:ascii="Times New Roman" w:hAnsi="Times New Roman"/>
          <w:szCs w:val="21"/>
        </w:rPr>
      </w:pPr>
      <w:r>
        <w:rPr>
          <w:rFonts w:hint="eastAsia" w:ascii="Times New Roman" w:hAnsi="Times New Roman"/>
          <w:szCs w:val="21"/>
        </w:rPr>
        <w:t>*</w:t>
      </w:r>
      <w:r>
        <w:rPr>
          <w:rFonts w:ascii="Times New Roman" w:hAnsi="Times New Roman"/>
          <w:szCs w:val="21"/>
        </w:rPr>
        <w:t xml:space="preserve">3.1 </w:t>
      </w:r>
      <w:r>
        <w:rPr>
          <w:rFonts w:hint="eastAsia" w:ascii="Times New Roman" w:hAnsi="Times New Roman"/>
          <w:szCs w:val="21"/>
        </w:rPr>
        <w:t>功能：支持4</w:t>
      </w:r>
      <w:r>
        <w:rPr>
          <w:rFonts w:ascii="Times New Roman" w:hAnsi="Times New Roman"/>
          <w:szCs w:val="21"/>
        </w:rPr>
        <w:t>.4</w:t>
      </w:r>
      <w:r>
        <w:rPr>
          <w:rFonts w:hint="eastAsia" w:ascii="Times New Roman" w:hAnsi="Times New Roman"/>
          <w:szCs w:val="21"/>
        </w:rPr>
        <w:t xml:space="preserve"> K - 300 K低温连续波、脉冲实验。</w:t>
      </w:r>
    </w:p>
    <w:p w14:paraId="4044811A">
      <w:pPr>
        <w:tabs>
          <w:tab w:val="left" w:pos="900"/>
        </w:tabs>
        <w:spacing w:before="156" w:beforeLines="50" w:line="360" w:lineRule="auto"/>
        <w:ind w:left="420" w:hanging="420" w:hangingChars="200"/>
        <w:rPr>
          <w:rFonts w:ascii="Times New Roman" w:hAnsi="Times New Roman"/>
          <w:szCs w:val="21"/>
        </w:rPr>
      </w:pPr>
      <w:r>
        <w:rPr>
          <w:rFonts w:ascii="Times New Roman" w:hAnsi="Times New Roman"/>
          <w:szCs w:val="21"/>
        </w:rPr>
        <w:t xml:space="preserve">3.2 </w:t>
      </w:r>
      <w:r>
        <w:rPr>
          <w:rFonts w:hint="eastAsia" w:ascii="Times New Roman" w:hAnsi="Times New Roman"/>
          <w:szCs w:val="21"/>
        </w:rPr>
        <w:t>系统包括：PID调控温控仪、恒温器（适配连续波探头和脉冲探头的2种恒温器）、GM制冷机、循环气路系统、分子泵组、玻璃杜瓦、特殊设计快速换样LoadLock。</w:t>
      </w:r>
    </w:p>
    <w:p w14:paraId="09C66D10">
      <w:pPr>
        <w:tabs>
          <w:tab w:val="left" w:pos="900"/>
        </w:tabs>
        <w:spacing w:before="156" w:beforeLines="50" w:line="360" w:lineRule="auto"/>
        <w:ind w:left="420" w:hanging="420" w:hangingChars="200"/>
        <w:rPr>
          <w:rFonts w:ascii="Times New Roman" w:hAnsi="Times New Roman"/>
          <w:szCs w:val="21"/>
        </w:rPr>
      </w:pPr>
      <w:r>
        <w:rPr>
          <w:rFonts w:ascii="Times New Roman" w:hAnsi="Times New Roman"/>
          <w:szCs w:val="21"/>
        </w:rPr>
        <w:t xml:space="preserve">3.3 </w:t>
      </w:r>
      <w:r>
        <w:rPr>
          <w:rFonts w:hint="eastAsia" w:ascii="Times New Roman" w:hAnsi="Times New Roman"/>
          <w:szCs w:val="21"/>
        </w:rPr>
        <w:t>样品区可控温范围：4</w:t>
      </w:r>
      <w:r>
        <w:rPr>
          <w:rFonts w:ascii="Times New Roman" w:hAnsi="Times New Roman"/>
          <w:szCs w:val="21"/>
        </w:rPr>
        <w:t>.4</w:t>
      </w:r>
      <w:r>
        <w:rPr>
          <w:rFonts w:hint="eastAsia" w:ascii="Times New Roman" w:hAnsi="Times New Roman"/>
          <w:szCs w:val="21"/>
        </w:rPr>
        <w:t xml:space="preserve"> K - 300 K，样品区温度稳定性：± 0.1 K（在液氦温区）。制冷速率：冷头降温至4</w:t>
      </w:r>
      <w:r>
        <w:rPr>
          <w:rFonts w:ascii="Times New Roman" w:hAnsi="Times New Roman"/>
          <w:szCs w:val="21"/>
        </w:rPr>
        <w:t xml:space="preserve">.4 </w:t>
      </w:r>
      <w:r>
        <w:rPr>
          <w:rFonts w:hint="eastAsia" w:ascii="Times New Roman" w:hAnsi="Times New Roman"/>
          <w:szCs w:val="21"/>
        </w:rPr>
        <w:t>K时间：≤ 2小时；</w:t>
      </w:r>
      <w:r>
        <w:t>降温准备后，样品区降至4.4 K时间：</w:t>
      </w:r>
      <w:r>
        <w:rPr>
          <w:rFonts w:hint="eastAsia" w:ascii="Times New Roman" w:hAnsi="Times New Roman"/>
          <w:szCs w:val="21"/>
        </w:rPr>
        <w:t xml:space="preserve">≤ </w:t>
      </w:r>
      <w:r>
        <w:t>1.5小时</w:t>
      </w:r>
      <w:r>
        <w:rPr>
          <w:rFonts w:hint="eastAsia" w:ascii="Times New Roman" w:hAnsi="Times New Roman"/>
          <w:szCs w:val="21"/>
        </w:rPr>
        <w:t>。</w:t>
      </w:r>
    </w:p>
    <w:p w14:paraId="1C52A87A">
      <w:pPr>
        <w:tabs>
          <w:tab w:val="left" w:pos="900"/>
        </w:tabs>
        <w:spacing w:before="156" w:beforeLines="50" w:line="360" w:lineRule="auto"/>
        <w:rPr>
          <w:rFonts w:ascii="Times New Roman" w:hAnsi="Times New Roman"/>
          <w:szCs w:val="21"/>
        </w:rPr>
      </w:pPr>
      <w:r>
        <w:rPr>
          <w:rFonts w:ascii="Times New Roman" w:hAnsi="Times New Roman"/>
          <w:szCs w:val="21"/>
        </w:rPr>
        <w:t xml:space="preserve">3.4 </w:t>
      </w:r>
      <w:r>
        <w:rPr>
          <w:rFonts w:hint="eastAsia" w:ascii="Times New Roman" w:hAnsi="Times New Roman"/>
          <w:szCs w:val="21"/>
        </w:rPr>
        <w:t>支持样品管外径：≤ 4 mm。</w:t>
      </w:r>
    </w:p>
    <w:p w14:paraId="54875709">
      <w:pPr>
        <w:tabs>
          <w:tab w:val="left" w:pos="900"/>
        </w:tabs>
        <w:spacing w:before="156" w:beforeLines="50" w:line="360" w:lineRule="auto"/>
        <w:rPr>
          <w:rFonts w:ascii="Times New Roman" w:hAnsi="Times New Roman"/>
          <w:szCs w:val="21"/>
          <w:highlight w:val="yellow"/>
        </w:rPr>
      </w:pPr>
      <w:r>
        <w:rPr>
          <w:rFonts w:ascii="Times New Roman" w:hAnsi="Times New Roman"/>
          <w:szCs w:val="21"/>
        </w:rPr>
        <w:t xml:space="preserve">3.5 </w:t>
      </w:r>
      <w:r>
        <w:rPr>
          <w:rFonts w:hint="eastAsia" w:ascii="Times New Roman" w:hAnsi="Times New Roman"/>
          <w:szCs w:val="21"/>
        </w:rPr>
        <w:t>制冷源：冷头</w:t>
      </w:r>
      <w:r>
        <w:t>制冷</w:t>
      </w:r>
      <w:r>
        <w:rPr>
          <w:rFonts w:hint="eastAsia"/>
        </w:rPr>
        <w:t>量：</w:t>
      </w:r>
      <w:r>
        <w:rPr>
          <w:rFonts w:ascii="Times New Roman" w:hAnsi="Times New Roman"/>
          <w:szCs w:val="21"/>
        </w:rPr>
        <w:t xml:space="preserve">≥ </w:t>
      </w:r>
      <w:r>
        <w:t>1.8w@4.2k</w:t>
      </w:r>
      <w:r>
        <w:rPr>
          <w:rFonts w:hint="eastAsia" w:ascii="Times New Roman" w:hAnsi="Times New Roman"/>
          <w:szCs w:val="21"/>
        </w:rPr>
        <w:t>。</w:t>
      </w:r>
    </w:p>
    <w:p w14:paraId="129B4322">
      <w:pPr>
        <w:tabs>
          <w:tab w:val="left" w:pos="900"/>
        </w:tabs>
        <w:spacing w:before="156" w:beforeLines="50" w:line="360" w:lineRule="auto"/>
        <w:rPr>
          <w:rFonts w:ascii="Times New Roman" w:hAnsi="Times New Roman"/>
          <w:szCs w:val="21"/>
        </w:rPr>
      </w:pPr>
      <w:r>
        <w:rPr>
          <w:rFonts w:ascii="Times New Roman" w:hAnsi="Times New Roman"/>
          <w:szCs w:val="21"/>
        </w:rPr>
        <w:t>4</w:t>
      </w:r>
      <w:r>
        <w:rPr>
          <w:rFonts w:hint="eastAsia" w:ascii="Times New Roman" w:hAnsi="Times New Roman"/>
          <w:szCs w:val="21"/>
        </w:rPr>
        <w:t>、</w:t>
      </w:r>
      <w:r>
        <w:rPr>
          <w:rFonts w:ascii="Times New Roman" w:hAnsi="Times New Roman"/>
          <w:szCs w:val="21"/>
        </w:rPr>
        <w:t xml:space="preserve"> </w:t>
      </w:r>
      <w:r>
        <w:rPr>
          <w:rFonts w:hint="eastAsia" w:ascii="Times New Roman" w:hAnsi="Times New Roman"/>
          <w:szCs w:val="21"/>
        </w:rPr>
        <w:t>其他配套附件</w:t>
      </w:r>
    </w:p>
    <w:p w14:paraId="200EAAA8">
      <w:pPr>
        <w:tabs>
          <w:tab w:val="left" w:pos="900"/>
        </w:tabs>
        <w:spacing w:before="156" w:beforeLines="50" w:line="360" w:lineRule="auto"/>
        <w:ind w:left="420" w:hanging="420" w:hangingChars="200"/>
        <w:rPr>
          <w:rFonts w:ascii="Times New Roman" w:hAnsi="Times New Roman"/>
          <w:szCs w:val="21"/>
        </w:rPr>
      </w:pPr>
      <w:r>
        <w:rPr>
          <w:rFonts w:ascii="Times New Roman" w:hAnsi="Times New Roman"/>
          <w:szCs w:val="21"/>
        </w:rPr>
        <w:t>4.1 标准样品</w:t>
      </w:r>
      <w:r>
        <w:rPr>
          <w:rFonts w:hint="eastAsia" w:ascii="Times New Roman" w:hAnsi="Times New Roman"/>
          <w:szCs w:val="21"/>
        </w:rPr>
        <w:t>：</w:t>
      </w:r>
      <w:r>
        <w:rPr>
          <w:rFonts w:ascii="Times New Roman" w:hAnsi="Times New Roman"/>
          <w:szCs w:val="21"/>
        </w:rPr>
        <w:t>标准样品</w:t>
      </w:r>
      <w:r>
        <w:rPr>
          <w:rFonts w:hint="eastAsia" w:ascii="Times New Roman" w:hAnsi="Times New Roman"/>
          <w:szCs w:val="21"/>
        </w:rPr>
        <w:t>含</w:t>
      </w:r>
      <w:r>
        <w:rPr>
          <w:rFonts w:ascii="Times New Roman" w:hAnsi="Times New Roman"/>
          <w:szCs w:val="21"/>
        </w:rPr>
        <w:t>BDPA</w:t>
      </w:r>
      <w:r>
        <w:rPr>
          <w:rFonts w:hint="eastAsia" w:ascii="Times New Roman" w:hAnsi="Times New Roman"/>
          <w:szCs w:val="21"/>
        </w:rPr>
        <w:t>样品</w:t>
      </w:r>
      <w:r>
        <w:rPr>
          <w:rFonts w:ascii="Times New Roman" w:hAnsi="Times New Roman"/>
          <w:szCs w:val="21"/>
        </w:rPr>
        <w:t>1 支，用于调制场单元校准</w:t>
      </w:r>
      <w:r>
        <w:rPr>
          <w:rFonts w:hint="eastAsia" w:ascii="Times New Roman" w:hAnsi="Times New Roman"/>
          <w:szCs w:val="21"/>
        </w:rPr>
        <w:t>；</w:t>
      </w:r>
      <w:r>
        <w:rPr>
          <w:rFonts w:ascii="Times New Roman" w:hAnsi="Times New Roman"/>
          <w:szCs w:val="21"/>
        </w:rPr>
        <w:t>DPPH</w:t>
      </w:r>
      <w:r>
        <w:rPr>
          <w:rFonts w:hint="eastAsia" w:ascii="Times New Roman" w:hAnsi="Times New Roman"/>
          <w:szCs w:val="21"/>
        </w:rPr>
        <w:t>样品</w:t>
      </w:r>
      <w:r>
        <w:rPr>
          <w:rFonts w:ascii="Times New Roman" w:hAnsi="Times New Roman"/>
          <w:szCs w:val="21"/>
        </w:rPr>
        <w:t>1 支，用于快速测试连续波EPR校正g值</w:t>
      </w:r>
      <w:r>
        <w:rPr>
          <w:rFonts w:hint="eastAsia" w:ascii="Times New Roman" w:hAnsi="Times New Roman"/>
          <w:szCs w:val="21"/>
        </w:rPr>
        <w:t>；</w:t>
      </w:r>
      <w:r>
        <w:rPr>
          <w:rFonts w:ascii="Times New Roman" w:hAnsi="Times New Roman"/>
          <w:szCs w:val="21"/>
        </w:rPr>
        <w:t>Coal样品，1支，用于脉冲模式测试</w:t>
      </w:r>
      <w:r>
        <w:rPr>
          <w:rFonts w:hint="eastAsia" w:ascii="Times New Roman" w:hAnsi="Times New Roman"/>
          <w:szCs w:val="21"/>
        </w:rPr>
        <w:t>。</w:t>
      </w:r>
    </w:p>
    <w:p w14:paraId="6CA640B3">
      <w:pPr>
        <w:tabs>
          <w:tab w:val="left" w:pos="900"/>
        </w:tabs>
        <w:spacing w:before="156" w:beforeLines="50" w:line="360" w:lineRule="auto"/>
        <w:rPr>
          <w:rFonts w:ascii="Times New Roman" w:hAnsi="Times New Roman"/>
          <w:szCs w:val="21"/>
        </w:rPr>
      </w:pPr>
      <w:r>
        <w:rPr>
          <w:rFonts w:hint="eastAsia" w:ascii="Times New Roman" w:hAnsi="Times New Roman"/>
          <w:szCs w:val="21"/>
        </w:rPr>
        <w:t>4</w:t>
      </w:r>
      <w:r>
        <w:rPr>
          <w:rFonts w:ascii="Times New Roman" w:hAnsi="Times New Roman"/>
          <w:szCs w:val="21"/>
        </w:rPr>
        <w:t>.2 样品管组</w:t>
      </w:r>
      <w:r>
        <w:rPr>
          <w:rFonts w:hint="eastAsia" w:ascii="Times New Roman" w:hAnsi="Times New Roman"/>
          <w:szCs w:val="21"/>
        </w:rPr>
        <w:t>：</w:t>
      </w:r>
      <w:r>
        <w:rPr>
          <w:rFonts w:ascii="Times New Roman" w:hAnsi="Times New Roman"/>
          <w:szCs w:val="21"/>
        </w:rPr>
        <w:t>4 mm外径、3 mm内径的石英样品管，25支</w:t>
      </w:r>
      <w:r>
        <w:rPr>
          <w:rFonts w:hint="eastAsia" w:ascii="Times New Roman" w:hAnsi="Times New Roman"/>
          <w:szCs w:val="21"/>
        </w:rPr>
        <w:t>；</w:t>
      </w:r>
      <w:r>
        <w:rPr>
          <w:rFonts w:ascii="Times New Roman" w:hAnsi="Times New Roman"/>
          <w:szCs w:val="21"/>
        </w:rPr>
        <w:t>20 μL毛细管，250 支</w:t>
      </w:r>
      <w:r>
        <w:rPr>
          <w:rFonts w:hint="eastAsia" w:ascii="Times New Roman" w:hAnsi="Times New Roman"/>
          <w:szCs w:val="21"/>
        </w:rPr>
        <w:t>。</w:t>
      </w:r>
    </w:p>
    <w:p w14:paraId="410CFC9A">
      <w:pPr>
        <w:tabs>
          <w:tab w:val="left" w:pos="900"/>
        </w:tabs>
        <w:spacing w:before="156" w:beforeLines="50" w:line="360" w:lineRule="auto"/>
        <w:rPr>
          <w:rFonts w:ascii="Times New Roman" w:hAnsi="Times New Roman"/>
          <w:szCs w:val="21"/>
        </w:rPr>
      </w:pPr>
      <w:r>
        <w:rPr>
          <w:rFonts w:hint="eastAsia" w:ascii="Times New Roman" w:hAnsi="Times New Roman"/>
          <w:szCs w:val="21"/>
        </w:rPr>
        <w:t>4</w:t>
      </w:r>
      <w:r>
        <w:rPr>
          <w:rFonts w:ascii="Times New Roman" w:hAnsi="Times New Roman"/>
          <w:szCs w:val="21"/>
        </w:rPr>
        <w:t xml:space="preserve">.3 软件和谱仪控制器 </w:t>
      </w:r>
    </w:p>
    <w:p w14:paraId="5BB0E032">
      <w:pPr>
        <w:tabs>
          <w:tab w:val="left" w:pos="900"/>
        </w:tabs>
        <w:spacing w:before="156" w:beforeLines="50" w:line="360" w:lineRule="auto"/>
        <w:ind w:left="420" w:leftChars="200"/>
        <w:rPr>
          <w:rFonts w:ascii="Times New Roman" w:hAnsi="Times New Roman"/>
          <w:szCs w:val="21"/>
        </w:rPr>
      </w:pPr>
      <w:r>
        <w:rPr>
          <w:rFonts w:hint="eastAsia" w:ascii="Times New Roman" w:hAnsi="Times New Roman"/>
          <w:szCs w:val="21"/>
        </w:rPr>
        <w:t>4</w:t>
      </w:r>
      <w:r>
        <w:rPr>
          <w:rFonts w:ascii="Times New Roman" w:hAnsi="Times New Roman"/>
          <w:szCs w:val="21"/>
        </w:rPr>
        <w:t xml:space="preserve">.3.1 工作站 </w:t>
      </w:r>
      <w:r>
        <w:rPr>
          <w:rFonts w:hint="eastAsia" w:ascii="Times New Roman" w:hAnsi="Times New Roman"/>
          <w:szCs w:val="21"/>
        </w:rPr>
        <w:t>：</w:t>
      </w:r>
      <w:r>
        <w:rPr>
          <w:rFonts w:ascii="Times New Roman" w:hAnsi="Times New Roman"/>
          <w:szCs w:val="21"/>
        </w:rPr>
        <w:t xml:space="preserve">内存:16 GB </w:t>
      </w:r>
      <w:r>
        <w:rPr>
          <w:rFonts w:hint="eastAsia" w:ascii="Times New Roman" w:hAnsi="Times New Roman"/>
          <w:szCs w:val="21"/>
        </w:rPr>
        <w:t>，</w:t>
      </w:r>
      <w:r>
        <w:rPr>
          <w:rFonts w:ascii="Times New Roman" w:hAnsi="Times New Roman"/>
          <w:szCs w:val="21"/>
        </w:rPr>
        <w:t>硬盘: 512GB SSD+1 T HDD</w:t>
      </w:r>
      <w:r>
        <w:rPr>
          <w:rFonts w:hint="eastAsia" w:ascii="Times New Roman" w:hAnsi="Times New Roman"/>
          <w:szCs w:val="21"/>
        </w:rPr>
        <w:t>，</w:t>
      </w:r>
      <w:r>
        <w:rPr>
          <w:rFonts w:ascii="Times New Roman" w:hAnsi="Times New Roman"/>
          <w:szCs w:val="21"/>
        </w:rPr>
        <w:t>CPU ：不低于i7处理器</w:t>
      </w:r>
      <w:r>
        <w:rPr>
          <w:rFonts w:hint="eastAsia" w:ascii="Times New Roman" w:hAnsi="Times New Roman"/>
          <w:szCs w:val="21"/>
        </w:rPr>
        <w:t>，</w:t>
      </w:r>
      <w:r>
        <w:rPr>
          <w:rFonts w:ascii="Times New Roman" w:hAnsi="Times New Roman"/>
          <w:szCs w:val="21"/>
        </w:rPr>
        <w:t>显示器：27英寸曲面显示屏×2</w:t>
      </w:r>
      <w:r>
        <w:rPr>
          <w:rFonts w:hint="eastAsia" w:ascii="Times New Roman" w:hAnsi="Times New Roman"/>
          <w:szCs w:val="21"/>
        </w:rPr>
        <w:t>。</w:t>
      </w:r>
    </w:p>
    <w:p w14:paraId="299B71B8">
      <w:pPr>
        <w:tabs>
          <w:tab w:val="left" w:pos="900"/>
        </w:tabs>
        <w:spacing w:before="156" w:beforeLines="50" w:line="360" w:lineRule="auto"/>
        <w:ind w:left="420" w:leftChars="200"/>
        <w:rPr>
          <w:rFonts w:ascii="Times New Roman" w:hAnsi="Times New Roman"/>
          <w:szCs w:val="21"/>
        </w:rPr>
      </w:pPr>
      <w:r>
        <w:rPr>
          <w:rFonts w:hint="eastAsia" w:ascii="Times New Roman" w:hAnsi="Times New Roman"/>
          <w:szCs w:val="21"/>
        </w:rPr>
        <w:t>4</w:t>
      </w:r>
      <w:r>
        <w:rPr>
          <w:rFonts w:ascii="Times New Roman" w:hAnsi="Times New Roman"/>
          <w:szCs w:val="21"/>
        </w:rPr>
        <w:t>.3.2 软件包</w:t>
      </w:r>
      <w:r>
        <w:rPr>
          <w:rFonts w:hint="eastAsia" w:ascii="Times New Roman" w:hAnsi="Times New Roman"/>
          <w:szCs w:val="21"/>
        </w:rPr>
        <w:t>：</w:t>
      </w:r>
      <w:r>
        <w:rPr>
          <w:rFonts w:ascii="Times New Roman" w:hAnsi="Times New Roman"/>
          <w:szCs w:val="21"/>
        </w:rPr>
        <w:t>基于Windows操作系统的高性能软件包，可实现谱仪控制、数据采集、谱图处理和拟合功能</w:t>
      </w:r>
      <w:r>
        <w:rPr>
          <w:rFonts w:hint="eastAsia" w:ascii="Times New Roman" w:hAnsi="Times New Roman"/>
          <w:szCs w:val="21"/>
        </w:rPr>
        <w:t>。</w:t>
      </w:r>
    </w:p>
    <w:p w14:paraId="31CD88FC">
      <w:pPr>
        <w:tabs>
          <w:tab w:val="left" w:pos="900"/>
        </w:tabs>
        <w:spacing w:before="156" w:beforeLines="50" w:line="360" w:lineRule="auto"/>
        <w:ind w:firstLine="420" w:firstLineChars="200"/>
        <w:rPr>
          <w:rFonts w:ascii="Times New Roman" w:hAnsi="Times New Roman"/>
          <w:szCs w:val="21"/>
        </w:rPr>
      </w:pPr>
      <w:r>
        <w:rPr>
          <w:rFonts w:hint="eastAsia" w:ascii="Times New Roman" w:hAnsi="Times New Roman"/>
          <w:szCs w:val="21"/>
        </w:rPr>
        <w:t>4</w:t>
      </w:r>
      <w:r>
        <w:rPr>
          <w:rFonts w:ascii="Times New Roman" w:hAnsi="Times New Roman"/>
          <w:szCs w:val="21"/>
        </w:rPr>
        <w:t>.3.3 实验操作软件</w:t>
      </w:r>
      <w:r>
        <w:rPr>
          <w:rFonts w:hint="eastAsia" w:ascii="Times New Roman" w:hAnsi="Times New Roman"/>
          <w:szCs w:val="21"/>
        </w:rPr>
        <w:t>：</w:t>
      </w:r>
      <w:r>
        <w:rPr>
          <w:rFonts w:ascii="Times New Roman" w:hAnsi="Times New Roman"/>
          <w:szCs w:val="21"/>
        </w:rPr>
        <w:t xml:space="preserve"> 支持仪器进行状态切换、参数控制、实验流程控制、数据采集和分析</w:t>
      </w:r>
    </w:p>
    <w:p w14:paraId="4E94A425">
      <w:pPr>
        <w:tabs>
          <w:tab w:val="left" w:pos="900"/>
        </w:tabs>
        <w:spacing w:before="156" w:beforeLines="50" w:line="360" w:lineRule="auto"/>
        <w:ind w:left="420" w:leftChars="200"/>
        <w:rPr>
          <w:rFonts w:ascii="Times New Roman" w:hAnsi="Times New Roman"/>
          <w:szCs w:val="21"/>
        </w:rPr>
      </w:pPr>
      <w:r>
        <w:rPr>
          <w:rFonts w:ascii="Times New Roman" w:hAnsi="Times New Roman"/>
          <w:szCs w:val="21"/>
        </w:rPr>
        <w:t>数据处理和分析软件</w:t>
      </w:r>
      <w:r>
        <w:rPr>
          <w:rFonts w:hint="eastAsia" w:ascii="Times New Roman" w:hAnsi="Times New Roman"/>
          <w:szCs w:val="21"/>
        </w:rPr>
        <w:t>。支持不限用户数量的</w:t>
      </w:r>
      <w:r>
        <w:rPr>
          <w:rFonts w:ascii="Times New Roman" w:hAnsi="Times New Roman"/>
          <w:szCs w:val="21"/>
        </w:rPr>
        <w:t>脱机离线使用，用于对EPR谱线进行多种数据处理操作，如去基线、积分、微分、滤波、傅里叶变换、数据拟合等操作。</w:t>
      </w:r>
    </w:p>
    <w:p w14:paraId="5B313AD9">
      <w:pPr>
        <w:tabs>
          <w:tab w:val="left" w:pos="900"/>
        </w:tabs>
        <w:spacing w:before="156" w:beforeLines="50" w:line="360" w:lineRule="auto"/>
        <w:ind w:left="420" w:leftChars="200"/>
        <w:rPr>
          <w:rFonts w:ascii="Times New Roman" w:hAnsi="Times New Roman"/>
          <w:szCs w:val="21"/>
        </w:rPr>
      </w:pPr>
      <w:r>
        <w:rPr>
          <w:rFonts w:hint="eastAsia" w:ascii="Times New Roman" w:hAnsi="Times New Roman"/>
          <w:szCs w:val="21"/>
        </w:rPr>
        <w:t>4</w:t>
      </w:r>
      <w:r>
        <w:rPr>
          <w:rFonts w:ascii="Times New Roman" w:hAnsi="Times New Roman"/>
          <w:szCs w:val="21"/>
        </w:rPr>
        <w:t xml:space="preserve">.3.4 </w:t>
      </w:r>
      <w:r>
        <w:rPr>
          <w:rFonts w:hint="eastAsia" w:ascii="Times New Roman" w:hAnsi="Times New Roman"/>
          <w:szCs w:val="21"/>
        </w:rPr>
        <w:t>所有软件程序的全部功能开放，具有永久版权，在硬件支持的条件下终生免费升级。</w:t>
      </w:r>
    </w:p>
    <w:p w14:paraId="0515A9AF">
      <w:pPr>
        <w:tabs>
          <w:tab w:val="left" w:pos="900"/>
        </w:tabs>
        <w:spacing w:before="156" w:beforeLines="50" w:line="360" w:lineRule="auto"/>
        <w:ind w:left="420" w:hanging="420" w:hangingChars="200"/>
        <w:rPr>
          <w:rFonts w:ascii="Times New Roman" w:hAnsi="Times New Roman"/>
          <w:szCs w:val="21"/>
        </w:rPr>
      </w:pPr>
      <w:r>
        <w:rPr>
          <w:rFonts w:ascii="Times New Roman" w:hAnsi="Times New Roman"/>
          <w:szCs w:val="21"/>
        </w:rPr>
        <w:t>4.4 定量EPR测试</w:t>
      </w:r>
      <w:r>
        <w:rPr>
          <w:rFonts w:hint="eastAsia" w:ascii="Times New Roman" w:hAnsi="Times New Roman"/>
          <w:szCs w:val="21"/>
        </w:rPr>
        <w:t>：支持</w:t>
      </w:r>
      <w:r>
        <w:rPr>
          <w:rFonts w:ascii="Times New Roman" w:hAnsi="Times New Roman"/>
          <w:szCs w:val="21"/>
        </w:rPr>
        <w:t>相对定量EPR计算</w:t>
      </w:r>
      <w:r>
        <w:rPr>
          <w:rFonts w:hint="eastAsia" w:ascii="Times New Roman" w:hAnsi="Times New Roman"/>
          <w:szCs w:val="21"/>
        </w:rPr>
        <w:t>，</w:t>
      </w:r>
      <w:r>
        <w:rPr>
          <w:rFonts w:ascii="Times New Roman" w:hAnsi="Times New Roman"/>
          <w:szCs w:val="21"/>
        </w:rPr>
        <w:t>支持无需标样的绝对自旋数定量EPR计算</w:t>
      </w:r>
      <w:r>
        <w:rPr>
          <w:rFonts w:hint="eastAsia" w:ascii="Times New Roman" w:hAnsi="Times New Roman"/>
          <w:szCs w:val="21"/>
        </w:rPr>
        <w:t>。</w:t>
      </w:r>
    </w:p>
    <w:p w14:paraId="50461C7D">
      <w:pPr>
        <w:tabs>
          <w:tab w:val="left" w:pos="900"/>
        </w:tabs>
        <w:spacing w:before="156" w:beforeLines="50" w:line="360" w:lineRule="auto"/>
        <w:rPr>
          <w:rFonts w:ascii="Times New Roman" w:hAnsi="Times New Roman"/>
          <w:szCs w:val="21"/>
        </w:rPr>
      </w:pPr>
      <w:r>
        <w:rPr>
          <w:rFonts w:hint="eastAsia" w:ascii="Times New Roman" w:hAnsi="Times New Roman"/>
          <w:szCs w:val="21"/>
        </w:rPr>
        <w:t>4</w:t>
      </w:r>
      <w:r>
        <w:rPr>
          <w:rFonts w:ascii="Times New Roman" w:hAnsi="Times New Roman"/>
          <w:szCs w:val="21"/>
        </w:rPr>
        <w:t>.5 样品定位器</w:t>
      </w:r>
      <w:r>
        <w:rPr>
          <w:rFonts w:hint="eastAsia" w:ascii="Times New Roman" w:hAnsi="Times New Roman"/>
          <w:szCs w:val="21"/>
        </w:rPr>
        <w:t>：</w:t>
      </w:r>
      <w:r>
        <w:rPr>
          <w:rFonts w:ascii="Times New Roman" w:hAnsi="Times New Roman"/>
          <w:szCs w:val="21"/>
        </w:rPr>
        <w:t>适用于X波段脉冲式电子顺磁共振波谱仪的样品管位置标定</w:t>
      </w:r>
      <w:r>
        <w:rPr>
          <w:rFonts w:hint="eastAsia" w:ascii="Times New Roman" w:hAnsi="Times New Roman"/>
          <w:szCs w:val="21"/>
        </w:rPr>
        <w:t>。</w:t>
      </w:r>
    </w:p>
    <w:p w14:paraId="01C3D024">
      <w:pPr>
        <w:tabs>
          <w:tab w:val="left" w:pos="900"/>
        </w:tabs>
        <w:spacing w:before="156" w:beforeLines="50" w:line="360" w:lineRule="auto"/>
        <w:rPr>
          <w:rFonts w:ascii="Times New Roman" w:hAnsi="Times New Roman"/>
          <w:szCs w:val="21"/>
        </w:rPr>
      </w:pPr>
      <w:r>
        <w:rPr>
          <w:rFonts w:ascii="Times New Roman" w:hAnsi="Times New Roman"/>
          <w:szCs w:val="21"/>
        </w:rPr>
        <w:t xml:space="preserve">4.6 </w:t>
      </w:r>
      <w:r>
        <w:rPr>
          <w:rFonts w:hint="eastAsia" w:ascii="Times New Roman" w:hAnsi="Times New Roman"/>
          <w:szCs w:val="21"/>
        </w:rPr>
        <w:t>配备拓展可测电子-电子、电子-核相互作用相关测试配件的接口。</w:t>
      </w:r>
    </w:p>
    <w:p w14:paraId="520DDEBA">
      <w:pPr>
        <w:tabs>
          <w:tab w:val="left" w:pos="900"/>
        </w:tabs>
        <w:spacing w:before="156" w:beforeLines="50" w:line="360" w:lineRule="auto"/>
        <w:rPr>
          <w:rFonts w:hAnsi="宋体"/>
          <w:b/>
          <w:szCs w:val="21"/>
        </w:rPr>
      </w:pPr>
      <w:r>
        <w:rPr>
          <w:rFonts w:hint="eastAsia" w:hAnsi="宋体"/>
          <w:b/>
          <w:szCs w:val="21"/>
        </w:rPr>
        <w:t>五、采购标的需满足的服务标准、期限、效率等要求</w:t>
      </w:r>
    </w:p>
    <w:p w14:paraId="79266780">
      <w:pPr>
        <w:numPr>
          <w:ilvl w:val="0"/>
          <w:numId w:val="4"/>
        </w:numPr>
        <w:tabs>
          <w:tab w:val="left" w:pos="900"/>
        </w:tabs>
        <w:spacing w:before="156" w:beforeLines="50" w:line="360" w:lineRule="auto"/>
        <w:rPr>
          <w:rFonts w:ascii="宋体" w:hAnsi="宋体"/>
          <w:szCs w:val="21"/>
        </w:rPr>
      </w:pPr>
      <w:r>
        <w:rPr>
          <w:rFonts w:hint="eastAsia" w:ascii="宋体" w:hAnsi="宋体"/>
          <w:szCs w:val="21"/>
        </w:rPr>
        <w:t xml:space="preserve">质保期： </w:t>
      </w:r>
      <w:r>
        <w:rPr>
          <w:rFonts w:ascii="宋体" w:hAnsi="宋体"/>
          <w:szCs w:val="21"/>
          <w:u w:val="single"/>
        </w:rPr>
        <w:t xml:space="preserve">  </w:t>
      </w:r>
      <w:r>
        <w:rPr>
          <w:rFonts w:ascii="宋体" w:hAnsi="宋体" w:cs="宋体"/>
          <w:u w:val="single"/>
        </w:rPr>
        <w:t>≥ 3</w:t>
      </w:r>
      <w:r>
        <w:rPr>
          <w:rFonts w:ascii="宋体" w:hAnsi="宋体"/>
          <w:szCs w:val="21"/>
          <w:u w:val="single"/>
        </w:rPr>
        <w:t xml:space="preserve">  </w:t>
      </w:r>
      <w:r>
        <w:rPr>
          <w:rFonts w:hint="eastAsia" w:ascii="宋体" w:hAnsi="宋体"/>
          <w:szCs w:val="21"/>
        </w:rPr>
        <w:t>年（自西安交通大学验收合格之日起计算），</w:t>
      </w:r>
      <w:r>
        <w:rPr>
          <w:rFonts w:ascii="宋体" w:hAnsi="宋体" w:cs="宋体"/>
        </w:rPr>
        <w:t>质保期内免费维保≥2次/年，免人工服务费。</w:t>
      </w:r>
      <w:r>
        <w:rPr>
          <w:rFonts w:hint="eastAsia" w:ascii="宋体" w:hAnsi="宋体"/>
          <w:szCs w:val="21"/>
        </w:rPr>
        <w:t>质保期满后，仍需提供专业维修服务，投标人在投标文件中需注明维修服务单项报价。</w:t>
      </w:r>
    </w:p>
    <w:p w14:paraId="515D82D9">
      <w:pPr>
        <w:numPr>
          <w:ilvl w:val="0"/>
          <w:numId w:val="4"/>
        </w:numPr>
        <w:tabs>
          <w:tab w:val="left" w:pos="900"/>
        </w:tabs>
        <w:spacing w:before="156" w:beforeLines="50" w:line="360" w:lineRule="auto"/>
        <w:rPr>
          <w:rFonts w:ascii="宋体" w:hAnsi="宋体"/>
          <w:szCs w:val="21"/>
        </w:rPr>
      </w:pPr>
      <w:r>
        <w:rPr>
          <w:rFonts w:hint="eastAsia" w:ascii="宋体" w:hAnsi="宋体"/>
          <w:szCs w:val="21"/>
        </w:rPr>
        <w:t>服务响应时间：接到维修电话后4小时内给予明确答复，8小时内到达现场维修。维修人员到现场后若问题特殊无法现场修复的，供货方需在24小时内给出合理解决方案。</w:t>
      </w:r>
    </w:p>
    <w:p w14:paraId="480E3F83">
      <w:pPr>
        <w:pStyle w:val="10"/>
        <w:numPr>
          <w:ilvl w:val="0"/>
          <w:numId w:val="4"/>
        </w:numPr>
        <w:tabs>
          <w:tab w:val="left" w:pos="709"/>
        </w:tabs>
        <w:spacing w:before="156" w:line="360" w:lineRule="auto"/>
        <w:ind w:firstLineChars="0"/>
        <w:rPr>
          <w:rFonts w:ascii="宋体" w:hAnsi="宋体"/>
          <w:b/>
          <w:szCs w:val="21"/>
        </w:rPr>
      </w:pPr>
      <w:r>
        <w:rPr>
          <w:rFonts w:ascii="宋体" w:hAnsi="宋体"/>
          <w:szCs w:val="21"/>
        </w:rPr>
        <w:t>培训</w:t>
      </w:r>
      <w:r>
        <w:rPr>
          <w:rFonts w:hint="eastAsia" w:ascii="宋体" w:hAnsi="宋体"/>
          <w:szCs w:val="21"/>
        </w:rPr>
        <w:t>要求：</w:t>
      </w:r>
      <w:r>
        <w:rPr>
          <w:rFonts w:ascii="宋体" w:hAnsi="宋体" w:cs="宋体"/>
        </w:rPr>
        <w:t>提供培训电子资料及视频；供方免费为用户培训至少</w:t>
      </w:r>
      <w:r>
        <w:rPr>
          <w:rFonts w:ascii="宋体" w:hAnsi="宋体" w:cs="宋体"/>
          <w:u w:val="single"/>
        </w:rPr>
        <w:t xml:space="preserve"> </w:t>
      </w:r>
      <w:r>
        <w:rPr>
          <w:rFonts w:hint="eastAsia" w:ascii="宋体" w:hAnsi="宋体" w:cs="宋体"/>
          <w:u w:val="single"/>
        </w:rPr>
        <w:t>2-4</w:t>
      </w:r>
      <w:r>
        <w:rPr>
          <w:rFonts w:ascii="宋体" w:hAnsi="宋体" w:cs="宋体"/>
          <w:u w:val="single"/>
        </w:rPr>
        <w:t xml:space="preserve"> </w:t>
      </w:r>
      <w:r>
        <w:rPr>
          <w:rFonts w:ascii="宋体" w:hAnsi="宋体" w:cs="宋体"/>
        </w:rPr>
        <w:t>名操作人员进行为期至少</w:t>
      </w:r>
      <w:r>
        <w:rPr>
          <w:rFonts w:ascii="宋体" w:hAnsi="宋体" w:cs="宋体"/>
          <w:u w:val="single"/>
        </w:rPr>
        <w:t xml:space="preserve"> </w:t>
      </w:r>
      <w:r>
        <w:rPr>
          <w:rFonts w:hint="eastAsia" w:ascii="宋体" w:hAnsi="宋体" w:cs="宋体"/>
          <w:u w:val="single"/>
        </w:rPr>
        <w:t>5</w:t>
      </w:r>
      <w:r>
        <w:rPr>
          <w:rFonts w:ascii="宋体" w:hAnsi="宋体" w:cs="宋体"/>
          <w:u w:val="single"/>
        </w:rPr>
        <w:t xml:space="preserve"> </w:t>
      </w:r>
      <w:r>
        <w:rPr>
          <w:rFonts w:ascii="宋体" w:hAnsi="宋体" w:cs="宋体"/>
        </w:rPr>
        <w:t xml:space="preserve">天的现场操作培训以及应用培训，保证用户掌握有关设备的使用、维护、管理和应用等工作要求。不定期的免费提供相关设备应用方面的技术咨询等。 </w:t>
      </w:r>
    </w:p>
    <w:p w14:paraId="65A768EB">
      <w:pPr>
        <w:tabs>
          <w:tab w:val="left" w:pos="420"/>
          <w:tab w:val="left" w:pos="900"/>
        </w:tabs>
        <w:spacing w:before="156" w:beforeLines="50" w:line="360" w:lineRule="auto"/>
        <w:rPr>
          <w:rFonts w:ascii="宋体" w:hAnsi="宋体"/>
          <w:b/>
          <w:szCs w:val="21"/>
        </w:rPr>
      </w:pPr>
      <w:r>
        <w:rPr>
          <w:rFonts w:hint="eastAsia" w:ascii="宋体" w:hAnsi="宋体"/>
          <w:b/>
          <w:szCs w:val="21"/>
        </w:rPr>
        <w:t>六、</w:t>
      </w:r>
      <w:r>
        <w:rPr>
          <w:rFonts w:ascii="宋体" w:hAnsi="宋体"/>
          <w:b/>
          <w:szCs w:val="21"/>
        </w:rPr>
        <w:t>采购标的的</w:t>
      </w:r>
      <w:r>
        <w:rPr>
          <w:rFonts w:hint="eastAsia" w:ascii="宋体" w:hAnsi="宋体"/>
          <w:b/>
          <w:szCs w:val="21"/>
        </w:rPr>
        <w:t>履约验收标准</w:t>
      </w:r>
    </w:p>
    <w:tbl>
      <w:tblPr>
        <w:tblStyle w:val="7"/>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507"/>
        <w:gridCol w:w="2254"/>
        <w:gridCol w:w="2114"/>
      </w:tblGrid>
      <w:tr w14:paraId="1F88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601" w:type="dxa"/>
            <w:gridSpan w:val="4"/>
            <w:vAlign w:val="center"/>
          </w:tcPr>
          <w:p w14:paraId="6270E186">
            <w:pPr>
              <w:widowControl/>
              <w:jc w:val="center"/>
              <w:textAlignment w:val="baseline"/>
              <w:rPr>
                <w:color w:val="000000"/>
                <w:kern w:val="0"/>
                <w:sz w:val="20"/>
                <w:szCs w:val="21"/>
              </w:rPr>
            </w:pPr>
            <w:r>
              <w:rPr>
                <w:color w:val="000000"/>
                <w:kern w:val="0"/>
                <w:sz w:val="20"/>
                <w:szCs w:val="21"/>
              </w:rPr>
              <w:t>现场的检验指标及方法</w:t>
            </w:r>
          </w:p>
        </w:tc>
      </w:tr>
      <w:tr w14:paraId="1C63B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14:paraId="5E9DE022">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69AC7029">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1757BFBF">
            <w:pPr>
              <w:widowControl/>
              <w:jc w:val="center"/>
              <w:textAlignment w:val="baseline"/>
              <w:rPr>
                <w:color w:val="000000"/>
                <w:kern w:val="0"/>
                <w:sz w:val="20"/>
                <w:szCs w:val="21"/>
              </w:rPr>
            </w:pPr>
            <w:r>
              <w:rPr>
                <w:color w:val="000000"/>
                <w:kern w:val="0"/>
                <w:sz w:val="20"/>
                <w:szCs w:val="21"/>
              </w:rPr>
              <w:t>验收或测试方法</w:t>
            </w:r>
          </w:p>
        </w:tc>
      </w:tr>
      <w:tr w14:paraId="0D05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38616FAA">
            <w:pPr>
              <w:widowControl/>
              <w:jc w:val="left"/>
              <w:textAlignment w:val="baseline"/>
              <w:rPr>
                <w:rFonts w:ascii="黑体" w:hAnsi="黑体" w:eastAsia="黑体"/>
                <w:b/>
                <w:color w:val="000000"/>
                <w:kern w:val="0"/>
                <w:sz w:val="18"/>
                <w:szCs w:val="18"/>
              </w:rPr>
            </w:pPr>
            <w:r>
              <w:rPr>
                <w:rFonts w:hint="eastAsia" w:ascii="黑体" w:hAnsi="黑体" w:eastAsia="黑体"/>
                <w:b/>
                <w:color w:val="000000"/>
                <w:kern w:val="0"/>
                <w:sz w:val="18"/>
                <w:szCs w:val="18"/>
              </w:rPr>
              <w:t>项目建设单位验收要求：</w:t>
            </w:r>
          </w:p>
        </w:tc>
      </w:tr>
      <w:tr w14:paraId="5BF3D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2C5692F2">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10501CD1">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6C6E3BAA">
            <w:pPr>
              <w:widowControl/>
              <w:jc w:val="left"/>
              <w:textAlignment w:val="baseline"/>
              <w:rPr>
                <w:color w:val="000000"/>
                <w:kern w:val="0"/>
                <w:sz w:val="18"/>
                <w:szCs w:val="18"/>
              </w:rPr>
            </w:pPr>
            <w:r>
              <w:rPr>
                <w:color w:val="000000"/>
                <w:kern w:val="0"/>
                <w:sz w:val="18"/>
                <w:szCs w:val="18"/>
              </w:rPr>
              <w:t>现场核查</w:t>
            </w:r>
          </w:p>
        </w:tc>
      </w:tr>
      <w:tr w14:paraId="28AF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355A0CD7">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5AAB7643">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7EE4C03A">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14:paraId="24A4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6DF837D5">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6682D13A">
            <w:pPr>
              <w:widowControl/>
              <w:textAlignment w:val="baseline"/>
              <w:rPr>
                <w:color w:val="000000"/>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43A178CF">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14:paraId="1C103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5446AE81">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36A15D96">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67900B59">
            <w:pPr>
              <w:widowControl/>
              <w:textAlignment w:val="baseline"/>
              <w:rPr>
                <w:color w:val="000000"/>
                <w:kern w:val="0"/>
                <w:sz w:val="18"/>
                <w:szCs w:val="18"/>
              </w:rPr>
            </w:pPr>
            <w:r>
              <w:rPr>
                <w:color w:val="000000"/>
                <w:kern w:val="0"/>
                <w:sz w:val="18"/>
                <w:szCs w:val="18"/>
              </w:rPr>
              <w:t>现场核查</w:t>
            </w:r>
          </w:p>
        </w:tc>
      </w:tr>
      <w:tr w14:paraId="3838C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350B0FDB">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046C059A">
            <w:pPr>
              <w:widowControl/>
              <w:textAlignment w:val="baseline"/>
              <w:rPr>
                <w:color w:val="000000"/>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3F1F8B89">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14:paraId="4EE27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766FD079">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3A9DB2D6">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14:paraId="0FEB9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623E6D14">
            <w:pPr>
              <w:widowControl/>
              <w:jc w:val="left"/>
              <w:textAlignment w:val="baseline"/>
              <w:rPr>
                <w:color w:val="000000"/>
                <w:kern w:val="0"/>
                <w:sz w:val="18"/>
                <w:szCs w:val="18"/>
              </w:rPr>
            </w:pPr>
            <w:r>
              <w:rPr>
                <w:rFonts w:hint="eastAsia" w:ascii="黑体" w:hAnsi="黑体" w:eastAsia="黑体"/>
                <w:b/>
                <w:color w:val="000000"/>
                <w:kern w:val="0"/>
                <w:sz w:val="18"/>
                <w:szCs w:val="18"/>
              </w:rPr>
              <w:t>学校验收复核要求：</w:t>
            </w:r>
          </w:p>
        </w:tc>
      </w:tr>
      <w:tr w14:paraId="15027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5B08D37D">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7CA65B1E">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14:paraId="75B0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1BE7863B">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1C153C22">
            <w:pPr>
              <w:widowControl/>
              <w:textAlignment w:val="baseline"/>
              <w:rPr>
                <w:color w:val="000000"/>
                <w:kern w:val="0"/>
                <w:sz w:val="18"/>
                <w:szCs w:val="18"/>
              </w:rPr>
            </w:pPr>
            <w:r>
              <w:rPr>
                <w:rFonts w:hint="eastAsia"/>
                <w:color w:val="000000"/>
                <w:kern w:val="0"/>
                <w:sz w:val="18"/>
                <w:szCs w:val="18"/>
              </w:rPr>
              <w:t>提供《供应商货物类项目完工报告》</w:t>
            </w:r>
          </w:p>
        </w:tc>
      </w:tr>
      <w:tr w14:paraId="1E31B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162D0A1E">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58E9D8DE">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14:paraId="155FC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7357FDB0">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11AC2DA5">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14:paraId="4F703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1703C045">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05F3CEE4">
            <w:pPr>
              <w:widowControl/>
              <w:textAlignment w:val="baseline"/>
              <w:rPr>
                <w:color w:val="000000"/>
                <w:kern w:val="0"/>
                <w:sz w:val="20"/>
                <w:szCs w:val="21"/>
              </w:rPr>
            </w:pPr>
            <w:r>
              <w:rPr>
                <w:color w:val="000000"/>
                <w:kern w:val="0"/>
                <w:sz w:val="20"/>
                <w:szCs w:val="21"/>
              </w:rPr>
              <w:t>是</w:t>
            </w:r>
            <w:r>
              <w:rPr>
                <w:rFonts w:hint="eastAsia" w:ascii="宋体" w:hAnsi="宋体" w:cs="宋体"/>
                <w:color w:val="000000"/>
                <w:kern w:val="0"/>
                <w:sz w:val="20"/>
                <w:szCs w:val="21"/>
              </w:rPr>
              <w:t>☑</w:t>
            </w:r>
          </w:p>
        </w:tc>
        <w:tc>
          <w:tcPr>
            <w:tcW w:w="2114" w:type="dxa"/>
            <w:vAlign w:val="center"/>
          </w:tcPr>
          <w:p w14:paraId="7554C0AA">
            <w:pPr>
              <w:widowControl/>
              <w:textAlignment w:val="baseline"/>
              <w:rPr>
                <w:color w:val="000000"/>
                <w:kern w:val="0"/>
                <w:sz w:val="20"/>
                <w:szCs w:val="21"/>
              </w:rPr>
            </w:pPr>
            <w:r>
              <w:rPr>
                <w:color w:val="000000"/>
                <w:kern w:val="0"/>
                <w:sz w:val="20"/>
                <w:szCs w:val="21"/>
              </w:rPr>
              <w:t>否</w:t>
            </w:r>
            <w:r>
              <w:rPr>
                <w:rFonts w:hint="eastAsia" w:ascii="宋体" w:hAnsi="宋体" w:cs="宋体"/>
                <w:color w:val="000000"/>
                <w:kern w:val="0"/>
                <w:sz w:val="20"/>
                <w:szCs w:val="21"/>
              </w:rPr>
              <w:t>□</w:t>
            </w:r>
          </w:p>
        </w:tc>
      </w:tr>
      <w:tr w14:paraId="3969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1E07F427">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322E4274">
            <w:pPr>
              <w:widowControl/>
              <w:textAlignment w:val="baseline"/>
              <w:rPr>
                <w:color w:val="000000"/>
                <w:kern w:val="0"/>
                <w:sz w:val="20"/>
                <w:szCs w:val="21"/>
              </w:rPr>
            </w:pPr>
            <w:r>
              <w:rPr>
                <w:color w:val="000000"/>
                <w:kern w:val="0"/>
                <w:sz w:val="20"/>
                <w:szCs w:val="21"/>
              </w:rPr>
              <w:t>是</w:t>
            </w:r>
            <w:r>
              <w:rPr>
                <w:rFonts w:hint="eastAsia" w:ascii="宋体" w:hAnsi="宋体" w:cs="宋体"/>
                <w:color w:val="000000"/>
                <w:kern w:val="0"/>
                <w:sz w:val="20"/>
                <w:szCs w:val="21"/>
              </w:rPr>
              <w:t>□</w:t>
            </w:r>
          </w:p>
        </w:tc>
        <w:tc>
          <w:tcPr>
            <w:tcW w:w="2114" w:type="dxa"/>
            <w:vAlign w:val="center"/>
          </w:tcPr>
          <w:p w14:paraId="33B81E27">
            <w:pPr>
              <w:widowControl/>
              <w:textAlignment w:val="baseline"/>
              <w:rPr>
                <w:color w:val="000000"/>
                <w:kern w:val="0"/>
                <w:sz w:val="20"/>
                <w:szCs w:val="21"/>
              </w:rPr>
            </w:pPr>
            <w:r>
              <w:rPr>
                <w:color w:val="000000"/>
                <w:kern w:val="0"/>
                <w:sz w:val="20"/>
                <w:szCs w:val="21"/>
              </w:rPr>
              <w:t>否</w:t>
            </w:r>
            <w:r>
              <w:rPr>
                <w:rFonts w:hint="eastAsia" w:ascii="宋体" w:hAnsi="宋体" w:cs="宋体"/>
                <w:color w:val="000000"/>
                <w:kern w:val="0"/>
                <w:sz w:val="20"/>
                <w:szCs w:val="21"/>
              </w:rPr>
              <w:t>☑</w:t>
            </w:r>
          </w:p>
        </w:tc>
      </w:tr>
      <w:tr w14:paraId="6C07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1" w:type="dxa"/>
            <w:gridSpan w:val="4"/>
            <w:vAlign w:val="center"/>
          </w:tcPr>
          <w:p w14:paraId="231EB4B8">
            <w:pPr>
              <w:widowControl/>
              <w:textAlignment w:val="baseline"/>
              <w:rPr>
                <w:color w:val="000000"/>
                <w:kern w:val="0"/>
                <w:sz w:val="20"/>
                <w:szCs w:val="21"/>
              </w:rPr>
            </w:pPr>
            <w:r>
              <w:rPr>
                <w:color w:val="000000"/>
                <w:kern w:val="0"/>
                <w:sz w:val="20"/>
                <w:szCs w:val="21"/>
              </w:rPr>
              <w:t>除现场验收外，需提供的其他验收要求</w:t>
            </w:r>
          </w:p>
        </w:tc>
      </w:tr>
      <w:tr w14:paraId="4D538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33" w:type="dxa"/>
            <w:gridSpan w:val="2"/>
            <w:vAlign w:val="center"/>
          </w:tcPr>
          <w:p w14:paraId="0084D648">
            <w:pPr>
              <w:widowControl/>
              <w:spacing w:line="450" w:lineRule="atLeast"/>
              <w:textAlignment w:val="baseline"/>
              <w:rPr>
                <w:color w:val="000000"/>
                <w:kern w:val="0"/>
                <w:sz w:val="20"/>
                <w:szCs w:val="21"/>
              </w:rPr>
            </w:pPr>
            <w:r>
              <w:rPr>
                <w:color w:val="000000"/>
                <w:kern w:val="0"/>
                <w:sz w:val="20"/>
                <w:szCs w:val="21"/>
              </w:rPr>
              <w:t>除现场验收外，是</w:t>
            </w:r>
            <w:r>
              <w:rPr>
                <w:rFonts w:hint="eastAsia" w:ascii="宋体" w:hAnsi="宋体" w:cs="宋体"/>
                <w:color w:val="000000"/>
                <w:kern w:val="0"/>
                <w:sz w:val="20"/>
                <w:szCs w:val="21"/>
              </w:rPr>
              <w:t>□</w:t>
            </w:r>
            <w:r>
              <w:rPr>
                <w:color w:val="000000"/>
                <w:kern w:val="0"/>
                <w:sz w:val="20"/>
                <w:szCs w:val="21"/>
              </w:rPr>
              <w:t>否</w:t>
            </w:r>
            <w:r>
              <w:rPr>
                <w:rFonts w:hint="eastAsia" w:ascii="宋体" w:hAnsi="宋体" w:cs="宋体"/>
                <w:color w:val="000000"/>
                <w:kern w:val="0"/>
                <w:sz w:val="20"/>
                <w:szCs w:val="21"/>
              </w:rPr>
              <w:t>☑</w:t>
            </w:r>
            <w:r>
              <w:rPr>
                <w:color w:val="000000"/>
                <w:kern w:val="0"/>
                <w:sz w:val="20"/>
                <w:szCs w:val="21"/>
              </w:rPr>
              <w:t>需提供第三方检测报告</w:t>
            </w:r>
          </w:p>
          <w:p w14:paraId="031D2635">
            <w:pPr>
              <w:widowControl/>
              <w:spacing w:line="450" w:lineRule="atLeast"/>
              <w:textAlignment w:val="baseline"/>
              <w:rPr>
                <w:color w:val="000000"/>
                <w:kern w:val="0"/>
                <w:sz w:val="20"/>
                <w:szCs w:val="21"/>
              </w:rPr>
            </w:pPr>
          </w:p>
        </w:tc>
        <w:tc>
          <w:tcPr>
            <w:tcW w:w="4368" w:type="dxa"/>
            <w:gridSpan w:val="2"/>
            <w:vAlign w:val="center"/>
          </w:tcPr>
          <w:p w14:paraId="104F6C84">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5202B7D6">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bookmarkEnd w:id="0"/>
    </w:tbl>
    <w:p w14:paraId="404EDFCC"/>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D475B4"/>
    <w:multiLevelType w:val="multilevel"/>
    <w:tmpl w:val="1AD475B4"/>
    <w:lvl w:ilvl="0" w:tentative="0">
      <w:start w:val="1"/>
      <w:numFmt w:val="decimal"/>
      <w:lvlText w:val="%1."/>
      <w:lvlJc w:val="left"/>
      <w:pPr>
        <w:tabs>
          <w:tab w:val="left" w:pos="420"/>
        </w:tabs>
        <w:ind w:left="420" w:hanging="420"/>
      </w:pPr>
      <w:rPr>
        <w:rFonts w:hint="default"/>
        <w:b w:val="0"/>
        <w:bCs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A5708C9"/>
    <w:multiLevelType w:val="multilevel"/>
    <w:tmpl w:val="2A5708C9"/>
    <w:lvl w:ilvl="0" w:tentative="0">
      <w:start w:val="1"/>
      <w:numFmt w:val="decimal"/>
      <w:lvlText w:val="%1"/>
      <w:lvlJc w:val="left"/>
      <w:pPr>
        <w:ind w:left="375" w:hanging="375"/>
      </w:pPr>
      <w:rPr>
        <w:rFonts w:hint="default"/>
      </w:rPr>
    </w:lvl>
    <w:lvl w:ilvl="1" w:tentative="0">
      <w:start w:val="12"/>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
    <w:nsid w:val="3942473C"/>
    <w:multiLevelType w:val="multilevel"/>
    <w:tmpl w:val="3942473C"/>
    <w:lvl w:ilvl="0" w:tentative="0">
      <w:start w:val="6"/>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
    <w:nsid w:val="6CF303E7"/>
    <w:multiLevelType w:val="multilevel"/>
    <w:tmpl w:val="6CF303E7"/>
    <w:lvl w:ilvl="0" w:tentative="0">
      <w:start w:val="5"/>
      <w:numFmt w:val="decimal"/>
      <w:lvlText w:val="%1"/>
      <w:lvlJc w:val="left"/>
      <w:pPr>
        <w:ind w:left="360" w:hanging="360"/>
      </w:pPr>
      <w:rPr>
        <w:rFonts w:hint="default"/>
      </w:rPr>
    </w:lvl>
    <w:lvl w:ilvl="1" w:tentative="0">
      <w:start w:val="1"/>
      <w:numFmt w:val="decimal"/>
      <w:lvlText w:val="%1.%2"/>
      <w:lvlJc w:val="left"/>
      <w:pPr>
        <w:ind w:left="927" w:hanging="360"/>
      </w:pPr>
      <w:rPr>
        <w:rFonts w:hint="default"/>
      </w:rPr>
    </w:lvl>
    <w:lvl w:ilvl="2" w:tentative="0">
      <w:start w:val="1"/>
      <w:numFmt w:val="decimal"/>
      <w:lvlText w:val="%1.%2.%3"/>
      <w:lvlJc w:val="left"/>
      <w:pPr>
        <w:ind w:left="1570" w:hanging="720"/>
      </w:pPr>
      <w:rPr>
        <w:rFonts w:hint="default"/>
      </w:rPr>
    </w:lvl>
    <w:lvl w:ilvl="3" w:tentative="0">
      <w:start w:val="1"/>
      <w:numFmt w:val="decimal"/>
      <w:lvlText w:val="%1.%2.%3.%4"/>
      <w:lvlJc w:val="left"/>
      <w:pPr>
        <w:ind w:left="1995" w:hanging="720"/>
      </w:pPr>
      <w:rPr>
        <w:rFonts w:hint="default"/>
      </w:rPr>
    </w:lvl>
    <w:lvl w:ilvl="4" w:tentative="0">
      <w:start w:val="1"/>
      <w:numFmt w:val="decimal"/>
      <w:lvlText w:val="%1.%2.%3.%4.%5"/>
      <w:lvlJc w:val="left"/>
      <w:pPr>
        <w:ind w:left="2780" w:hanging="1080"/>
      </w:pPr>
      <w:rPr>
        <w:rFonts w:hint="default"/>
      </w:rPr>
    </w:lvl>
    <w:lvl w:ilvl="5" w:tentative="0">
      <w:start w:val="1"/>
      <w:numFmt w:val="decimal"/>
      <w:lvlText w:val="%1.%2.%3.%4.%5.%6"/>
      <w:lvlJc w:val="left"/>
      <w:pPr>
        <w:ind w:left="3205" w:hanging="1080"/>
      </w:pPr>
      <w:rPr>
        <w:rFonts w:hint="default"/>
      </w:rPr>
    </w:lvl>
    <w:lvl w:ilvl="6" w:tentative="0">
      <w:start w:val="1"/>
      <w:numFmt w:val="decimal"/>
      <w:lvlText w:val="%1.%2.%3.%4.%5.%6.%7"/>
      <w:lvlJc w:val="left"/>
      <w:pPr>
        <w:ind w:left="3630" w:hanging="1080"/>
      </w:pPr>
      <w:rPr>
        <w:rFonts w:hint="default"/>
      </w:rPr>
    </w:lvl>
    <w:lvl w:ilvl="7" w:tentative="0">
      <w:start w:val="1"/>
      <w:numFmt w:val="decimal"/>
      <w:lvlText w:val="%1.%2.%3.%4.%5.%6.%7.%8"/>
      <w:lvlJc w:val="left"/>
      <w:pPr>
        <w:ind w:left="4415" w:hanging="1440"/>
      </w:pPr>
      <w:rPr>
        <w:rFonts w:hint="default"/>
      </w:rPr>
    </w:lvl>
    <w:lvl w:ilvl="8" w:tentative="0">
      <w:start w:val="1"/>
      <w:numFmt w:val="decimal"/>
      <w:lvlText w:val="%1.%2.%3.%4.%5.%6.%7.%8.%9"/>
      <w:lvlJc w:val="left"/>
      <w:pPr>
        <w:ind w:left="4840" w:hanging="144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BCF"/>
    <w:rsid w:val="00005FD6"/>
    <w:rsid w:val="0003080F"/>
    <w:rsid w:val="000331D9"/>
    <w:rsid w:val="000355E8"/>
    <w:rsid w:val="0003708E"/>
    <w:rsid w:val="00041AA4"/>
    <w:rsid w:val="000435FF"/>
    <w:rsid w:val="00071B33"/>
    <w:rsid w:val="00080640"/>
    <w:rsid w:val="00083D85"/>
    <w:rsid w:val="000B2274"/>
    <w:rsid w:val="000C78B7"/>
    <w:rsid w:val="000C7B19"/>
    <w:rsid w:val="000E5F1F"/>
    <w:rsid w:val="00101282"/>
    <w:rsid w:val="00121342"/>
    <w:rsid w:val="00123113"/>
    <w:rsid w:val="00123738"/>
    <w:rsid w:val="001241BF"/>
    <w:rsid w:val="001507F2"/>
    <w:rsid w:val="00155445"/>
    <w:rsid w:val="00155448"/>
    <w:rsid w:val="00155BB2"/>
    <w:rsid w:val="001A6CF7"/>
    <w:rsid w:val="001B4869"/>
    <w:rsid w:val="001C2BC8"/>
    <w:rsid w:val="001C57C1"/>
    <w:rsid w:val="00200E6B"/>
    <w:rsid w:val="00216A19"/>
    <w:rsid w:val="002313F4"/>
    <w:rsid w:val="002631A1"/>
    <w:rsid w:val="002650A9"/>
    <w:rsid w:val="00290CF0"/>
    <w:rsid w:val="002B4C43"/>
    <w:rsid w:val="003003F2"/>
    <w:rsid w:val="00311B11"/>
    <w:rsid w:val="00330A69"/>
    <w:rsid w:val="00334E22"/>
    <w:rsid w:val="0033629D"/>
    <w:rsid w:val="0034297F"/>
    <w:rsid w:val="00357892"/>
    <w:rsid w:val="003929F7"/>
    <w:rsid w:val="003A3D23"/>
    <w:rsid w:val="003E5FBF"/>
    <w:rsid w:val="00405FAC"/>
    <w:rsid w:val="0040688A"/>
    <w:rsid w:val="00420B0A"/>
    <w:rsid w:val="00422D5C"/>
    <w:rsid w:val="00424BBE"/>
    <w:rsid w:val="0045241F"/>
    <w:rsid w:val="00482994"/>
    <w:rsid w:val="00492271"/>
    <w:rsid w:val="00494FF2"/>
    <w:rsid w:val="004D5101"/>
    <w:rsid w:val="004E0B31"/>
    <w:rsid w:val="004F0144"/>
    <w:rsid w:val="005000FB"/>
    <w:rsid w:val="00505832"/>
    <w:rsid w:val="0052263C"/>
    <w:rsid w:val="005235A5"/>
    <w:rsid w:val="0055605C"/>
    <w:rsid w:val="00570968"/>
    <w:rsid w:val="00585159"/>
    <w:rsid w:val="0059240E"/>
    <w:rsid w:val="005A772B"/>
    <w:rsid w:val="005B07D9"/>
    <w:rsid w:val="005E6B18"/>
    <w:rsid w:val="005F57E2"/>
    <w:rsid w:val="00617943"/>
    <w:rsid w:val="00647703"/>
    <w:rsid w:val="00654F8A"/>
    <w:rsid w:val="0069043B"/>
    <w:rsid w:val="00693EA1"/>
    <w:rsid w:val="006961B3"/>
    <w:rsid w:val="006B67F6"/>
    <w:rsid w:val="006B6ADD"/>
    <w:rsid w:val="006C1E30"/>
    <w:rsid w:val="006C58F1"/>
    <w:rsid w:val="006D6372"/>
    <w:rsid w:val="007128D6"/>
    <w:rsid w:val="00735B36"/>
    <w:rsid w:val="00746ECF"/>
    <w:rsid w:val="00772B31"/>
    <w:rsid w:val="007A523D"/>
    <w:rsid w:val="007C04F0"/>
    <w:rsid w:val="007C2E8E"/>
    <w:rsid w:val="00801CE4"/>
    <w:rsid w:val="0083174E"/>
    <w:rsid w:val="008426A5"/>
    <w:rsid w:val="008819C2"/>
    <w:rsid w:val="00885F18"/>
    <w:rsid w:val="00885F70"/>
    <w:rsid w:val="008939AB"/>
    <w:rsid w:val="008A60CD"/>
    <w:rsid w:val="008B409C"/>
    <w:rsid w:val="008C1CC1"/>
    <w:rsid w:val="008C2B18"/>
    <w:rsid w:val="008F2498"/>
    <w:rsid w:val="00901F63"/>
    <w:rsid w:val="00943B94"/>
    <w:rsid w:val="00950671"/>
    <w:rsid w:val="00954438"/>
    <w:rsid w:val="00957994"/>
    <w:rsid w:val="0096022B"/>
    <w:rsid w:val="0096687E"/>
    <w:rsid w:val="009720AE"/>
    <w:rsid w:val="0097505E"/>
    <w:rsid w:val="009A3C2D"/>
    <w:rsid w:val="009B2F71"/>
    <w:rsid w:val="009B3918"/>
    <w:rsid w:val="009B5967"/>
    <w:rsid w:val="009B6942"/>
    <w:rsid w:val="009E5D45"/>
    <w:rsid w:val="00A261FF"/>
    <w:rsid w:val="00A373A5"/>
    <w:rsid w:val="00A77C9F"/>
    <w:rsid w:val="00A85772"/>
    <w:rsid w:val="00AA71E9"/>
    <w:rsid w:val="00AA746D"/>
    <w:rsid w:val="00AF08F0"/>
    <w:rsid w:val="00B024E5"/>
    <w:rsid w:val="00B03653"/>
    <w:rsid w:val="00B03B85"/>
    <w:rsid w:val="00B11B04"/>
    <w:rsid w:val="00B1617C"/>
    <w:rsid w:val="00B17127"/>
    <w:rsid w:val="00B27F92"/>
    <w:rsid w:val="00B571E8"/>
    <w:rsid w:val="00B62021"/>
    <w:rsid w:val="00B67759"/>
    <w:rsid w:val="00B74562"/>
    <w:rsid w:val="00B80E08"/>
    <w:rsid w:val="00BB417C"/>
    <w:rsid w:val="00C05A1E"/>
    <w:rsid w:val="00C250F8"/>
    <w:rsid w:val="00C506A7"/>
    <w:rsid w:val="00C972B2"/>
    <w:rsid w:val="00CB5212"/>
    <w:rsid w:val="00CE7B69"/>
    <w:rsid w:val="00D03659"/>
    <w:rsid w:val="00D10B0C"/>
    <w:rsid w:val="00D359A5"/>
    <w:rsid w:val="00D61505"/>
    <w:rsid w:val="00D726A5"/>
    <w:rsid w:val="00D85B8A"/>
    <w:rsid w:val="00D87A2C"/>
    <w:rsid w:val="00D94591"/>
    <w:rsid w:val="00DA2BD8"/>
    <w:rsid w:val="00DD0646"/>
    <w:rsid w:val="00DE0BE8"/>
    <w:rsid w:val="00DF5799"/>
    <w:rsid w:val="00DF6BCF"/>
    <w:rsid w:val="00E06673"/>
    <w:rsid w:val="00E21F5F"/>
    <w:rsid w:val="00E50E7E"/>
    <w:rsid w:val="00E57C29"/>
    <w:rsid w:val="00E672A7"/>
    <w:rsid w:val="00E80C63"/>
    <w:rsid w:val="00EA43CD"/>
    <w:rsid w:val="00EE4A28"/>
    <w:rsid w:val="00EE575E"/>
    <w:rsid w:val="00EF0FCD"/>
    <w:rsid w:val="00EF6092"/>
    <w:rsid w:val="00F066C3"/>
    <w:rsid w:val="00F07798"/>
    <w:rsid w:val="00F228FD"/>
    <w:rsid w:val="00F34C38"/>
    <w:rsid w:val="00F416FF"/>
    <w:rsid w:val="00F456BA"/>
    <w:rsid w:val="00F52A2E"/>
    <w:rsid w:val="00F6013C"/>
    <w:rsid w:val="00F66332"/>
    <w:rsid w:val="00F6647D"/>
    <w:rsid w:val="00F672CE"/>
    <w:rsid w:val="00F7581E"/>
    <w:rsid w:val="00F76CA3"/>
    <w:rsid w:val="00F92E43"/>
    <w:rsid w:val="00FA511B"/>
    <w:rsid w:val="00FB6E63"/>
    <w:rsid w:val="00FD65F7"/>
    <w:rsid w:val="00FE2F43"/>
    <w:rsid w:val="041014AD"/>
    <w:rsid w:val="157E2F72"/>
    <w:rsid w:val="3739694B"/>
    <w:rsid w:val="50E96211"/>
    <w:rsid w:val="52767F80"/>
    <w:rsid w:val="686412A5"/>
    <w:rsid w:val="77C65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11"/>
    <w:unhideWhenUsed/>
    <w:qFormat/>
    <w:uiPriority w:val="9"/>
    <w:pPr>
      <w:keepNext/>
      <w:keepLines/>
      <w:spacing w:before="260" w:after="260" w:line="300" w:lineRule="auto"/>
      <w:outlineLvl w:val="2"/>
    </w:pPr>
    <w:rPr>
      <w:rFonts w:ascii="Times New Roman" w:hAnsi="Times New Roman"/>
      <w:b/>
      <w:bCs/>
      <w:szCs w:val="21"/>
      <w14:ligatures w14:val="standardContextual"/>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tabs>
        <w:tab w:val="center" w:pos="4153"/>
        <w:tab w:val="right" w:pos="8306"/>
      </w:tabs>
      <w:snapToGrid w:val="0"/>
      <w:jc w:val="center"/>
    </w:pPr>
    <w:rPr>
      <w:sz w:val="18"/>
      <w:szCs w:val="18"/>
    </w:rPr>
  </w:style>
  <w:style w:type="paragraph" w:styleId="5">
    <w:name w:val="Title"/>
    <w:basedOn w:val="1"/>
    <w:link w:val="9"/>
    <w:qFormat/>
    <w:uiPriority w:val="0"/>
    <w:pPr>
      <w:spacing w:before="240" w:after="60"/>
      <w:jc w:val="center"/>
      <w:outlineLvl w:val="0"/>
    </w:pPr>
    <w:rPr>
      <w:rFonts w:ascii="Arial" w:hAnsi="Arial" w:cs="Arial"/>
      <w:b/>
      <w:bCs/>
      <w:sz w:val="32"/>
      <w:szCs w:val="32"/>
    </w:rPr>
  </w:style>
  <w:style w:type="table" w:styleId="7">
    <w:name w:val="Table Grid"/>
    <w:basedOn w:val="6"/>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字符"/>
    <w:basedOn w:val="8"/>
    <w:link w:val="5"/>
    <w:qFormat/>
    <w:uiPriority w:val="0"/>
    <w:rPr>
      <w:rFonts w:ascii="Arial" w:hAnsi="Arial" w:eastAsia="宋体" w:cs="Arial"/>
      <w:b/>
      <w:bCs/>
      <w:sz w:val="32"/>
      <w:szCs w:val="32"/>
    </w:rPr>
  </w:style>
  <w:style w:type="paragraph" w:styleId="10">
    <w:name w:val="List Paragraph"/>
    <w:basedOn w:val="1"/>
    <w:qFormat/>
    <w:uiPriority w:val="34"/>
    <w:pPr>
      <w:ind w:firstLine="420" w:firstLineChars="200"/>
    </w:pPr>
  </w:style>
  <w:style w:type="character" w:customStyle="1" w:styleId="11">
    <w:name w:val="标题 3 字符"/>
    <w:basedOn w:val="8"/>
    <w:link w:val="2"/>
    <w:qFormat/>
    <w:uiPriority w:val="9"/>
    <w:rPr>
      <w:rFonts w:ascii="Times New Roman" w:hAnsi="Times New Roman" w:eastAsia="宋体" w:cs="Times New Roman"/>
      <w:b/>
      <w:bCs/>
      <w:szCs w:val="21"/>
      <w14:ligatures w14:val="standardContextual"/>
    </w:rPr>
  </w:style>
  <w:style w:type="character" w:customStyle="1" w:styleId="12">
    <w:name w:val="页眉 字符"/>
    <w:basedOn w:val="8"/>
    <w:link w:val="4"/>
    <w:qFormat/>
    <w:uiPriority w:val="99"/>
    <w:rPr>
      <w:rFonts w:ascii="Calibri" w:hAnsi="Calibri" w:eastAsia="宋体" w:cs="Times New Roman"/>
      <w:sz w:val="18"/>
      <w:szCs w:val="18"/>
    </w:rPr>
  </w:style>
  <w:style w:type="character" w:customStyle="1" w:styleId="13">
    <w:name w:val="页脚 字符"/>
    <w:basedOn w:val="8"/>
    <w:link w:val="3"/>
    <w:qFormat/>
    <w:uiPriority w:val="99"/>
    <w:rPr>
      <w:rFonts w:ascii="Calibri" w:hAnsi="Calibri" w:eastAsia="宋体" w:cs="Times New Roman"/>
      <w:sz w:val="18"/>
      <w:szCs w:val="18"/>
    </w:rPr>
  </w:style>
  <w:style w:type="paragraph" w:customStyle="1" w:styleId="14">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3946</Words>
  <Characters>4412</Characters>
  <Lines>34</Lines>
  <Paragraphs>9</Paragraphs>
  <TotalTime>5</TotalTime>
  <ScaleCrop>false</ScaleCrop>
  <LinksUpToDate>false</LinksUpToDate>
  <CharactersWithSpaces>4665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2025-09-16T02:17:00Z</dcterms:created>
  <dc:creator>user</dc:creator>
  <cp:lastModifiedBy>薄荷叶</cp:lastModifiedBy>
  <dcterms:modified xsi:type="dcterms:W3CDTF">2025-09-22T09:07:08Z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eyJoZGlkIjoiMmY4YTcxOWEwZDk0NGRmMmQ0YjFhZTQzNTFkYTY1ZjQiLCJ1c2VySWQiOiI0ODU3Mzg1NjkifQ==</vt:lpwstr>
  </property>
  <property fmtid="{D5CDD505-2E9C-101B-9397-08002B2CF9AE}" pid="3" name="KSOProductBuildVer">
    <vt:lpwstr>2052-12.1.0.22529</vt:lpwstr>
  </property>
  <property fmtid="{D5CDD505-2E9C-101B-9397-08002B2CF9AE}" pid="4" name="ICV">
    <vt:lpwstr>8E9442437909435E9C2B92D12DCD5BF1_12</vt:lpwstr>
  </property>
</Properties>
</file>