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color w:val="auto"/>
          <w:sz w:val="36"/>
        </w:rPr>
      </w:pPr>
      <w:bookmarkStart w:id="0" w:name="OLE_LINK1"/>
      <w:bookmarkStart w:id="1" w:name="_Toc38367762"/>
      <w:r>
        <w:rPr>
          <w:rFonts w:hint="eastAsia" w:ascii="宋体" w:hAnsi="宋体"/>
          <w:color w:val="auto"/>
          <w:sz w:val="36"/>
        </w:rPr>
        <w:t>AI大模型GPU算力集群</w:t>
      </w:r>
      <w:bookmarkEnd w:id="0"/>
      <w:r>
        <w:rPr>
          <w:rFonts w:ascii="宋体" w:hAnsi="宋体"/>
          <w:color w:val="auto"/>
          <w:sz w:val="36"/>
        </w:rPr>
        <w:t>采购需求</w:t>
      </w:r>
      <w:bookmarkEnd w:id="1"/>
    </w:p>
    <w:p>
      <w:pPr>
        <w:tabs>
          <w:tab w:val="left" w:pos="900"/>
        </w:tabs>
        <w:spacing w:before="156" w:beforeLines="50" w:line="360" w:lineRule="auto"/>
        <w:rPr>
          <w:b/>
          <w:color w:val="auto"/>
          <w:szCs w:val="21"/>
        </w:rPr>
      </w:pPr>
      <w:bookmarkStart w:id="2" w:name="_Toc158978330"/>
      <w:bookmarkStart w:id="3" w:name="_Toc219271393"/>
      <w:bookmarkStart w:id="4" w:name="_Toc172360661"/>
      <w:r>
        <w:rPr>
          <w:rFonts w:hint="eastAsia" w:hAnsi="宋体"/>
          <w:b/>
          <w:color w:val="auto"/>
          <w:szCs w:val="21"/>
        </w:rPr>
        <w:t>一、</w:t>
      </w:r>
      <w:r>
        <w:rPr>
          <w:rFonts w:hAnsi="宋体"/>
          <w:b/>
          <w:color w:val="auto"/>
          <w:szCs w:val="21"/>
        </w:rPr>
        <w:t>采购</w:t>
      </w:r>
      <w:r>
        <w:rPr>
          <w:rFonts w:hint="eastAsia" w:hAnsi="宋体"/>
          <w:b/>
          <w:color w:val="auto"/>
          <w:szCs w:val="21"/>
        </w:rPr>
        <w:t>标的</w:t>
      </w:r>
      <w:r>
        <w:rPr>
          <w:rFonts w:hAnsi="宋体"/>
          <w:b/>
          <w:color w:val="auto"/>
          <w:szCs w:val="21"/>
        </w:rPr>
        <w:t>需实现的功能或者目标，以及为落实政府采购政策需满足的要求：</w:t>
      </w:r>
    </w:p>
    <w:p>
      <w:pPr>
        <w:tabs>
          <w:tab w:val="left" w:pos="900"/>
        </w:tabs>
        <w:spacing w:before="156" w:beforeLines="50" w:line="360" w:lineRule="auto"/>
        <w:rPr>
          <w:b/>
          <w:color w:val="auto"/>
          <w:szCs w:val="21"/>
        </w:rPr>
      </w:pPr>
      <w:r>
        <w:rPr>
          <w:rFonts w:hAnsi="宋体"/>
          <w:b/>
          <w:color w:val="auto"/>
          <w:szCs w:val="21"/>
        </w:rPr>
        <w:t>（一）采购</w:t>
      </w:r>
      <w:r>
        <w:rPr>
          <w:rFonts w:hint="eastAsia" w:hAnsi="宋体"/>
          <w:b/>
          <w:color w:val="auto"/>
          <w:szCs w:val="21"/>
        </w:rPr>
        <w:t>标的</w:t>
      </w:r>
      <w:r>
        <w:rPr>
          <w:rFonts w:hAnsi="宋体"/>
          <w:b/>
          <w:color w:val="auto"/>
          <w:szCs w:val="21"/>
        </w:rPr>
        <w:t>需实现的功能或者目标</w:t>
      </w:r>
    </w:p>
    <w:p>
      <w:pPr>
        <w:autoSpaceDE w:val="0"/>
        <w:autoSpaceDN w:val="0"/>
        <w:adjustRightInd w:val="0"/>
        <w:spacing w:before="50" w:line="360" w:lineRule="auto"/>
        <w:ind w:firstLine="420" w:firstLineChars="200"/>
        <w:rPr>
          <w:rFonts w:hAnsi="宋体"/>
          <w:color w:val="auto"/>
        </w:rPr>
      </w:pPr>
      <w:r>
        <w:rPr>
          <w:rFonts w:hint="eastAsia" w:hAnsi="宋体"/>
          <w:color w:val="auto"/>
        </w:rPr>
        <w:t>本项目采购AI大模型GPU算力集群1套，配置为GPU≥8块，单卡141GB HBM3e显存，支持第四代NVLink（900GB/s带宽），用于支撑大规模多模态模型训练与推理研究，满足智能感知、语言理解、大规模仿真等任务对高算力和高带宽的要求。要求实现大模型的高效并行训练、低延迟推理服务，具有高显存、高吞吐、高并行和良好的能耗控制能力，支持主流深度学习框架，满足科研环境下复杂任务的长期稳定运行需求。</w:t>
      </w:r>
    </w:p>
    <w:p>
      <w:pPr>
        <w:tabs>
          <w:tab w:val="left" w:pos="900"/>
        </w:tabs>
        <w:spacing w:before="156" w:beforeLines="50" w:line="360" w:lineRule="auto"/>
        <w:rPr>
          <w:b/>
          <w:color w:val="auto"/>
          <w:szCs w:val="21"/>
        </w:rPr>
      </w:pPr>
      <w:r>
        <w:rPr>
          <w:rFonts w:hAnsi="宋体"/>
          <w:b/>
          <w:color w:val="auto"/>
          <w:szCs w:val="21"/>
        </w:rPr>
        <w:t>（二）为落实政府采购政策需满足的要求</w:t>
      </w:r>
    </w:p>
    <w:p>
      <w:pPr>
        <w:tabs>
          <w:tab w:val="left" w:pos="900"/>
        </w:tabs>
        <w:spacing w:line="360" w:lineRule="auto"/>
        <w:ind w:left="420"/>
        <w:rPr>
          <w:rFonts w:hAnsi="宋体"/>
          <w:color w:val="auto"/>
          <w:szCs w:val="21"/>
        </w:rPr>
      </w:pPr>
      <w:r>
        <w:rPr>
          <w:rFonts w:hint="eastAsia" w:hAnsi="宋体"/>
          <w:color w:val="auto"/>
          <w:szCs w:val="24"/>
        </w:rPr>
        <w:t>1</w:t>
      </w:r>
      <w:r>
        <w:rPr>
          <w:rFonts w:hAnsi="宋体"/>
          <w:color w:val="auto"/>
          <w:szCs w:val="24"/>
        </w:rPr>
        <w:t>.根据</w:t>
      </w:r>
      <w:r>
        <w:rPr>
          <w:rFonts w:hAnsi="宋体"/>
          <w:color w:val="auto"/>
        </w:rPr>
        <w:t>《政府采购促进中小企业发展管理办法》</w:t>
      </w:r>
      <w:r>
        <w:rPr>
          <w:rFonts w:hint="eastAsia" w:hAnsi="宋体"/>
          <w:color w:val="auto"/>
        </w:rPr>
        <w:t>（财库【2</w:t>
      </w:r>
      <w:r>
        <w:rPr>
          <w:rFonts w:hAnsi="宋体"/>
          <w:color w:val="auto"/>
        </w:rPr>
        <w:t>020</w:t>
      </w:r>
      <w:r>
        <w:rPr>
          <w:rFonts w:hint="eastAsia" w:hAnsi="宋体"/>
          <w:color w:val="auto"/>
        </w:rPr>
        <w:t>】4</w:t>
      </w:r>
      <w:r>
        <w:rPr>
          <w:rFonts w:hAnsi="宋体"/>
          <w:color w:val="auto"/>
        </w:rPr>
        <w:t>6</w:t>
      </w:r>
      <w:r>
        <w:rPr>
          <w:rFonts w:hint="eastAsia" w:hAnsi="宋体"/>
          <w:color w:val="auto"/>
        </w:rPr>
        <w:t>号）</w:t>
      </w:r>
      <w:r>
        <w:rPr>
          <w:rFonts w:hAnsi="宋体"/>
          <w:color w:val="auto"/>
        </w:rPr>
        <w:t>规定，本项目</w:t>
      </w:r>
      <w:r>
        <w:rPr>
          <w:rFonts w:hint="eastAsia" w:hAnsi="宋体"/>
          <w:color w:val="auto"/>
        </w:rPr>
        <w:t>采购标的</w:t>
      </w:r>
      <w:r>
        <w:rPr>
          <w:rFonts w:hAnsi="宋体"/>
          <w:color w:val="auto"/>
        </w:rPr>
        <w:t>为</w:t>
      </w:r>
      <w:r>
        <w:rPr>
          <w:rFonts w:hint="eastAsia" w:hAnsi="宋体"/>
          <w:color w:val="auto"/>
        </w:rPr>
        <w:t>中小</w:t>
      </w:r>
      <w:r>
        <w:rPr>
          <w:rFonts w:hAnsi="宋体"/>
          <w:color w:val="auto"/>
        </w:rPr>
        <w:t>型企业</w:t>
      </w:r>
      <w:r>
        <w:rPr>
          <w:rFonts w:hint="eastAsia" w:hAnsi="宋体"/>
          <w:color w:val="auto"/>
        </w:rPr>
        <w:t>制造、承建或承接</w:t>
      </w:r>
      <w:r>
        <w:rPr>
          <w:rFonts w:hAnsi="宋体"/>
          <w:color w:val="auto"/>
          <w:szCs w:val="24"/>
        </w:rPr>
        <w:t>的，</w:t>
      </w:r>
      <w:r>
        <w:rPr>
          <w:rFonts w:hAnsi="宋体"/>
          <w:color w:val="auto"/>
        </w:rPr>
        <w:t>投标人应</w:t>
      </w:r>
      <w:r>
        <w:rPr>
          <w:rFonts w:hint="eastAsia" w:hAnsi="宋体"/>
          <w:color w:val="auto"/>
        </w:rPr>
        <w:t>提供办法规定的</w:t>
      </w:r>
      <w:r>
        <w:rPr>
          <w:rFonts w:hAnsi="宋体"/>
          <w:color w:val="auto"/>
          <w:szCs w:val="21"/>
        </w:rPr>
        <w:t>《中小企业声明函》</w:t>
      </w:r>
      <w:r>
        <w:rPr>
          <w:rFonts w:hint="eastAsia" w:hAnsi="宋体"/>
          <w:color w:val="auto"/>
          <w:szCs w:val="21"/>
        </w:rPr>
        <w:t>，否则不得享受相关中小企业扶持政策</w:t>
      </w:r>
      <w:r>
        <w:rPr>
          <w:rFonts w:hAnsi="宋体"/>
          <w:color w:val="auto"/>
          <w:szCs w:val="24"/>
        </w:rPr>
        <w:t>。投标人应对提交的中小企业声明函的真实性负责，提交的中小企业声明函不真实的，应承担相应的法律责任</w:t>
      </w:r>
      <w:r>
        <w:rPr>
          <w:rFonts w:hAnsi="宋体"/>
          <w:color w:val="auto"/>
          <w:szCs w:val="21"/>
        </w:rPr>
        <w:t>。</w:t>
      </w:r>
    </w:p>
    <w:p>
      <w:pPr>
        <w:tabs>
          <w:tab w:val="left" w:pos="900"/>
        </w:tabs>
        <w:spacing w:line="360" w:lineRule="auto"/>
        <w:ind w:left="420"/>
        <w:rPr>
          <w:rFonts w:hAnsi="宋体"/>
          <w:color w:val="auto"/>
          <w:szCs w:val="24"/>
        </w:rPr>
      </w:pPr>
      <w:r>
        <w:rPr>
          <w:rFonts w:hint="eastAsia" w:hAnsi="宋体"/>
          <w:color w:val="auto"/>
          <w:szCs w:val="24"/>
        </w:rPr>
        <w:t>本项目采购标的对应的《中小企业划型标准规定》所属行业为：</w:t>
      </w:r>
      <w:r>
        <w:rPr>
          <w:rFonts w:hint="eastAsia" w:hAnsi="宋体"/>
          <w:color w:val="auto"/>
          <w:szCs w:val="24"/>
          <w:u w:val="single"/>
        </w:rPr>
        <w:t>工业</w:t>
      </w:r>
      <w:r>
        <w:rPr>
          <w:rFonts w:hint="eastAsia" w:hAnsi="宋体"/>
          <w:color w:val="auto"/>
          <w:szCs w:val="24"/>
        </w:rPr>
        <w:t>。</w:t>
      </w:r>
    </w:p>
    <w:p>
      <w:pPr>
        <w:tabs>
          <w:tab w:val="left" w:pos="900"/>
        </w:tabs>
        <w:spacing w:line="360" w:lineRule="auto"/>
        <w:ind w:left="420"/>
        <w:rPr>
          <w:rFonts w:cs="宋体" w:asciiTheme="minorEastAsia" w:hAnsiTheme="minorEastAsia"/>
          <w:b/>
          <w:color w:val="auto"/>
          <w:kern w:val="0"/>
          <w:sz w:val="20"/>
          <w:szCs w:val="21"/>
        </w:rPr>
      </w:pPr>
      <w:r>
        <w:rPr>
          <w:rFonts w:hint="eastAsia" w:hAnsi="宋体"/>
          <w:color w:val="auto"/>
          <w:szCs w:val="24"/>
        </w:rPr>
        <w:t>2</w:t>
      </w:r>
      <w:r>
        <w:rPr>
          <w:rFonts w:hAnsi="宋体"/>
          <w:color w:val="auto"/>
          <w:szCs w:val="24"/>
        </w:rPr>
        <w:t>.</w:t>
      </w:r>
      <w:r>
        <w:rPr>
          <w:rFonts w:hint="eastAsia" w:cs="宋体" w:asciiTheme="minorEastAsia" w:hAnsiTheme="minorEastAsia"/>
          <w:color w:val="auto"/>
          <w:kern w:val="0"/>
          <w:sz w:val="20"/>
          <w:szCs w:val="21"/>
        </w:rPr>
        <w:t xml:space="preserve"> </w:t>
      </w:r>
      <w:r>
        <w:rPr>
          <w:rFonts w:hint="eastAsia" w:cs="宋体" w:asciiTheme="minorEastAsia" w:hAnsiTheme="minorEastAsia"/>
          <w:b/>
          <w:color w:val="auto"/>
          <w:kern w:val="0"/>
          <w:sz w:val="20"/>
          <w:szCs w:val="21"/>
        </w:rPr>
        <w:t>□ 本采购项目允许进口产品参加。</w:t>
      </w:r>
    </w:p>
    <w:p>
      <w:pPr>
        <w:tabs>
          <w:tab w:val="left" w:pos="900"/>
        </w:tabs>
        <w:spacing w:line="360" w:lineRule="auto"/>
        <w:ind w:left="420" w:firstLine="201" w:firstLineChars="100"/>
        <w:rPr>
          <w:rFonts w:cs="宋体" w:asciiTheme="minorEastAsia" w:hAnsiTheme="minorEastAsia"/>
          <w:b/>
          <w:color w:val="auto"/>
          <w:kern w:val="0"/>
          <w:sz w:val="20"/>
          <w:szCs w:val="21"/>
        </w:rPr>
      </w:pPr>
      <w:r>
        <w:rPr>
          <w:rFonts w:hint="eastAsia" w:cs="宋体" w:asciiTheme="minorEastAsia" w:hAnsiTheme="minorEastAsia"/>
          <w:b/>
          <w:color w:val="auto"/>
          <w:kern w:val="0"/>
          <w:sz w:val="20"/>
          <w:szCs w:val="21"/>
        </w:rPr>
        <w:t>（说明：请项目单位根据采购实际情况在“□”中打勾（</w:t>
      </w:r>
      <w:r>
        <w:rPr>
          <w:rFonts w:hint="eastAsia" w:cs="宋体" w:asciiTheme="minorEastAsia" w:hAnsiTheme="minorEastAsia"/>
          <w:b/>
          <w:color w:val="auto"/>
          <w:kern w:val="0"/>
          <w:sz w:val="24"/>
          <w:szCs w:val="24"/>
        </w:rPr>
        <w:sym w:font="Wingdings 2" w:char="F052"/>
      </w:r>
      <w:r>
        <w:rPr>
          <w:rFonts w:hint="eastAsia" w:cs="宋体" w:asciiTheme="minorEastAsia" w:hAnsiTheme="minorEastAsia"/>
          <w:b/>
          <w:color w:val="auto"/>
          <w:kern w:val="0"/>
          <w:sz w:val="24"/>
          <w:szCs w:val="24"/>
        </w:rPr>
        <w:t>）</w:t>
      </w:r>
      <w:r>
        <w:rPr>
          <w:rFonts w:hint="eastAsia" w:cs="宋体" w:asciiTheme="minorEastAsia" w:hAnsiTheme="minorEastAsia"/>
          <w:b/>
          <w:color w:val="auto"/>
          <w:kern w:val="0"/>
          <w:sz w:val="20"/>
          <w:szCs w:val="21"/>
        </w:rPr>
        <w:t>。未进行勾选的，视为只接受本国产品参加）</w:t>
      </w:r>
    </w:p>
    <w:p>
      <w:pPr>
        <w:tabs>
          <w:tab w:val="left" w:pos="900"/>
        </w:tabs>
        <w:spacing w:before="156" w:beforeLines="50" w:line="360" w:lineRule="auto"/>
        <w:rPr>
          <w:rFonts w:hAnsi="宋体"/>
          <w:b/>
          <w:color w:val="auto"/>
          <w:szCs w:val="21"/>
        </w:rPr>
      </w:pPr>
      <w:r>
        <w:rPr>
          <w:rFonts w:hint="eastAsia" w:hAnsi="宋体"/>
          <w:b/>
          <w:color w:val="auto"/>
          <w:szCs w:val="21"/>
        </w:rPr>
        <w:t>二、</w:t>
      </w:r>
      <w:r>
        <w:rPr>
          <w:rFonts w:hAnsi="宋体"/>
          <w:b/>
          <w:color w:val="auto"/>
          <w:szCs w:val="21"/>
        </w:rPr>
        <w:t>采购</w:t>
      </w:r>
      <w:r>
        <w:rPr>
          <w:rFonts w:hint="eastAsia" w:hAnsi="宋体"/>
          <w:b/>
          <w:color w:val="auto"/>
          <w:szCs w:val="21"/>
        </w:rPr>
        <w:t>标的</w:t>
      </w:r>
      <w:r>
        <w:rPr>
          <w:rFonts w:hAnsi="宋体"/>
          <w:b/>
          <w:color w:val="auto"/>
          <w:szCs w:val="21"/>
        </w:rPr>
        <w:t>需执行的国家相关标准、行业标准、地方标准或者其他标准、规范：</w:t>
      </w:r>
    </w:p>
    <w:p>
      <w:pPr>
        <w:tabs>
          <w:tab w:val="left" w:pos="900"/>
        </w:tabs>
        <w:spacing w:before="156" w:beforeLines="50" w:line="360" w:lineRule="auto"/>
        <w:ind w:firstLine="420" w:firstLineChars="200"/>
        <w:rPr>
          <w:color w:val="auto"/>
          <w:szCs w:val="21"/>
        </w:rPr>
      </w:pPr>
      <w:r>
        <w:rPr>
          <w:rFonts w:hint="eastAsia"/>
          <w:color w:val="auto"/>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tabs>
          <w:tab w:val="left" w:pos="900"/>
        </w:tabs>
        <w:spacing w:before="156" w:beforeLines="50" w:line="360" w:lineRule="auto"/>
        <w:rPr>
          <w:rFonts w:hAnsi="宋体"/>
          <w:b/>
          <w:color w:val="auto"/>
          <w:szCs w:val="21"/>
        </w:rPr>
      </w:pPr>
      <w:r>
        <w:rPr>
          <w:rFonts w:hint="eastAsia" w:hAnsi="宋体"/>
          <w:b/>
          <w:color w:val="auto"/>
          <w:szCs w:val="21"/>
        </w:rPr>
        <w:t>三、采购标的概况</w:t>
      </w:r>
    </w:p>
    <w:p>
      <w:pPr>
        <w:spacing w:before="156" w:beforeLines="50" w:line="360" w:lineRule="auto"/>
        <w:rPr>
          <w:rFonts w:hAnsi="宋体"/>
          <w:color w:val="auto"/>
          <w:szCs w:val="21"/>
        </w:rPr>
      </w:pPr>
      <w:r>
        <w:rPr>
          <w:rFonts w:hint="eastAsia" w:ascii="宋体" w:hAnsi="宋体"/>
          <w:color w:val="auto"/>
          <w:szCs w:val="21"/>
        </w:rPr>
        <w:t>（一）采购项目名称：</w:t>
      </w:r>
      <w:r>
        <w:rPr>
          <w:rFonts w:hint="eastAsia" w:ascii="宋体" w:hAnsi="宋体"/>
          <w:color w:val="auto"/>
          <w:szCs w:val="21"/>
          <w:u w:val="single"/>
        </w:rPr>
        <w:t xml:space="preserve"> AI大模型GPU算力集群</w:t>
      </w:r>
      <w:r>
        <w:rPr>
          <w:rFonts w:hAnsi="宋体"/>
          <w:color w:val="auto"/>
          <w:szCs w:val="21"/>
        </w:rPr>
        <w:t xml:space="preserve"> </w:t>
      </w:r>
    </w:p>
    <w:p>
      <w:pPr>
        <w:spacing w:before="156" w:beforeLines="50" w:line="360" w:lineRule="auto"/>
        <w:rPr>
          <w:rFonts w:hAnsi="宋体"/>
          <w:color w:val="auto"/>
          <w:szCs w:val="21"/>
          <w:u w:val="single"/>
        </w:rPr>
      </w:pPr>
      <w:r>
        <w:rPr>
          <w:rFonts w:hint="eastAsia" w:hAnsi="宋体"/>
          <w:color w:val="auto"/>
          <w:szCs w:val="21"/>
        </w:rPr>
        <w:t>（二）采购数量及计量单位：</w:t>
      </w:r>
      <w:r>
        <w:rPr>
          <w:rFonts w:hAnsi="宋体"/>
          <w:color w:val="auto"/>
          <w:szCs w:val="21"/>
          <w:u w:val="single"/>
        </w:rPr>
        <w:t xml:space="preserve">  </w:t>
      </w:r>
      <w:r>
        <w:rPr>
          <w:rFonts w:hint="eastAsia" w:hAnsi="宋体"/>
          <w:color w:val="auto"/>
          <w:szCs w:val="21"/>
          <w:u w:val="single"/>
        </w:rPr>
        <w:t>1台</w:t>
      </w:r>
      <w:r>
        <w:rPr>
          <w:rFonts w:hAnsi="宋体"/>
          <w:color w:val="auto"/>
          <w:szCs w:val="21"/>
          <w:u w:val="single"/>
        </w:rPr>
        <w:t xml:space="preserve">  </w:t>
      </w:r>
    </w:p>
    <w:p>
      <w:pPr>
        <w:spacing w:before="156" w:beforeLines="50" w:line="360" w:lineRule="auto"/>
        <w:rPr>
          <w:rFonts w:hAnsi="宋体"/>
          <w:color w:val="auto"/>
          <w:szCs w:val="21"/>
        </w:rPr>
      </w:pPr>
      <w:r>
        <w:rPr>
          <w:rFonts w:hint="eastAsia" w:hAnsi="宋体"/>
          <w:color w:val="auto"/>
          <w:szCs w:val="21"/>
        </w:rPr>
        <w:t>（三）最高限价：人民币</w:t>
      </w:r>
      <w:r>
        <w:rPr>
          <w:rFonts w:hint="eastAsia" w:hAnsi="宋体"/>
          <w:color w:val="auto"/>
          <w:szCs w:val="21"/>
          <w:u w:val="single"/>
        </w:rPr>
        <w:t xml:space="preserve"> 2,680,000</w:t>
      </w:r>
      <w:r>
        <w:rPr>
          <w:rFonts w:hAnsi="宋体"/>
          <w:color w:val="auto"/>
          <w:szCs w:val="21"/>
        </w:rPr>
        <w:t xml:space="preserve"> </w:t>
      </w:r>
      <w:r>
        <w:rPr>
          <w:rFonts w:hint="eastAsia" w:hAnsi="宋体"/>
          <w:color w:val="auto"/>
          <w:szCs w:val="21"/>
        </w:rPr>
        <w:t>元。</w:t>
      </w:r>
    </w:p>
    <w:p>
      <w:pPr>
        <w:spacing w:before="156" w:beforeLines="50" w:line="360" w:lineRule="auto"/>
        <w:rPr>
          <w:color w:val="auto"/>
          <w:szCs w:val="21"/>
        </w:rPr>
      </w:pPr>
      <w:r>
        <w:rPr>
          <w:rFonts w:hint="eastAsia" w:hAnsi="宋体"/>
          <w:color w:val="auto"/>
          <w:szCs w:val="21"/>
        </w:rPr>
        <w:t>（四）</w:t>
      </w:r>
      <w:r>
        <w:rPr>
          <w:rFonts w:hAnsi="宋体"/>
          <w:color w:val="auto"/>
          <w:szCs w:val="21"/>
        </w:rPr>
        <w:t>交付时间：</w:t>
      </w:r>
      <w:r>
        <w:rPr>
          <w:rFonts w:hAnsi="宋体"/>
          <w:color w:val="auto"/>
        </w:rPr>
        <w:t>合同签订后</w:t>
      </w:r>
      <w:r>
        <w:rPr>
          <w:rFonts w:hAnsi="宋体"/>
          <w:color w:val="auto"/>
          <w:u w:val="single"/>
        </w:rPr>
        <w:t xml:space="preserve">  </w:t>
      </w:r>
      <w:r>
        <w:rPr>
          <w:rFonts w:hint="eastAsia" w:hAnsi="宋体"/>
          <w:color w:val="auto"/>
          <w:u w:val="single"/>
        </w:rPr>
        <w:t>7</w:t>
      </w:r>
      <w:r>
        <w:rPr>
          <w:rFonts w:hAnsi="宋体"/>
          <w:color w:val="auto"/>
          <w:u w:val="single"/>
        </w:rPr>
        <w:t xml:space="preserve">  </w:t>
      </w:r>
      <w:r>
        <w:rPr>
          <w:rFonts w:hint="eastAsia" w:hAnsi="宋体"/>
          <w:color w:val="auto"/>
        </w:rPr>
        <w:t>天内。</w:t>
      </w:r>
    </w:p>
    <w:p>
      <w:pPr>
        <w:tabs>
          <w:tab w:val="left" w:pos="900"/>
        </w:tabs>
        <w:spacing w:before="156" w:beforeLines="50" w:line="360" w:lineRule="auto"/>
        <w:rPr>
          <w:rFonts w:hAnsi="宋体"/>
          <w:color w:val="auto"/>
          <w:szCs w:val="21"/>
        </w:rPr>
      </w:pPr>
      <w:r>
        <w:rPr>
          <w:rFonts w:hint="eastAsia" w:hAnsi="宋体"/>
          <w:color w:val="auto"/>
          <w:szCs w:val="21"/>
        </w:rPr>
        <w:t>（五）</w:t>
      </w:r>
      <w:r>
        <w:rPr>
          <w:rFonts w:hAnsi="宋体"/>
          <w:color w:val="auto"/>
          <w:szCs w:val="21"/>
        </w:rPr>
        <w:t>交付地点：</w:t>
      </w:r>
      <w:r>
        <w:rPr>
          <w:rFonts w:hint="eastAsia" w:hAnsi="宋体"/>
          <w:color w:val="auto"/>
          <w:szCs w:val="21"/>
          <w:u w:val="single"/>
        </w:rPr>
        <w:t xml:space="preserve"> 西安交通大学兴庆校区彭康楼</w:t>
      </w:r>
      <w:r>
        <w:rPr>
          <w:rFonts w:hAnsi="宋体"/>
          <w:color w:val="auto"/>
          <w:szCs w:val="21"/>
          <w:u w:val="single"/>
        </w:rPr>
        <w:t xml:space="preserve">   </w:t>
      </w:r>
      <w:r>
        <w:rPr>
          <w:rFonts w:hint="eastAsia" w:hAnsi="宋体"/>
          <w:color w:val="auto"/>
          <w:szCs w:val="21"/>
        </w:rPr>
        <w:t>。</w:t>
      </w:r>
    </w:p>
    <w:p>
      <w:pPr>
        <w:tabs>
          <w:tab w:val="left" w:pos="900"/>
        </w:tabs>
        <w:spacing w:before="156" w:beforeLines="50" w:line="360" w:lineRule="auto"/>
        <w:rPr>
          <w:rFonts w:hAnsi="宋体"/>
          <w:color w:val="auto"/>
          <w:szCs w:val="21"/>
        </w:rPr>
      </w:pPr>
      <w:r>
        <w:rPr>
          <w:rFonts w:hint="eastAsia" w:hAnsi="宋体"/>
          <w:color w:val="auto"/>
          <w:szCs w:val="21"/>
        </w:rPr>
        <w:t>（六）付款进度安排：</w:t>
      </w:r>
      <w:bookmarkStart w:id="5" w:name="OLE_LINK2"/>
      <w:r>
        <w:rPr>
          <w:rFonts w:hint="eastAsia" w:hAnsi="宋体"/>
          <w:color w:val="auto"/>
          <w:szCs w:val="21"/>
          <w:u w:val="single"/>
        </w:rPr>
        <w:t>验收合格后第一年支付合同总额的50%，</w:t>
      </w:r>
      <w:bookmarkEnd w:id="5"/>
      <w:r>
        <w:rPr>
          <w:rFonts w:hint="eastAsia" w:hAnsi="宋体"/>
          <w:color w:val="auto"/>
          <w:szCs w:val="21"/>
          <w:u w:val="single"/>
        </w:rPr>
        <w:t>验收合格后第二年支付合同总额的50%</w:t>
      </w:r>
      <w:r>
        <w:rPr>
          <w:rFonts w:hint="eastAsia" w:hAnsi="宋体"/>
          <w:color w:val="auto"/>
          <w:szCs w:val="21"/>
        </w:rPr>
        <w:t>。</w:t>
      </w:r>
    </w:p>
    <w:p>
      <w:pPr>
        <w:tabs>
          <w:tab w:val="left" w:pos="900"/>
        </w:tabs>
        <w:spacing w:before="156" w:beforeLines="50" w:line="360" w:lineRule="auto"/>
        <w:rPr>
          <w:rFonts w:hAnsi="宋体"/>
          <w:b/>
          <w:color w:val="auto"/>
          <w:szCs w:val="21"/>
        </w:rPr>
      </w:pPr>
      <w:r>
        <w:rPr>
          <w:rFonts w:hint="eastAsia" w:hAnsi="宋体"/>
          <w:b/>
          <w:color w:val="auto"/>
          <w:szCs w:val="21"/>
        </w:rPr>
        <w:t>四、采购标的需满足的质量、安全、技术规格、物理特性等要求：</w:t>
      </w:r>
    </w:p>
    <w:p>
      <w:pPr>
        <w:autoSpaceDE w:val="0"/>
        <w:autoSpaceDN w:val="0"/>
        <w:adjustRightInd w:val="0"/>
        <w:spacing w:before="50" w:line="360" w:lineRule="auto"/>
        <w:ind w:firstLine="420" w:firstLineChars="200"/>
        <w:rPr>
          <w:rFonts w:hAnsi="宋体"/>
          <w:color w:val="auto"/>
        </w:rPr>
      </w:pPr>
      <w:r>
        <w:rPr>
          <w:color w:val="auto"/>
          <w:szCs w:val="21"/>
        </w:rPr>
        <w:t>1.</w:t>
      </w:r>
      <w:r>
        <w:rPr>
          <w:rFonts w:hint="eastAsia"/>
          <w:color w:val="auto"/>
          <w:szCs w:val="21"/>
        </w:rPr>
        <w:t xml:space="preserve"> CPU</w:t>
      </w:r>
      <w:r>
        <w:rPr>
          <w:rFonts w:hint="eastAsia" w:hAnsi="宋体"/>
          <w:color w:val="auto"/>
        </w:rPr>
        <w:t>≥2*Intel Xeon Platinum 8558（48核/96线程，主频2.1-4.0GHz）；</w:t>
      </w:r>
    </w:p>
    <w:p>
      <w:pPr>
        <w:autoSpaceDE w:val="0"/>
        <w:autoSpaceDN w:val="0"/>
        <w:adjustRightInd w:val="0"/>
        <w:spacing w:before="50" w:line="360" w:lineRule="auto"/>
        <w:ind w:firstLine="420" w:firstLineChars="200"/>
        <w:rPr>
          <w:rFonts w:hAnsi="宋体"/>
          <w:color w:val="auto"/>
        </w:rPr>
      </w:pPr>
      <w:r>
        <w:rPr>
          <w:rFonts w:hint="eastAsia" w:hAnsi="宋体"/>
          <w:color w:val="auto"/>
        </w:rPr>
        <w:t>2. 内存≥32根64GB DDR5 RDIMM（5600MHz）；</w:t>
      </w:r>
    </w:p>
    <w:p>
      <w:pPr>
        <w:autoSpaceDE w:val="0"/>
        <w:autoSpaceDN w:val="0"/>
        <w:adjustRightInd w:val="0"/>
        <w:spacing w:before="50" w:line="360" w:lineRule="auto"/>
        <w:ind w:firstLine="420" w:firstLineChars="200"/>
        <w:rPr>
          <w:rFonts w:hAnsi="宋体"/>
          <w:color w:val="auto"/>
        </w:rPr>
      </w:pPr>
      <w:r>
        <w:rPr>
          <w:rFonts w:hint="eastAsia" w:hAnsi="宋体"/>
          <w:color w:val="auto"/>
        </w:rPr>
        <w:t>3. 系统盘≥1块960G U.2 NVMe PCIe4 SSD；</w:t>
      </w:r>
    </w:p>
    <w:p>
      <w:pPr>
        <w:autoSpaceDE w:val="0"/>
        <w:autoSpaceDN w:val="0"/>
        <w:adjustRightInd w:val="0"/>
        <w:spacing w:before="50" w:line="360" w:lineRule="auto"/>
        <w:ind w:firstLine="420" w:firstLineChars="200"/>
        <w:rPr>
          <w:rFonts w:hAnsi="宋体"/>
          <w:color w:val="auto"/>
        </w:rPr>
      </w:pPr>
      <w:r>
        <w:rPr>
          <w:rFonts w:hint="eastAsia" w:hAnsi="宋体"/>
          <w:color w:val="auto"/>
        </w:rPr>
        <w:t>4. 存储≥2块3.84TB U.2 NVMe PCIe4 SSD；</w:t>
      </w:r>
    </w:p>
    <w:p>
      <w:pPr>
        <w:autoSpaceDE w:val="0"/>
        <w:autoSpaceDN w:val="0"/>
        <w:adjustRightInd w:val="0"/>
        <w:spacing w:before="50" w:line="360" w:lineRule="auto"/>
        <w:ind w:firstLine="420" w:firstLineChars="200"/>
        <w:rPr>
          <w:rFonts w:hAnsi="宋体"/>
          <w:color w:val="auto"/>
        </w:rPr>
      </w:pPr>
      <w:r>
        <w:rPr>
          <w:rFonts w:hint="eastAsia" w:hAnsi="宋体"/>
          <w:color w:val="auto"/>
        </w:rPr>
        <w:t>5. GPU≥8块，单卡141GB HBM3e显存，显存带宽：4.8TB/s，支持FP8/FP16/TF32/INT8精度计算,FP16半精度1.98P（稀疏模式）,最高TDP 700W，互联技术：第四代NVLink（900GB/s带宽），支持多卡全互联拓扑；</w:t>
      </w:r>
    </w:p>
    <w:p>
      <w:pPr>
        <w:autoSpaceDE w:val="0"/>
        <w:autoSpaceDN w:val="0"/>
        <w:adjustRightInd w:val="0"/>
        <w:spacing w:before="50" w:line="360" w:lineRule="auto"/>
        <w:ind w:firstLine="420" w:firstLineChars="200"/>
        <w:rPr>
          <w:rFonts w:hAnsi="宋体"/>
          <w:color w:val="auto"/>
        </w:rPr>
      </w:pPr>
      <w:r>
        <w:rPr>
          <w:rFonts w:hint="eastAsia" w:hAnsi="宋体"/>
          <w:color w:val="auto"/>
        </w:rPr>
        <w:t>6. 可靠性：要求厂商和配件GPU计算卡生产商具备长期合作关系，提供相关证明;（1）生产厂家具备GPU计算卡生产商解决方案合作伙伴授权证书，（2）生产工厂通过ISO9001质量管理体系认证和3C强制性产品认证；（3）出厂提供ATA功能测试报告和ATA压力测试报告；</w:t>
      </w:r>
    </w:p>
    <w:p>
      <w:pPr>
        <w:autoSpaceDE w:val="0"/>
        <w:autoSpaceDN w:val="0"/>
        <w:adjustRightInd w:val="0"/>
        <w:spacing w:before="50" w:line="360" w:lineRule="auto"/>
        <w:ind w:firstLine="420" w:firstLineChars="200"/>
        <w:rPr>
          <w:rFonts w:hAnsi="宋体"/>
          <w:color w:val="auto"/>
        </w:rPr>
      </w:pPr>
      <w:r>
        <w:rPr>
          <w:rFonts w:hint="eastAsia" w:hAnsi="宋体"/>
          <w:color w:val="auto"/>
        </w:rPr>
        <w:t>7. 管理软件：</w:t>
      </w:r>
    </w:p>
    <w:p>
      <w:pPr>
        <w:autoSpaceDE w:val="0"/>
        <w:autoSpaceDN w:val="0"/>
        <w:adjustRightInd w:val="0"/>
        <w:spacing w:before="50" w:line="360" w:lineRule="auto"/>
        <w:ind w:firstLine="420" w:firstLineChars="200"/>
        <w:rPr>
          <w:rFonts w:hAnsi="宋体"/>
          <w:color w:val="auto"/>
        </w:rPr>
      </w:pPr>
      <w:r>
        <w:rPr>
          <w:rFonts w:hint="eastAsia" w:hAnsi="宋体"/>
          <w:color w:val="auto"/>
        </w:rPr>
        <w:t>7.1. 平台支持免费安装，持续免费升级与补丁发布，通过Web页面或命令行自动获取最新版本，无需额外授权。确保在Ubuntu操作系统（20.04或更高版本）上运行稳定；自主研发平台,提供国家颁发的软著，须和服务器同品牌，需要提供证明材料/截图</w:t>
      </w:r>
    </w:p>
    <w:p>
      <w:pPr>
        <w:autoSpaceDE w:val="0"/>
        <w:autoSpaceDN w:val="0"/>
        <w:adjustRightInd w:val="0"/>
        <w:spacing w:before="50" w:line="360" w:lineRule="auto"/>
        <w:ind w:firstLine="420" w:firstLineChars="200"/>
        <w:rPr>
          <w:rFonts w:hAnsi="宋体"/>
          <w:color w:val="auto"/>
        </w:rPr>
      </w:pPr>
      <w:r>
        <w:rPr>
          <w:rFonts w:hint="eastAsia" w:hAnsi="宋体"/>
          <w:color w:val="auto"/>
        </w:rPr>
        <w:t>7.2. 提供统一的中文web管理界面，支持web界面中英文切换, 同时提供命令行客户端连接集群进行操作，客户可通过pip等安装命令更新深度学习组件,系统所有功能均对外提供Restful API，方便用户进行二次开发；</w:t>
      </w:r>
    </w:p>
    <w:p>
      <w:pPr>
        <w:autoSpaceDE w:val="0"/>
        <w:autoSpaceDN w:val="0"/>
        <w:adjustRightInd w:val="0"/>
        <w:spacing w:before="50" w:line="360" w:lineRule="auto"/>
        <w:ind w:firstLine="420" w:firstLineChars="200"/>
        <w:rPr>
          <w:rFonts w:hAnsi="宋体"/>
          <w:color w:val="auto"/>
        </w:rPr>
      </w:pPr>
      <w:r>
        <w:rPr>
          <w:rFonts w:hint="eastAsia" w:hAnsi="宋体"/>
          <w:color w:val="auto"/>
        </w:rPr>
        <w:t>7.3.平台提供集群管理员、分区管理员、项目管理员、普通用户多级多角色管理；不同的角色具有不同的访问权限, 系统对不同的角色有不同的访问授权，只有特定角色的用户才能访问系统特定的功能另外系统提供安全审计员角色，安全审计员可以对系统操作记录进行审计，需要提供证明材料/截图</w:t>
      </w:r>
    </w:p>
    <w:p>
      <w:pPr>
        <w:autoSpaceDE w:val="0"/>
        <w:autoSpaceDN w:val="0"/>
        <w:adjustRightInd w:val="0"/>
        <w:spacing w:before="50" w:line="360" w:lineRule="auto"/>
        <w:ind w:firstLine="420" w:firstLineChars="200"/>
        <w:rPr>
          <w:rFonts w:hAnsi="宋体"/>
          <w:color w:val="auto"/>
        </w:rPr>
      </w:pPr>
      <w:r>
        <w:rPr>
          <w:rFonts w:hint="eastAsia" w:hAnsi="宋体"/>
          <w:color w:val="auto"/>
        </w:rPr>
        <w:t>7.4. 平台提供公共镜像、分区镜像、项目镜像、私有镜像多层级镜像管理,允许用户之间分享镜像,同时提供云端下载功能,如Nvidia NGC/Docker hub等,此外允许用户上传镜像包, 平台解压并加载镜像到平台镜像仓库,平台允许将运行中容器保存为镜像；</w:t>
      </w:r>
    </w:p>
    <w:p>
      <w:pPr>
        <w:autoSpaceDE w:val="0"/>
        <w:autoSpaceDN w:val="0"/>
        <w:adjustRightInd w:val="0"/>
        <w:spacing w:before="50" w:line="360" w:lineRule="auto"/>
        <w:ind w:firstLine="420" w:firstLineChars="200"/>
        <w:rPr>
          <w:rFonts w:hAnsi="宋体"/>
          <w:color w:val="auto"/>
        </w:rPr>
      </w:pPr>
      <w:r>
        <w:rPr>
          <w:rFonts w:hint="eastAsia" w:hAnsi="宋体"/>
          <w:color w:val="auto"/>
        </w:rPr>
        <w:t>7.5. 平台支持对资源进行横向扩展，无缝添加新的节点, 支持对平台资源进行逻辑分区，每个分区设置CPU、Mem和GPU使用配额，在分区、项目和个人配额中，可以针对不同GPU类型设置不用的GPU配额, 用户在Web GUI中查看节点资源配置，查看节点CPU、GPU、内存、网络、硬盘等使用情况和历史曲线；</w:t>
      </w:r>
    </w:p>
    <w:p>
      <w:pPr>
        <w:autoSpaceDE w:val="0"/>
        <w:autoSpaceDN w:val="0"/>
        <w:adjustRightInd w:val="0"/>
        <w:spacing w:before="50" w:line="360" w:lineRule="auto"/>
        <w:ind w:firstLine="420" w:firstLineChars="200"/>
        <w:rPr>
          <w:rFonts w:hAnsi="宋体"/>
          <w:color w:val="auto"/>
        </w:rPr>
      </w:pPr>
      <w:r>
        <w:rPr>
          <w:rFonts w:hint="eastAsia" w:hAnsi="宋体"/>
          <w:color w:val="auto"/>
        </w:rPr>
        <w:t>7.6. 为防止资源浪费,管理员可以开启交互式任务运行时长限制，当交互式任务运行时间超过限制，平台删除任务并释放资源,平台支持提供Jupyter lab和jupyter notebook的集成，支持AI相关数据集成到Jupyter中；支持ssh访问创建的开发环境，支持通过Pycharm、VScode等工具进行远程调试；</w:t>
      </w:r>
    </w:p>
    <w:p>
      <w:pPr>
        <w:autoSpaceDE w:val="0"/>
        <w:autoSpaceDN w:val="0"/>
        <w:adjustRightInd w:val="0"/>
        <w:spacing w:before="50" w:line="360" w:lineRule="auto"/>
        <w:ind w:firstLine="420" w:firstLineChars="200"/>
        <w:rPr>
          <w:rFonts w:hAnsi="宋体"/>
          <w:color w:val="auto"/>
        </w:rPr>
      </w:pPr>
      <w:r>
        <w:rPr>
          <w:rFonts w:hint="eastAsia" w:hAnsi="宋体"/>
          <w:color w:val="auto"/>
        </w:rPr>
        <w:t>7.7. 平台支持第三方存储, 例如gluster、lustre等, 分布式存储支持IB高速网络和RDMA，数据读写效率高,支持NFS数据支持本地数据缓存，提高IO性能,用户可以在Web GUI上进行数据上传、下载、删除、压缩、解压、复制、移动和内容浏览, 用户可以通过ftp进行数据的上传、下载等操作；</w:t>
      </w:r>
    </w:p>
    <w:p>
      <w:pPr>
        <w:autoSpaceDE w:val="0"/>
        <w:autoSpaceDN w:val="0"/>
        <w:adjustRightInd w:val="0"/>
        <w:spacing w:before="50" w:line="360" w:lineRule="auto"/>
        <w:ind w:firstLine="420" w:firstLineChars="200"/>
        <w:rPr>
          <w:color w:val="auto"/>
          <w:szCs w:val="21"/>
        </w:rPr>
      </w:pPr>
      <w:r>
        <w:rPr>
          <w:rFonts w:hint="eastAsia" w:hAnsi="宋体"/>
          <w:color w:val="auto"/>
        </w:rPr>
        <w:t>7.8. 支持GPU按照份数切分，单张GPU可按照1/2/4/8份数进行切分，实现GPU高利用率；需要提供证明材料/截</w:t>
      </w:r>
      <w:r>
        <w:rPr>
          <w:color w:val="auto"/>
        </w:rPr>
        <w:t>图</w:t>
      </w:r>
    </w:p>
    <w:p>
      <w:pPr>
        <w:tabs>
          <w:tab w:val="left" w:pos="900"/>
        </w:tabs>
        <w:spacing w:before="156" w:beforeLines="50" w:line="360" w:lineRule="auto"/>
        <w:rPr>
          <w:rFonts w:hAnsi="宋体"/>
          <w:b/>
          <w:color w:val="auto"/>
          <w:szCs w:val="21"/>
        </w:rPr>
      </w:pPr>
      <w:r>
        <w:rPr>
          <w:rFonts w:hint="eastAsia" w:hAnsi="宋体"/>
          <w:b/>
          <w:color w:val="auto"/>
          <w:szCs w:val="21"/>
        </w:rPr>
        <w:t>五、采购标的需满足的服务标准、期限、效率等要求</w:t>
      </w:r>
    </w:p>
    <w:p>
      <w:pPr>
        <w:numPr>
          <w:ilvl w:val="0"/>
          <w:numId w:val="1"/>
        </w:numPr>
        <w:tabs>
          <w:tab w:val="left" w:pos="900"/>
        </w:tabs>
        <w:spacing w:before="156" w:beforeLines="50" w:line="360" w:lineRule="auto"/>
        <w:rPr>
          <w:rFonts w:ascii="宋体" w:hAnsi="宋体"/>
          <w:color w:val="auto"/>
          <w:szCs w:val="21"/>
        </w:rPr>
      </w:pPr>
      <w:r>
        <w:rPr>
          <w:rFonts w:hint="eastAsia" w:ascii="宋体" w:hAnsi="宋体"/>
          <w:color w:val="auto"/>
          <w:szCs w:val="21"/>
        </w:rPr>
        <w:t>质保期： ≥ 3 年，质保期内免费维保≥2次/年，免人工服务费。质保期满后，仍需提供专业维修服务，投标人在投标文件中需注明维修服务单项报价。</w:t>
      </w:r>
    </w:p>
    <w:p>
      <w:pPr>
        <w:numPr>
          <w:ilvl w:val="0"/>
          <w:numId w:val="1"/>
        </w:numPr>
        <w:tabs>
          <w:tab w:val="left" w:pos="900"/>
        </w:tabs>
        <w:spacing w:before="156" w:beforeLines="50" w:line="360" w:lineRule="auto"/>
        <w:rPr>
          <w:rFonts w:ascii="宋体" w:hAnsi="宋体"/>
          <w:color w:val="auto"/>
          <w:szCs w:val="21"/>
        </w:rPr>
      </w:pPr>
      <w:r>
        <w:rPr>
          <w:rFonts w:hint="eastAsia" w:ascii="宋体" w:hAnsi="宋体"/>
          <w:color w:val="auto"/>
          <w:szCs w:val="21"/>
        </w:rPr>
        <w:t>服务响应时间：接到维修电话后4小时内给予明确答复，8小时内到达现场维修。维修人员到现场后若问题特殊无法现场修复的，供货方需在24小时内给出合理解决方案。</w:t>
      </w:r>
    </w:p>
    <w:p>
      <w:pPr>
        <w:numPr>
          <w:ilvl w:val="0"/>
          <w:numId w:val="1"/>
        </w:numPr>
        <w:tabs>
          <w:tab w:val="left" w:pos="900"/>
        </w:tabs>
        <w:spacing w:before="156" w:beforeLines="50" w:line="360" w:lineRule="auto"/>
        <w:rPr>
          <w:rFonts w:ascii="宋体" w:hAnsi="宋体"/>
          <w:b/>
          <w:color w:val="auto"/>
          <w:szCs w:val="21"/>
        </w:rPr>
      </w:pPr>
      <w:r>
        <w:rPr>
          <w:rFonts w:hint="eastAsia" w:ascii="宋体" w:hAnsi="宋体"/>
          <w:color w:val="auto"/>
          <w:szCs w:val="21"/>
        </w:rPr>
        <w:t>培训要求：提供培训电子资料及视频；供方免费为用户培训至少 1 名操作人员进行为期至少3天的现场操作培训以及应用培训，保证用户掌握有关设备的使用、维护、管理和应用等工作要求。不定期的免费提供相关设备应用方面的技术</w:t>
      </w:r>
      <w:r>
        <w:rPr>
          <w:rFonts w:ascii="宋体" w:hAnsi="宋体" w:cs="宋体"/>
          <w:color w:val="auto"/>
        </w:rPr>
        <w:t xml:space="preserve">咨询等。 </w:t>
      </w:r>
    </w:p>
    <w:p>
      <w:pPr>
        <w:numPr>
          <w:ilvl w:val="0"/>
          <w:numId w:val="1"/>
        </w:numPr>
        <w:tabs>
          <w:tab w:val="left" w:pos="900"/>
        </w:tabs>
        <w:spacing w:before="156" w:beforeLines="50" w:line="360" w:lineRule="auto"/>
        <w:rPr>
          <w:rFonts w:ascii="宋体" w:hAnsi="宋体"/>
          <w:b/>
          <w:color w:val="auto"/>
          <w:szCs w:val="21"/>
        </w:rPr>
      </w:pPr>
      <w:r>
        <w:rPr>
          <w:rFonts w:ascii="宋体" w:hAnsi="宋体" w:cs="宋体"/>
          <w:color w:val="auto"/>
        </w:rPr>
        <w:t>驻场：提供原厂工程师至少三年驻场服务。</w:t>
      </w:r>
    </w:p>
    <w:p>
      <w:pPr>
        <w:tabs>
          <w:tab w:val="left" w:pos="420"/>
          <w:tab w:val="left" w:pos="900"/>
        </w:tabs>
        <w:spacing w:before="156" w:beforeLines="50" w:line="360" w:lineRule="auto"/>
        <w:rPr>
          <w:rFonts w:ascii="宋体" w:hAnsi="宋体"/>
          <w:b/>
          <w:color w:val="auto"/>
          <w:szCs w:val="21"/>
        </w:rPr>
      </w:pPr>
      <w:r>
        <w:rPr>
          <w:rFonts w:hint="eastAsia" w:ascii="宋体" w:hAnsi="宋体"/>
          <w:b/>
          <w:color w:val="auto"/>
          <w:szCs w:val="21"/>
        </w:rPr>
        <w:t>六、</w:t>
      </w:r>
      <w:r>
        <w:rPr>
          <w:rFonts w:ascii="宋体" w:hAnsi="宋体"/>
          <w:b/>
          <w:color w:val="auto"/>
          <w:szCs w:val="21"/>
        </w:rPr>
        <w:t>采购标的的</w:t>
      </w:r>
      <w:r>
        <w:rPr>
          <w:rFonts w:hint="eastAsia" w:ascii="宋体" w:hAnsi="宋体"/>
          <w:b/>
          <w:color w:val="auto"/>
          <w:szCs w:val="21"/>
        </w:rPr>
        <w:t>履约验收标准</w:t>
      </w:r>
      <w:bookmarkEnd w:id="2"/>
      <w:bookmarkEnd w:id="3"/>
      <w:bookmarkEnd w:id="4"/>
    </w:p>
    <w:tbl>
      <w:tblPr>
        <w:tblStyle w:val="8"/>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pPr>
              <w:widowControl/>
              <w:jc w:val="center"/>
              <w:textAlignment w:val="baseline"/>
              <w:rPr>
                <w:color w:val="auto"/>
                <w:kern w:val="0"/>
                <w:sz w:val="20"/>
                <w:szCs w:val="21"/>
              </w:rPr>
            </w:pPr>
            <w:r>
              <w:rPr>
                <w:color w:val="auto"/>
                <w:kern w:val="0"/>
                <w:sz w:val="20"/>
                <w:szCs w:val="21"/>
              </w:rPr>
              <w:t>现场的检验指标及方法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pPr>
              <w:widowControl/>
              <w:jc w:val="center"/>
              <w:textAlignment w:val="baseline"/>
              <w:rPr>
                <w:color w:val="auto"/>
                <w:kern w:val="0"/>
                <w:sz w:val="20"/>
                <w:szCs w:val="21"/>
              </w:rPr>
            </w:pPr>
            <w:r>
              <w:rPr>
                <w:color w:val="auto"/>
                <w:kern w:val="0"/>
                <w:sz w:val="20"/>
                <w:szCs w:val="21"/>
              </w:rPr>
              <w:t>序号</w:t>
            </w:r>
          </w:p>
        </w:tc>
        <w:tc>
          <w:tcPr>
            <w:tcW w:w="3507" w:type="dxa"/>
            <w:vAlign w:val="center"/>
          </w:tcPr>
          <w:p>
            <w:pPr>
              <w:widowControl/>
              <w:jc w:val="center"/>
              <w:textAlignment w:val="baseline"/>
              <w:rPr>
                <w:color w:val="auto"/>
                <w:kern w:val="0"/>
                <w:sz w:val="20"/>
                <w:szCs w:val="21"/>
              </w:rPr>
            </w:pPr>
            <w:r>
              <w:rPr>
                <w:color w:val="auto"/>
                <w:kern w:val="0"/>
                <w:sz w:val="20"/>
                <w:szCs w:val="21"/>
              </w:rPr>
              <w:t>功能或指标</w:t>
            </w:r>
          </w:p>
        </w:tc>
        <w:tc>
          <w:tcPr>
            <w:tcW w:w="4368" w:type="dxa"/>
            <w:gridSpan w:val="2"/>
            <w:vAlign w:val="center"/>
          </w:tcPr>
          <w:p>
            <w:pPr>
              <w:widowControl/>
              <w:jc w:val="center"/>
              <w:textAlignment w:val="baseline"/>
              <w:rPr>
                <w:color w:val="auto"/>
                <w:kern w:val="0"/>
                <w:sz w:val="20"/>
                <w:szCs w:val="21"/>
              </w:rPr>
            </w:pPr>
            <w:r>
              <w:rPr>
                <w:color w:val="auto"/>
                <w:kern w:val="0"/>
                <w:sz w:val="20"/>
                <w:szCs w:val="21"/>
              </w:rPr>
              <w:t>验收或测试方法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jc w:val="left"/>
              <w:textAlignment w:val="baseline"/>
              <w:rPr>
                <w:rFonts w:ascii="黑体" w:hAnsi="黑体" w:eastAsia="黑体"/>
                <w:b/>
                <w:color w:val="auto"/>
                <w:kern w:val="0"/>
                <w:sz w:val="18"/>
                <w:szCs w:val="18"/>
              </w:rPr>
            </w:pPr>
            <w:r>
              <w:rPr>
                <w:rFonts w:hint="eastAsia" w:ascii="黑体" w:hAnsi="黑体" w:eastAsia="黑体"/>
                <w:b/>
                <w:color w:val="auto"/>
                <w:kern w:val="0"/>
                <w:sz w:val="18"/>
                <w:szCs w:val="18"/>
              </w:rPr>
              <w:t>项目建设单位验收要求：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color w:val="auto"/>
                <w:kern w:val="0"/>
                <w:sz w:val="20"/>
                <w:szCs w:val="21"/>
              </w:rPr>
              <w:t>1</w:t>
            </w:r>
          </w:p>
        </w:tc>
        <w:tc>
          <w:tcPr>
            <w:tcW w:w="3507" w:type="dxa"/>
            <w:vAlign w:val="center"/>
          </w:tcPr>
          <w:p>
            <w:pPr>
              <w:widowControl/>
              <w:textAlignment w:val="baseline"/>
              <w:rPr>
                <w:color w:val="auto"/>
                <w:kern w:val="0"/>
                <w:sz w:val="18"/>
                <w:szCs w:val="18"/>
              </w:rPr>
            </w:pPr>
            <w:r>
              <w:rPr>
                <w:rFonts w:hint="eastAsia"/>
                <w:color w:val="auto"/>
                <w:kern w:val="0"/>
                <w:sz w:val="18"/>
                <w:szCs w:val="18"/>
              </w:rPr>
              <w:t>货物外包装与外观无损伤</w:t>
            </w:r>
          </w:p>
        </w:tc>
        <w:tc>
          <w:tcPr>
            <w:tcW w:w="4368" w:type="dxa"/>
            <w:gridSpan w:val="2"/>
            <w:vAlign w:val="center"/>
          </w:tcPr>
          <w:p>
            <w:pPr>
              <w:widowControl/>
              <w:jc w:val="left"/>
              <w:textAlignment w:val="baseline"/>
              <w:rPr>
                <w:color w:val="auto"/>
                <w:kern w:val="0"/>
                <w:sz w:val="18"/>
                <w:szCs w:val="18"/>
              </w:rPr>
            </w:pPr>
            <w:r>
              <w:rPr>
                <w:color w:val="auto"/>
                <w:kern w:val="0"/>
                <w:sz w:val="18"/>
                <w:szCs w:val="18"/>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color w:val="auto"/>
                <w:kern w:val="0"/>
                <w:sz w:val="20"/>
                <w:szCs w:val="21"/>
              </w:rPr>
              <w:t>2</w:t>
            </w:r>
          </w:p>
        </w:tc>
        <w:tc>
          <w:tcPr>
            <w:tcW w:w="3507" w:type="dxa"/>
            <w:vAlign w:val="center"/>
          </w:tcPr>
          <w:p>
            <w:pPr>
              <w:widowControl/>
              <w:textAlignment w:val="baseline"/>
              <w:rPr>
                <w:color w:val="auto"/>
                <w:kern w:val="0"/>
                <w:sz w:val="18"/>
                <w:szCs w:val="18"/>
              </w:rPr>
            </w:pPr>
            <w:r>
              <w:rPr>
                <w:rFonts w:hint="eastAsia"/>
                <w:color w:val="auto"/>
                <w:kern w:val="0"/>
                <w:sz w:val="18"/>
                <w:szCs w:val="18"/>
              </w:rPr>
              <w:t>货物</w:t>
            </w:r>
            <w:r>
              <w:rPr>
                <w:color w:val="auto"/>
                <w:kern w:val="0"/>
                <w:sz w:val="18"/>
                <w:szCs w:val="18"/>
              </w:rPr>
              <w:t>配置、包括备品备件、耗</w:t>
            </w:r>
            <w:r>
              <w:rPr>
                <w:rFonts w:hint="eastAsia"/>
                <w:color w:val="auto"/>
                <w:kern w:val="0"/>
                <w:sz w:val="18"/>
                <w:szCs w:val="18"/>
              </w:rPr>
              <w:t>品耗</w:t>
            </w:r>
            <w:r>
              <w:rPr>
                <w:color w:val="auto"/>
                <w:kern w:val="0"/>
                <w:sz w:val="18"/>
                <w:szCs w:val="18"/>
              </w:rPr>
              <w:t>材等提供齐全，</w:t>
            </w:r>
            <w:r>
              <w:rPr>
                <w:rFonts w:hint="eastAsia"/>
                <w:color w:val="auto"/>
                <w:kern w:val="0"/>
                <w:sz w:val="18"/>
                <w:szCs w:val="18"/>
              </w:rPr>
              <w:t>货物实物品牌、规格、型号、配置数量与采购结果、合同约定相符。</w:t>
            </w:r>
          </w:p>
        </w:tc>
        <w:tc>
          <w:tcPr>
            <w:tcW w:w="4368" w:type="dxa"/>
            <w:gridSpan w:val="2"/>
            <w:vAlign w:val="center"/>
          </w:tcPr>
          <w:p>
            <w:pPr>
              <w:widowControl/>
              <w:textAlignment w:val="baseline"/>
              <w:rPr>
                <w:color w:val="auto"/>
                <w:kern w:val="0"/>
                <w:sz w:val="18"/>
                <w:szCs w:val="18"/>
              </w:rPr>
            </w:pPr>
            <w:r>
              <w:rPr>
                <w:rFonts w:hint="eastAsia"/>
                <w:color w:val="auto"/>
                <w:kern w:val="0"/>
                <w:sz w:val="18"/>
                <w:szCs w:val="18"/>
              </w:rPr>
              <w:t>依据《合同》及其附件（包括但不限于《采购需求》《供应商投标（响应）文件》《投标澄清函》《技术协议》等）约定，</w:t>
            </w:r>
            <w:r>
              <w:rPr>
                <w:color w:val="auto"/>
                <w:kern w:val="0"/>
                <w:sz w:val="18"/>
                <w:szCs w:val="18"/>
              </w:rPr>
              <w:t>现场核查</w:t>
            </w:r>
            <w:r>
              <w:rPr>
                <w:rFonts w:hint="eastAsia"/>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color w:val="auto"/>
                <w:kern w:val="0"/>
                <w:sz w:val="20"/>
                <w:szCs w:val="21"/>
              </w:rPr>
              <w:t>3</w:t>
            </w:r>
          </w:p>
        </w:tc>
        <w:tc>
          <w:tcPr>
            <w:tcW w:w="3507" w:type="dxa"/>
            <w:vAlign w:val="center"/>
          </w:tcPr>
          <w:p>
            <w:pPr>
              <w:widowControl/>
              <w:textAlignment w:val="baseline"/>
              <w:rPr>
                <w:color w:val="auto"/>
                <w:kern w:val="0"/>
                <w:sz w:val="18"/>
                <w:szCs w:val="18"/>
              </w:rPr>
            </w:pPr>
            <w:r>
              <w:rPr>
                <w:color w:val="auto"/>
                <w:kern w:val="0"/>
                <w:sz w:val="18"/>
                <w:szCs w:val="18"/>
              </w:rPr>
              <w:t>所有功能和指标参数</w:t>
            </w:r>
            <w:r>
              <w:rPr>
                <w:rFonts w:hint="eastAsia"/>
                <w:color w:val="auto"/>
                <w:kern w:val="0"/>
                <w:sz w:val="18"/>
                <w:szCs w:val="18"/>
              </w:rPr>
              <w:t>（</w:t>
            </w:r>
            <w:r>
              <w:rPr>
                <w:color w:val="auto"/>
                <w:kern w:val="0"/>
                <w:sz w:val="18"/>
                <w:szCs w:val="18"/>
              </w:rPr>
              <w:t>包括边界极限值</w:t>
            </w:r>
            <w:r>
              <w:rPr>
                <w:rFonts w:hint="eastAsia"/>
                <w:color w:val="auto"/>
                <w:kern w:val="0"/>
                <w:sz w:val="18"/>
                <w:szCs w:val="18"/>
              </w:rPr>
              <w:t>）</w:t>
            </w:r>
            <w:r>
              <w:rPr>
                <w:color w:val="auto"/>
                <w:kern w:val="0"/>
                <w:sz w:val="18"/>
                <w:szCs w:val="18"/>
              </w:rPr>
              <w:t>达到采购</w:t>
            </w:r>
            <w:r>
              <w:rPr>
                <w:rFonts w:hint="eastAsia"/>
                <w:color w:val="auto"/>
                <w:kern w:val="0"/>
                <w:sz w:val="18"/>
                <w:szCs w:val="18"/>
              </w:rPr>
              <w:t>结果合同约定</w:t>
            </w:r>
            <w:r>
              <w:rPr>
                <w:color w:val="auto"/>
                <w:kern w:val="0"/>
                <w:sz w:val="18"/>
                <w:szCs w:val="18"/>
              </w:rPr>
              <w:t>要求</w:t>
            </w:r>
            <w:r>
              <w:rPr>
                <w:rFonts w:hint="eastAsia"/>
                <w:color w:val="auto"/>
                <w:kern w:val="0"/>
                <w:sz w:val="18"/>
                <w:szCs w:val="18"/>
              </w:rPr>
              <w:t>。</w:t>
            </w:r>
          </w:p>
        </w:tc>
        <w:tc>
          <w:tcPr>
            <w:tcW w:w="4368" w:type="dxa"/>
            <w:gridSpan w:val="2"/>
            <w:vAlign w:val="center"/>
          </w:tcPr>
          <w:p>
            <w:pPr>
              <w:rPr>
                <w:rFonts w:hAnsi="宋体"/>
                <w:color w:val="auto"/>
                <w:kern w:val="0"/>
                <w:sz w:val="20"/>
                <w:szCs w:val="21"/>
              </w:rPr>
            </w:pPr>
            <w:r>
              <w:rPr>
                <w:rFonts w:hint="eastAsia"/>
                <w:color w:val="auto"/>
                <w:kern w:val="0"/>
                <w:sz w:val="18"/>
                <w:szCs w:val="18"/>
              </w:rPr>
              <w:t>依据《合同》及其附件（包括但不限于《采购需求》《供应商投标（响应）文件》《投标澄清函》《技术协议》等）约定，</w:t>
            </w:r>
            <w:r>
              <w:rPr>
                <w:color w:val="auto"/>
                <w:kern w:val="0"/>
                <w:sz w:val="18"/>
                <w:szCs w:val="18"/>
              </w:rPr>
              <w:t>现场测试</w:t>
            </w:r>
            <w:r>
              <w:rPr>
                <w:rFonts w:hint="eastAsia"/>
                <w:color w:val="auto"/>
                <w:kern w:val="0"/>
                <w:sz w:val="18"/>
                <w:szCs w:val="18"/>
              </w:rPr>
              <w:t>，供应商应</w:t>
            </w:r>
            <w:r>
              <w:rPr>
                <w:color w:val="auto"/>
                <w:kern w:val="0"/>
                <w:sz w:val="18"/>
                <w:szCs w:val="18"/>
              </w:rPr>
              <w:t>提供</w:t>
            </w:r>
            <w:r>
              <w:rPr>
                <w:rFonts w:hint="eastAsia"/>
                <w:color w:val="auto"/>
                <w:kern w:val="0"/>
                <w:sz w:val="18"/>
                <w:szCs w:val="18"/>
              </w:rPr>
              <w:t>《产品出厂检测报告》《产品合格证书》和根据合同约定提供《第三方检测报告》。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color w:val="auto"/>
                <w:kern w:val="0"/>
                <w:sz w:val="20"/>
                <w:szCs w:val="21"/>
              </w:rPr>
              <w:t>4</w:t>
            </w:r>
          </w:p>
        </w:tc>
        <w:tc>
          <w:tcPr>
            <w:tcW w:w="3507" w:type="dxa"/>
            <w:vAlign w:val="center"/>
          </w:tcPr>
          <w:p>
            <w:pPr>
              <w:widowControl/>
              <w:textAlignment w:val="baseline"/>
              <w:rPr>
                <w:color w:val="auto"/>
                <w:kern w:val="0"/>
                <w:sz w:val="18"/>
                <w:szCs w:val="18"/>
              </w:rPr>
            </w:pPr>
            <w:r>
              <w:rPr>
                <w:color w:val="auto"/>
                <w:kern w:val="0"/>
                <w:sz w:val="18"/>
                <w:szCs w:val="18"/>
              </w:rPr>
              <w:t>提供</w:t>
            </w:r>
            <w:r>
              <w:rPr>
                <w:rFonts w:hint="eastAsia"/>
                <w:color w:val="auto"/>
                <w:kern w:val="0"/>
                <w:sz w:val="18"/>
                <w:szCs w:val="18"/>
              </w:rPr>
              <w:t>《培训视频》影像资料</w:t>
            </w:r>
          </w:p>
        </w:tc>
        <w:tc>
          <w:tcPr>
            <w:tcW w:w="4368" w:type="dxa"/>
            <w:gridSpan w:val="2"/>
            <w:vAlign w:val="center"/>
          </w:tcPr>
          <w:p>
            <w:pPr>
              <w:widowControl/>
              <w:textAlignment w:val="baseline"/>
              <w:rPr>
                <w:color w:val="auto"/>
                <w:kern w:val="0"/>
                <w:sz w:val="18"/>
                <w:szCs w:val="18"/>
              </w:rPr>
            </w:pPr>
            <w:r>
              <w:rPr>
                <w:color w:val="auto"/>
                <w:kern w:val="0"/>
                <w:sz w:val="18"/>
                <w:szCs w:val="18"/>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5</w:t>
            </w:r>
          </w:p>
        </w:tc>
        <w:tc>
          <w:tcPr>
            <w:tcW w:w="3507" w:type="dxa"/>
            <w:vAlign w:val="center"/>
          </w:tcPr>
          <w:p>
            <w:pPr>
              <w:widowControl/>
              <w:textAlignment w:val="baseline"/>
              <w:rPr>
                <w:color w:val="auto"/>
                <w:kern w:val="0"/>
                <w:sz w:val="18"/>
                <w:szCs w:val="18"/>
              </w:rPr>
            </w:pPr>
            <w:r>
              <w:rPr>
                <w:color w:val="auto"/>
                <w:kern w:val="0"/>
                <w:sz w:val="18"/>
                <w:szCs w:val="18"/>
              </w:rPr>
              <w:t>验证</w:t>
            </w:r>
            <w:r>
              <w:rPr>
                <w:rFonts w:hint="eastAsia"/>
                <w:color w:val="auto"/>
                <w:kern w:val="0"/>
                <w:sz w:val="18"/>
                <w:szCs w:val="18"/>
              </w:rPr>
              <w:t>测试设备的运行稳定性</w:t>
            </w:r>
          </w:p>
        </w:tc>
        <w:tc>
          <w:tcPr>
            <w:tcW w:w="4368" w:type="dxa"/>
            <w:gridSpan w:val="2"/>
            <w:vAlign w:val="center"/>
          </w:tcPr>
          <w:p>
            <w:pPr>
              <w:widowControl/>
              <w:textAlignment w:val="baseline"/>
              <w:rPr>
                <w:color w:val="auto"/>
                <w:kern w:val="0"/>
                <w:sz w:val="18"/>
                <w:szCs w:val="18"/>
              </w:rPr>
            </w:pPr>
            <w:r>
              <w:rPr>
                <w:rFonts w:hint="eastAsia"/>
                <w:color w:val="auto"/>
                <w:kern w:val="0"/>
                <w:sz w:val="18"/>
                <w:szCs w:val="18"/>
              </w:rPr>
              <w:t>试运行</w:t>
            </w:r>
            <w:r>
              <w:rPr>
                <w:color w:val="auto"/>
                <w:kern w:val="0"/>
                <w:sz w:val="18"/>
                <w:szCs w:val="18"/>
              </w:rPr>
              <w:t>验证</w:t>
            </w:r>
            <w:r>
              <w:rPr>
                <w:rFonts w:hint="eastAsia"/>
                <w:color w:val="auto"/>
                <w:kern w:val="0"/>
                <w:sz w:val="18"/>
                <w:szCs w:val="18"/>
              </w:rPr>
              <w:t>测试设备运行稳定达标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6</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jc w:val="left"/>
              <w:textAlignment w:val="baseline"/>
              <w:rPr>
                <w:color w:val="auto"/>
                <w:kern w:val="0"/>
                <w:sz w:val="18"/>
                <w:szCs w:val="18"/>
              </w:rPr>
            </w:pPr>
            <w:r>
              <w:rPr>
                <w:rFonts w:hint="eastAsia" w:ascii="黑体" w:hAnsi="黑体" w:eastAsia="黑体"/>
                <w:b/>
                <w:color w:val="auto"/>
                <w:kern w:val="0"/>
                <w:sz w:val="18"/>
                <w:szCs w:val="18"/>
              </w:rPr>
              <w:t>学校验收复核要求：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1</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项目建设单位填写《学校采购货物类项目验收复核申请表》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2</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提供《供应商货物类项目完工报告》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3</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提供《项目建设单位货物类项目完工自验收报告》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spacing w:line="450" w:lineRule="atLeast"/>
              <w:jc w:val="center"/>
              <w:textAlignment w:val="baseline"/>
              <w:rPr>
                <w:color w:val="auto"/>
                <w:kern w:val="0"/>
                <w:sz w:val="20"/>
                <w:szCs w:val="21"/>
              </w:rPr>
            </w:pPr>
            <w:r>
              <w:rPr>
                <w:rFonts w:hint="eastAsia"/>
                <w:color w:val="auto"/>
                <w:kern w:val="0"/>
                <w:sz w:val="20"/>
                <w:szCs w:val="21"/>
              </w:rPr>
              <w:t>4</w:t>
            </w:r>
          </w:p>
        </w:tc>
        <w:tc>
          <w:tcPr>
            <w:tcW w:w="7875" w:type="dxa"/>
            <w:gridSpan w:val="3"/>
            <w:vAlign w:val="center"/>
          </w:tcPr>
          <w:p>
            <w:pPr>
              <w:widowControl/>
              <w:textAlignment w:val="baseline"/>
              <w:rPr>
                <w:color w:val="auto"/>
                <w:kern w:val="0"/>
                <w:sz w:val="18"/>
                <w:szCs w:val="18"/>
              </w:rPr>
            </w:pPr>
            <w:r>
              <w:rPr>
                <w:rFonts w:hint="eastAsia"/>
                <w:color w:val="auto"/>
                <w:kern w:val="0"/>
                <w:sz w:val="18"/>
                <w:szCs w:val="18"/>
              </w:rPr>
              <w:t>学校组织验收专家组现场复核供应商与项目建设单位货物到货完工验收完成情况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pPr>
              <w:widowControl/>
              <w:textAlignment w:val="baseline"/>
              <w:rPr>
                <w:color w:val="auto"/>
                <w:kern w:val="0"/>
                <w:sz w:val="20"/>
                <w:szCs w:val="21"/>
              </w:rPr>
            </w:pPr>
            <w:r>
              <w:rPr>
                <w:color w:val="auto"/>
                <w:kern w:val="0"/>
                <w:sz w:val="20"/>
                <w:szCs w:val="21"/>
              </w:rPr>
              <w:t>验收时是否需要供应商提供样品</w:t>
            </w:r>
          </w:p>
        </w:tc>
        <w:tc>
          <w:tcPr>
            <w:tcW w:w="2254" w:type="dxa"/>
            <w:vAlign w:val="center"/>
          </w:tcPr>
          <w:p>
            <w:pPr>
              <w:widowControl/>
              <w:textAlignment w:val="baseline"/>
              <w:rPr>
                <w:color w:val="auto"/>
                <w:kern w:val="0"/>
                <w:sz w:val="20"/>
                <w:szCs w:val="21"/>
              </w:rPr>
            </w:pPr>
            <w:r>
              <w:rPr>
                <w:color w:val="auto"/>
                <w:kern w:val="0"/>
                <w:sz w:val="20"/>
                <w:szCs w:val="21"/>
              </w:rPr>
              <w:t>是</w:t>
            </w:r>
            <w:r>
              <w:rPr>
                <w:rFonts w:hint="eastAsia" w:cs="宋体" w:asciiTheme="minorEastAsia" w:hAnsiTheme="minorEastAsia"/>
                <w:color w:val="auto"/>
                <w:kern w:val="0"/>
                <w:sz w:val="20"/>
                <w:szCs w:val="21"/>
              </w:rPr>
              <w:t>□</w:t>
            </w:r>
          </w:p>
        </w:tc>
        <w:tc>
          <w:tcPr>
            <w:tcW w:w="2114" w:type="dxa"/>
            <w:vAlign w:val="center"/>
          </w:tcPr>
          <w:p>
            <w:pPr>
              <w:widowControl/>
              <w:textAlignment w:val="baseline"/>
              <w:rPr>
                <w:color w:val="auto"/>
                <w:kern w:val="0"/>
                <w:sz w:val="20"/>
                <w:szCs w:val="21"/>
              </w:rPr>
            </w:pPr>
            <w:r>
              <w:rPr>
                <w:color w:val="auto"/>
                <w:kern w:val="0"/>
                <w:sz w:val="20"/>
                <w:szCs w:val="21"/>
              </w:rPr>
              <w:t>否</w:t>
            </w:r>
            <w:r>
              <w:rPr>
                <w:rFonts w:hint="eastAsia" w:cs="宋体" w:asciiTheme="minorEastAsia" w:hAnsiTheme="minorEastAsia"/>
                <w:color w:val="auto"/>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pPr>
              <w:widowControl/>
              <w:textAlignment w:val="baseline"/>
              <w:rPr>
                <w:color w:val="auto"/>
                <w:kern w:val="0"/>
                <w:sz w:val="20"/>
                <w:szCs w:val="21"/>
              </w:rPr>
            </w:pPr>
            <w:r>
              <w:rPr>
                <w:color w:val="auto"/>
                <w:kern w:val="0"/>
                <w:sz w:val="20"/>
                <w:szCs w:val="21"/>
              </w:rPr>
              <w:t>验收时是否需供应商提供必要的其他设备</w:t>
            </w:r>
          </w:p>
        </w:tc>
        <w:tc>
          <w:tcPr>
            <w:tcW w:w="2254" w:type="dxa"/>
            <w:vAlign w:val="center"/>
          </w:tcPr>
          <w:p>
            <w:pPr>
              <w:widowControl/>
              <w:textAlignment w:val="baseline"/>
              <w:rPr>
                <w:color w:val="auto"/>
                <w:kern w:val="0"/>
                <w:sz w:val="20"/>
                <w:szCs w:val="21"/>
              </w:rPr>
            </w:pPr>
            <w:r>
              <w:rPr>
                <w:color w:val="auto"/>
                <w:kern w:val="0"/>
                <w:sz w:val="20"/>
                <w:szCs w:val="21"/>
              </w:rPr>
              <w:t>是</w:t>
            </w:r>
            <w:r>
              <w:rPr>
                <w:rFonts w:hint="eastAsia" w:cs="宋体" w:asciiTheme="minorEastAsia" w:hAnsiTheme="minorEastAsia"/>
                <w:color w:val="auto"/>
                <w:kern w:val="0"/>
                <w:sz w:val="20"/>
                <w:szCs w:val="21"/>
              </w:rPr>
              <w:t>□</w:t>
            </w:r>
          </w:p>
        </w:tc>
        <w:tc>
          <w:tcPr>
            <w:tcW w:w="2114" w:type="dxa"/>
            <w:vAlign w:val="center"/>
          </w:tcPr>
          <w:p>
            <w:pPr>
              <w:widowControl/>
              <w:textAlignment w:val="baseline"/>
              <w:rPr>
                <w:color w:val="auto"/>
                <w:kern w:val="0"/>
                <w:sz w:val="20"/>
                <w:szCs w:val="21"/>
              </w:rPr>
            </w:pPr>
            <w:r>
              <w:rPr>
                <w:color w:val="auto"/>
                <w:kern w:val="0"/>
                <w:sz w:val="20"/>
                <w:szCs w:val="21"/>
              </w:rPr>
              <w:t>否</w:t>
            </w:r>
            <w:r>
              <w:rPr>
                <w:rFonts w:hint="eastAsia" w:cs="宋体" w:asciiTheme="minorEastAsia" w:hAnsiTheme="minorEastAsia"/>
                <w:color w:val="auto"/>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pPr>
              <w:widowControl/>
              <w:textAlignment w:val="baseline"/>
              <w:rPr>
                <w:color w:val="auto"/>
                <w:kern w:val="0"/>
                <w:sz w:val="20"/>
                <w:szCs w:val="21"/>
              </w:rPr>
            </w:pPr>
            <w:r>
              <w:rPr>
                <w:color w:val="auto"/>
                <w:kern w:val="0"/>
                <w:sz w:val="20"/>
                <w:szCs w:val="21"/>
              </w:rPr>
              <w:t>除现场验收外，需提供的其他验收要求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pPr>
              <w:widowControl/>
              <w:spacing w:line="450" w:lineRule="atLeast"/>
              <w:textAlignment w:val="baseline"/>
              <w:rPr>
                <w:color w:val="auto"/>
                <w:kern w:val="0"/>
                <w:sz w:val="20"/>
                <w:szCs w:val="21"/>
              </w:rPr>
            </w:pPr>
            <w:r>
              <w:rPr>
                <w:color w:val="auto"/>
                <w:kern w:val="0"/>
                <w:sz w:val="20"/>
                <w:szCs w:val="21"/>
              </w:rPr>
              <w:t>除现场验收外，是</w:t>
            </w:r>
            <w:r>
              <w:rPr>
                <w:rFonts w:hint="eastAsia" w:cs="宋体" w:asciiTheme="minorEastAsia" w:hAnsiTheme="minorEastAsia"/>
                <w:color w:val="auto"/>
                <w:kern w:val="0"/>
                <w:sz w:val="20"/>
                <w:szCs w:val="21"/>
              </w:rPr>
              <w:t>□</w:t>
            </w:r>
            <w:r>
              <w:rPr>
                <w:color w:val="auto"/>
                <w:kern w:val="0"/>
                <w:sz w:val="20"/>
                <w:szCs w:val="21"/>
              </w:rPr>
              <w:t>否</w:t>
            </w:r>
            <w:r>
              <w:rPr>
                <w:rFonts w:hint="eastAsia" w:cs="宋体" w:asciiTheme="minorEastAsia" w:hAnsiTheme="minorEastAsia"/>
                <w:color w:val="auto"/>
                <w:kern w:val="0"/>
                <w:sz w:val="20"/>
                <w:szCs w:val="21"/>
              </w:rPr>
              <w:t>☑</w:t>
            </w:r>
            <w:r>
              <w:rPr>
                <w:color w:val="auto"/>
                <w:kern w:val="0"/>
                <w:sz w:val="20"/>
                <w:szCs w:val="21"/>
              </w:rPr>
              <w:t>需提供第三方检测报告</w:t>
            </w:r>
          </w:p>
          <w:p>
            <w:pPr>
              <w:widowControl/>
              <w:spacing w:line="450" w:lineRule="atLeast"/>
              <w:textAlignment w:val="baseline"/>
              <w:rPr>
                <w:color w:val="auto"/>
                <w:kern w:val="0"/>
                <w:sz w:val="20"/>
                <w:szCs w:val="21"/>
              </w:rPr>
            </w:pPr>
          </w:p>
        </w:tc>
        <w:tc>
          <w:tcPr>
            <w:tcW w:w="4368" w:type="dxa"/>
            <w:gridSpan w:val="2"/>
            <w:vAlign w:val="center"/>
          </w:tcPr>
          <w:p>
            <w:pPr>
              <w:widowControl/>
              <w:spacing w:line="450" w:lineRule="atLeast"/>
              <w:textAlignment w:val="baseline"/>
              <w:rPr>
                <w:color w:val="auto"/>
                <w:kern w:val="0"/>
                <w:sz w:val="20"/>
                <w:szCs w:val="21"/>
              </w:rPr>
            </w:pPr>
            <w:r>
              <w:rPr>
                <w:color w:val="auto"/>
                <w:kern w:val="0"/>
                <w:sz w:val="20"/>
                <w:szCs w:val="21"/>
              </w:rPr>
              <w:t>对于检测机构的要求：国家正规检测机构，出具的检测报告由验收复核专家认可之后作为验收复核通过的主要依据。</w:t>
            </w:r>
          </w:p>
          <w:p>
            <w:pPr>
              <w:widowControl/>
              <w:spacing w:line="450" w:lineRule="atLeast"/>
              <w:textAlignment w:val="baseline"/>
              <w:rPr>
                <w:color w:val="auto"/>
                <w:kern w:val="0"/>
                <w:sz w:val="20"/>
                <w:szCs w:val="21"/>
              </w:rPr>
            </w:pPr>
            <w:r>
              <w:rPr>
                <w:color w:val="auto"/>
                <w:kern w:val="0"/>
                <w:sz w:val="20"/>
                <w:szCs w:val="21"/>
              </w:rPr>
              <w:t>对于检测执行标准的要求：各项检测项目标准以检测机构按照行业相关要求最新适用并执行的标准为准。</w:t>
            </w:r>
          </w:p>
        </w:tc>
      </w:tr>
    </w:tbl>
    <w:p>
      <w:pPr>
        <w:rPr>
          <w:color w:val="auto"/>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rPr>
        <w:rFonts w:hint="default"/>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5029C"/>
    <w:rsid w:val="00090056"/>
    <w:rsid w:val="000A209A"/>
    <w:rsid w:val="000B1862"/>
    <w:rsid w:val="000C588B"/>
    <w:rsid w:val="00105428"/>
    <w:rsid w:val="001268A1"/>
    <w:rsid w:val="0012727F"/>
    <w:rsid w:val="00140AF0"/>
    <w:rsid w:val="001507CE"/>
    <w:rsid w:val="00157667"/>
    <w:rsid w:val="001609FC"/>
    <w:rsid w:val="00162A76"/>
    <w:rsid w:val="00176534"/>
    <w:rsid w:val="0018461B"/>
    <w:rsid w:val="00192B6A"/>
    <w:rsid w:val="001B03C0"/>
    <w:rsid w:val="001B712C"/>
    <w:rsid w:val="001C0880"/>
    <w:rsid w:val="001C41C3"/>
    <w:rsid w:val="001C7C84"/>
    <w:rsid w:val="001F44B1"/>
    <w:rsid w:val="002204EA"/>
    <w:rsid w:val="00237253"/>
    <w:rsid w:val="002815C8"/>
    <w:rsid w:val="00291ACF"/>
    <w:rsid w:val="002A4902"/>
    <w:rsid w:val="002A6571"/>
    <w:rsid w:val="002B3A1B"/>
    <w:rsid w:val="002D68DE"/>
    <w:rsid w:val="003027D7"/>
    <w:rsid w:val="00310E17"/>
    <w:rsid w:val="003113D4"/>
    <w:rsid w:val="003458D7"/>
    <w:rsid w:val="00345D8D"/>
    <w:rsid w:val="00353EC3"/>
    <w:rsid w:val="0036352F"/>
    <w:rsid w:val="003649AF"/>
    <w:rsid w:val="003A0BCD"/>
    <w:rsid w:val="003B1B61"/>
    <w:rsid w:val="003D06DB"/>
    <w:rsid w:val="003E4113"/>
    <w:rsid w:val="003E4FDA"/>
    <w:rsid w:val="00402BD2"/>
    <w:rsid w:val="00426CB3"/>
    <w:rsid w:val="00453832"/>
    <w:rsid w:val="00456B32"/>
    <w:rsid w:val="004917D4"/>
    <w:rsid w:val="004951D7"/>
    <w:rsid w:val="004A43F0"/>
    <w:rsid w:val="004B3DFE"/>
    <w:rsid w:val="004E36C2"/>
    <w:rsid w:val="004E4B14"/>
    <w:rsid w:val="00501176"/>
    <w:rsid w:val="0051081D"/>
    <w:rsid w:val="00510891"/>
    <w:rsid w:val="00516711"/>
    <w:rsid w:val="0052535A"/>
    <w:rsid w:val="005268E8"/>
    <w:rsid w:val="0053111A"/>
    <w:rsid w:val="00536918"/>
    <w:rsid w:val="00537BC0"/>
    <w:rsid w:val="00562C62"/>
    <w:rsid w:val="005633CE"/>
    <w:rsid w:val="00571ADE"/>
    <w:rsid w:val="005853E9"/>
    <w:rsid w:val="0059304A"/>
    <w:rsid w:val="005951EF"/>
    <w:rsid w:val="005B62C9"/>
    <w:rsid w:val="005C3DA0"/>
    <w:rsid w:val="005E6A0A"/>
    <w:rsid w:val="005F1571"/>
    <w:rsid w:val="005F401F"/>
    <w:rsid w:val="00611202"/>
    <w:rsid w:val="006237BE"/>
    <w:rsid w:val="00636F27"/>
    <w:rsid w:val="00640733"/>
    <w:rsid w:val="006676F8"/>
    <w:rsid w:val="006878E9"/>
    <w:rsid w:val="006C2918"/>
    <w:rsid w:val="006C782C"/>
    <w:rsid w:val="006D095D"/>
    <w:rsid w:val="006F4E87"/>
    <w:rsid w:val="00703AC6"/>
    <w:rsid w:val="00710AA5"/>
    <w:rsid w:val="00715B3F"/>
    <w:rsid w:val="007554BB"/>
    <w:rsid w:val="0076501A"/>
    <w:rsid w:val="007839AE"/>
    <w:rsid w:val="00785146"/>
    <w:rsid w:val="007A5DE1"/>
    <w:rsid w:val="007C3248"/>
    <w:rsid w:val="007E08BD"/>
    <w:rsid w:val="007F4BD9"/>
    <w:rsid w:val="00800E12"/>
    <w:rsid w:val="00801053"/>
    <w:rsid w:val="0080610F"/>
    <w:rsid w:val="008153D5"/>
    <w:rsid w:val="00823CA9"/>
    <w:rsid w:val="008403A0"/>
    <w:rsid w:val="0084652E"/>
    <w:rsid w:val="00860346"/>
    <w:rsid w:val="00870113"/>
    <w:rsid w:val="00873F09"/>
    <w:rsid w:val="0089621F"/>
    <w:rsid w:val="008C0BE7"/>
    <w:rsid w:val="008D094B"/>
    <w:rsid w:val="008F2ED3"/>
    <w:rsid w:val="00902581"/>
    <w:rsid w:val="00912013"/>
    <w:rsid w:val="00925E61"/>
    <w:rsid w:val="00933C4C"/>
    <w:rsid w:val="00945382"/>
    <w:rsid w:val="00946EF5"/>
    <w:rsid w:val="00975F70"/>
    <w:rsid w:val="0099177F"/>
    <w:rsid w:val="00995789"/>
    <w:rsid w:val="009B2EF0"/>
    <w:rsid w:val="009D3518"/>
    <w:rsid w:val="009F6CAB"/>
    <w:rsid w:val="009F7A2C"/>
    <w:rsid w:val="00A047F0"/>
    <w:rsid w:val="00A04854"/>
    <w:rsid w:val="00A161FC"/>
    <w:rsid w:val="00A61746"/>
    <w:rsid w:val="00A765E9"/>
    <w:rsid w:val="00A865ED"/>
    <w:rsid w:val="00AB48E9"/>
    <w:rsid w:val="00AC005D"/>
    <w:rsid w:val="00AC6F95"/>
    <w:rsid w:val="00AD23EF"/>
    <w:rsid w:val="00AD4128"/>
    <w:rsid w:val="00AE1AFA"/>
    <w:rsid w:val="00AE67A6"/>
    <w:rsid w:val="00AF7468"/>
    <w:rsid w:val="00B015CE"/>
    <w:rsid w:val="00B151BE"/>
    <w:rsid w:val="00B25F18"/>
    <w:rsid w:val="00B43698"/>
    <w:rsid w:val="00B4481B"/>
    <w:rsid w:val="00B47D50"/>
    <w:rsid w:val="00B539BF"/>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444D2"/>
    <w:rsid w:val="00C63818"/>
    <w:rsid w:val="00C822AB"/>
    <w:rsid w:val="00C82348"/>
    <w:rsid w:val="00CD153F"/>
    <w:rsid w:val="00CD2230"/>
    <w:rsid w:val="00CD50E0"/>
    <w:rsid w:val="00D04B4C"/>
    <w:rsid w:val="00D26149"/>
    <w:rsid w:val="00D324D9"/>
    <w:rsid w:val="00D41788"/>
    <w:rsid w:val="00D45ED1"/>
    <w:rsid w:val="00D56E82"/>
    <w:rsid w:val="00D77383"/>
    <w:rsid w:val="00D87151"/>
    <w:rsid w:val="00D94396"/>
    <w:rsid w:val="00D97FEA"/>
    <w:rsid w:val="00DB6ED1"/>
    <w:rsid w:val="00DC1928"/>
    <w:rsid w:val="00DF1EA0"/>
    <w:rsid w:val="00DF5062"/>
    <w:rsid w:val="00E02FC1"/>
    <w:rsid w:val="00E0581E"/>
    <w:rsid w:val="00E1130A"/>
    <w:rsid w:val="00E22081"/>
    <w:rsid w:val="00E4264C"/>
    <w:rsid w:val="00E53FE5"/>
    <w:rsid w:val="00E73399"/>
    <w:rsid w:val="00E74CB1"/>
    <w:rsid w:val="00E7573D"/>
    <w:rsid w:val="00E821CF"/>
    <w:rsid w:val="00E85911"/>
    <w:rsid w:val="00E931F1"/>
    <w:rsid w:val="00ED0D0C"/>
    <w:rsid w:val="00F072C1"/>
    <w:rsid w:val="00F07693"/>
    <w:rsid w:val="00F10369"/>
    <w:rsid w:val="00F17DEA"/>
    <w:rsid w:val="00F35137"/>
    <w:rsid w:val="00F43286"/>
    <w:rsid w:val="00F57DCD"/>
    <w:rsid w:val="00F87BD5"/>
    <w:rsid w:val="00F9789E"/>
    <w:rsid w:val="00FB00E1"/>
    <w:rsid w:val="00FC1111"/>
    <w:rsid w:val="00FC3BB8"/>
    <w:rsid w:val="00FE1B41"/>
    <w:rsid w:val="00FF21F2"/>
    <w:rsid w:val="00FF339E"/>
    <w:rsid w:val="00FF47AD"/>
    <w:rsid w:val="00FF698C"/>
    <w:rsid w:val="069C64A8"/>
    <w:rsid w:val="16471C96"/>
    <w:rsid w:val="1BC72B84"/>
    <w:rsid w:val="1BDB576F"/>
    <w:rsid w:val="270845F2"/>
    <w:rsid w:val="28296505"/>
    <w:rsid w:val="2BD508D4"/>
    <w:rsid w:val="2C526E44"/>
    <w:rsid w:val="315512CA"/>
    <w:rsid w:val="3881462B"/>
    <w:rsid w:val="3B556170"/>
    <w:rsid w:val="3B64627B"/>
    <w:rsid w:val="3BB53D80"/>
    <w:rsid w:val="3ECC70E8"/>
    <w:rsid w:val="41780CC1"/>
    <w:rsid w:val="4FAF6015"/>
    <w:rsid w:val="614442C4"/>
    <w:rsid w:val="61A83DE6"/>
    <w:rsid w:val="62305322"/>
    <w:rsid w:val="6A4372D7"/>
    <w:rsid w:val="7599183E"/>
    <w:rsid w:val="7C5717CF"/>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8"/>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Char1"/>
    <w:link w:val="2"/>
    <w:qFormat/>
    <w:uiPriority w:val="0"/>
    <w:rPr>
      <w:rFonts w:ascii="宋体" w:hAnsi="Courier New" w:eastAsia="宋体"/>
    </w:rPr>
  </w:style>
  <w:style w:type="character" w:customStyle="1" w:styleId="11">
    <w:name w:val="页脚 Char1"/>
    <w:link w:val="4"/>
    <w:qFormat/>
    <w:uiPriority w:val="0"/>
    <w:rPr>
      <w:sz w:val="18"/>
    </w:rPr>
  </w:style>
  <w:style w:type="character" w:customStyle="1" w:styleId="12">
    <w:name w:val="标题 Char1"/>
    <w:link w:val="6"/>
    <w:qFormat/>
    <w:uiPriority w:val="0"/>
    <w:rPr>
      <w:rFonts w:ascii="Arial" w:hAnsi="Arial" w:eastAsia="宋体" w:cs="Arial"/>
      <w:b/>
      <w:bCs/>
      <w:sz w:val="32"/>
      <w:szCs w:val="32"/>
    </w:rPr>
  </w:style>
  <w:style w:type="character" w:customStyle="1" w:styleId="13">
    <w:name w:val="页脚 Char"/>
    <w:basedOn w:val="9"/>
    <w:semiHidden/>
    <w:qFormat/>
    <w:uiPriority w:val="99"/>
    <w:rPr>
      <w:rFonts w:ascii="Times New Roman" w:hAnsi="Times New Roman" w:eastAsia="宋体" w:cs="Times New Roman"/>
      <w:sz w:val="18"/>
      <w:szCs w:val="18"/>
    </w:rPr>
  </w:style>
  <w:style w:type="character" w:customStyle="1" w:styleId="14">
    <w:name w:val="标题 Char"/>
    <w:basedOn w:val="9"/>
    <w:qFormat/>
    <w:uiPriority w:val="10"/>
    <w:rPr>
      <w:rFonts w:eastAsia="宋体" w:asciiTheme="majorHAnsi" w:hAnsiTheme="majorHAnsi" w:cstheme="majorBidi"/>
      <w:b/>
      <w:bCs/>
      <w:sz w:val="32"/>
      <w:szCs w:val="32"/>
    </w:rPr>
  </w:style>
  <w:style w:type="character" w:customStyle="1" w:styleId="15">
    <w:name w:val="纯文本 Char"/>
    <w:basedOn w:val="9"/>
    <w:semiHidden/>
    <w:qFormat/>
    <w:uiPriority w:val="99"/>
    <w:rPr>
      <w:rFonts w:ascii="宋体" w:hAnsi="Courier New" w:eastAsia="宋体" w:cs="Courier New"/>
      <w:szCs w:val="21"/>
    </w:rPr>
  </w:style>
  <w:style w:type="character" w:customStyle="1" w:styleId="16">
    <w:name w:val="页眉 Char"/>
    <w:basedOn w:val="9"/>
    <w:link w:val="5"/>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9"/>
    <w:link w:val="3"/>
    <w:semiHidden/>
    <w:qFormat/>
    <w:uiPriority w:val="99"/>
    <w:rPr>
      <w:rFonts w:ascii="Times New Roman" w:hAnsi="Times New Roman" w:eastAsia="宋体" w:cs="Times New Roman"/>
      <w:sz w:val="18"/>
      <w:szCs w:val="18"/>
    </w:rPr>
  </w:style>
  <w:style w:type="paragraph" w:customStyle="1" w:styleId="19">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515</Words>
  <Characters>2939</Characters>
  <Lines>24</Lines>
  <Paragraphs>6</Paragraphs>
  <TotalTime>70</TotalTime>
  <ScaleCrop>false</ScaleCrop>
  <LinksUpToDate>false</LinksUpToDate>
  <CharactersWithSpaces>3448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付</cp:lastModifiedBy>
  <cp:lastPrinted>2025-07-23T01:08:00Z</cp:lastPrinted>
  <dcterms:modified xsi:type="dcterms:W3CDTF">2025-07-28T09:50:50Z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FD47254428C546C79753499200788EBF</vt:lpwstr>
  </property>
  <property fmtid="{D5CDD505-2E9C-101B-9397-08002B2CF9AE}" pid="4" name="KSOTemplateDocerSaveRecord">
    <vt:lpwstr>eyJoZGlkIjoiZDJhYTdhYTE3Njk5Y2UzYzQyOGJmNjA3ODE5NDhhMjciLCJ1c2VySWQiOiIyMzc4ODA0NjkifQ==</vt:lpwstr>
  </property>
</Properties>
</file>