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2DBFC">
      <w:pPr>
        <w:pStyle w:val="11"/>
        <w:rPr>
          <w:rFonts w:ascii="Times New Roman" w:hAnsi="Times New Roman"/>
          <w:szCs w:val="28"/>
        </w:rPr>
      </w:pPr>
      <w:bookmarkStart w:id="0" w:name="_Toc38367762"/>
      <w:bookmarkStart w:id="1" w:name="_Hlk191941003"/>
      <w:r>
        <w:rPr>
          <w:rFonts w:hint="eastAsia" w:ascii="Times New Roman" w:hAnsi="Times New Roman"/>
          <w:szCs w:val="28"/>
        </w:rPr>
        <w:t>西安交通大学国家人工智能产教融合创新平台</w:t>
      </w:r>
    </w:p>
    <w:p w14:paraId="39095BA3">
      <w:pPr>
        <w:pStyle w:val="11"/>
        <w:rPr>
          <w:rFonts w:ascii="Times New Roman" w:hAnsi="Times New Roman"/>
          <w:szCs w:val="28"/>
        </w:rPr>
      </w:pPr>
      <w:r>
        <w:rPr>
          <w:rFonts w:hint="eastAsia" w:ascii="Times New Roman" w:hAnsi="Times New Roman"/>
          <w:szCs w:val="28"/>
        </w:rPr>
        <w:t>人工智能算力集群</w:t>
      </w:r>
      <w:r>
        <w:rPr>
          <w:rFonts w:ascii="Times New Roman" w:hAnsi="Times New Roman"/>
          <w:szCs w:val="28"/>
        </w:rPr>
        <w:t>采购需求</w:t>
      </w:r>
      <w:bookmarkEnd w:id="0"/>
    </w:p>
    <w:bookmarkEnd w:id="1"/>
    <w:p w14:paraId="370D4EDD">
      <w:pPr>
        <w:tabs>
          <w:tab w:val="left" w:pos="900"/>
        </w:tabs>
        <w:spacing w:before="156" w:beforeLines="50" w:line="360" w:lineRule="auto"/>
        <w:rPr>
          <w:b/>
          <w:szCs w:val="21"/>
        </w:rPr>
      </w:pPr>
      <w:bookmarkStart w:id="2" w:name="_Toc219271393"/>
      <w:bookmarkStart w:id="3" w:name="_Toc158978330"/>
      <w:bookmarkStart w:id="4" w:name="_Toc172360661"/>
      <w:r>
        <w:rPr>
          <w:rFonts w:hint="eastAsia"/>
          <w:b/>
          <w:szCs w:val="21"/>
        </w:rPr>
        <w:t>一、</w:t>
      </w:r>
      <w:r>
        <w:rPr>
          <w:b/>
          <w:szCs w:val="21"/>
        </w:rPr>
        <w:t>采购</w:t>
      </w:r>
      <w:r>
        <w:rPr>
          <w:rFonts w:hint="eastAsia"/>
          <w:b/>
          <w:szCs w:val="21"/>
        </w:rPr>
        <w:t>标的</w:t>
      </w:r>
      <w:r>
        <w:rPr>
          <w:b/>
          <w:szCs w:val="21"/>
        </w:rPr>
        <w:t>需实现的功能或者目标，以及为落实政府采购政策需满足的要求：</w:t>
      </w:r>
    </w:p>
    <w:p w14:paraId="1497352D">
      <w:pPr>
        <w:tabs>
          <w:tab w:val="left" w:pos="900"/>
        </w:tabs>
        <w:spacing w:before="156" w:beforeLines="50" w:line="360" w:lineRule="auto"/>
        <w:rPr>
          <w:b/>
          <w:szCs w:val="21"/>
        </w:rPr>
      </w:pPr>
      <w:r>
        <w:rPr>
          <w:b/>
          <w:szCs w:val="21"/>
        </w:rPr>
        <w:t>（一）采购</w:t>
      </w:r>
      <w:r>
        <w:rPr>
          <w:rFonts w:hint="eastAsia"/>
          <w:b/>
          <w:szCs w:val="21"/>
        </w:rPr>
        <w:t>标的</w:t>
      </w:r>
      <w:r>
        <w:rPr>
          <w:b/>
          <w:szCs w:val="21"/>
        </w:rPr>
        <w:t>需实现的功能或者目标</w:t>
      </w:r>
    </w:p>
    <w:p w14:paraId="3FAF219F">
      <w:pPr>
        <w:widowControl/>
        <w:ind w:firstLine="420" w:firstLineChars="200"/>
        <w:jc w:val="left"/>
        <w:rPr>
          <w:szCs w:val="21"/>
        </w:rPr>
      </w:pPr>
      <w:r>
        <w:rPr>
          <w:rFonts w:hint="eastAsia"/>
          <w:szCs w:val="21"/>
        </w:rPr>
        <w:t>本项目采购</w:t>
      </w:r>
      <w:r>
        <w:rPr>
          <w:rFonts w:hint="eastAsia"/>
          <w:szCs w:val="28"/>
        </w:rPr>
        <w:t>人工智能算力集群1套，</w:t>
      </w:r>
      <w:r>
        <w:rPr>
          <w:color w:val="000000"/>
          <w:kern w:val="0"/>
          <w:sz w:val="20"/>
          <w:lang w:bidi="ar"/>
        </w:rPr>
        <w:t>建设服务于教学科研的人工智能算力集群，</w:t>
      </w:r>
      <w:r>
        <w:rPr>
          <w:rFonts w:hint="eastAsia"/>
          <w:szCs w:val="21"/>
        </w:rPr>
        <w:t>采购内容主要包含高性能计算服务器、管理服务器、分布式存储系统、网络交换机、无损网络管理软件、算力调度平台软件及集群建设相应配件。</w:t>
      </w:r>
    </w:p>
    <w:p w14:paraId="1789C0CA">
      <w:pPr>
        <w:tabs>
          <w:tab w:val="left" w:pos="900"/>
        </w:tabs>
        <w:spacing w:before="156" w:beforeLines="50" w:line="360" w:lineRule="auto"/>
        <w:rPr>
          <w:b/>
          <w:szCs w:val="21"/>
        </w:rPr>
      </w:pPr>
      <w:r>
        <w:rPr>
          <w:b/>
          <w:szCs w:val="21"/>
        </w:rPr>
        <w:t>（二）为落实政府采购政策需满足的要求</w:t>
      </w:r>
    </w:p>
    <w:p w14:paraId="1AB5B5F0">
      <w:pPr>
        <w:tabs>
          <w:tab w:val="left" w:pos="900"/>
        </w:tabs>
        <w:spacing w:line="360" w:lineRule="auto"/>
        <w:ind w:left="420"/>
        <w:rPr>
          <w:szCs w:val="21"/>
        </w:rPr>
      </w:pPr>
      <w:r>
        <w:rPr>
          <w:rFonts w:hint="eastAsia"/>
          <w:szCs w:val="24"/>
        </w:rPr>
        <w:t>1</w:t>
      </w:r>
      <w:r>
        <w:rPr>
          <w:szCs w:val="24"/>
        </w:rPr>
        <w:t>.根据</w:t>
      </w:r>
      <w:r>
        <w:t>《政府采购促进中小企业发展管理办法》</w:t>
      </w:r>
      <w:r>
        <w:rPr>
          <w:rFonts w:hint="eastAsia"/>
        </w:rPr>
        <w:t>（财库【2</w:t>
      </w:r>
      <w:r>
        <w:t>020</w:t>
      </w:r>
      <w:r>
        <w:rPr>
          <w:rFonts w:hint="eastAsia"/>
        </w:rPr>
        <w:t>】4</w:t>
      </w:r>
      <w:r>
        <w:t>6</w:t>
      </w:r>
      <w:r>
        <w:rPr>
          <w:rFonts w:hint="eastAsia"/>
        </w:rPr>
        <w:t>号）</w:t>
      </w:r>
      <w:r>
        <w:t>规定，本项目</w:t>
      </w:r>
      <w:r>
        <w:rPr>
          <w:rFonts w:hint="eastAsia"/>
        </w:rPr>
        <w:t>采购标的</w:t>
      </w:r>
      <w:r>
        <w:t>为</w:t>
      </w:r>
      <w:r>
        <w:rPr>
          <w:rFonts w:hint="eastAsia"/>
        </w:rPr>
        <w:t>中小</w:t>
      </w:r>
      <w:r>
        <w:t>型企业</w:t>
      </w:r>
      <w:r>
        <w:rPr>
          <w:rFonts w:hint="eastAsia"/>
        </w:rPr>
        <w:t>制造、承建或承接</w:t>
      </w:r>
      <w:r>
        <w:rPr>
          <w:szCs w:val="24"/>
        </w:rPr>
        <w:t>的，</w:t>
      </w:r>
      <w:r>
        <w:t>投标人应</w:t>
      </w:r>
      <w:r>
        <w:rPr>
          <w:rFonts w:hint="eastAsia"/>
        </w:rPr>
        <w:t>提供办法规定的</w:t>
      </w:r>
      <w:r>
        <w:rPr>
          <w:szCs w:val="21"/>
        </w:rPr>
        <w:t>《中小企业声明函》</w:t>
      </w:r>
      <w:r>
        <w:rPr>
          <w:rFonts w:hint="eastAsia"/>
          <w:szCs w:val="21"/>
        </w:rPr>
        <w:t>，否则不得享受相关中小企业扶持政策</w:t>
      </w:r>
      <w:r>
        <w:rPr>
          <w:szCs w:val="24"/>
        </w:rPr>
        <w:t>。投标人应对提交的中小企业声明函的真实性负责，提交的中小企业声明函不真实的，应承担相应的法律责任</w:t>
      </w:r>
      <w:r>
        <w:rPr>
          <w:szCs w:val="21"/>
        </w:rPr>
        <w:t>。</w:t>
      </w:r>
    </w:p>
    <w:p w14:paraId="481186A3">
      <w:pPr>
        <w:tabs>
          <w:tab w:val="left" w:pos="900"/>
        </w:tabs>
        <w:spacing w:line="360" w:lineRule="auto"/>
        <w:ind w:left="420"/>
        <w:rPr>
          <w:color w:val="FF0000"/>
          <w:szCs w:val="24"/>
        </w:rPr>
      </w:pPr>
      <w:r>
        <w:rPr>
          <w:rFonts w:hint="eastAsia"/>
          <w:szCs w:val="24"/>
        </w:rPr>
        <w:t>本项目采购标的对应的《中小企业划型标准规定》所属行业为：</w:t>
      </w:r>
      <w:r>
        <w:rPr>
          <w:rFonts w:hint="eastAsia"/>
          <w:szCs w:val="24"/>
          <w:u w:val="single"/>
        </w:rPr>
        <w:t xml:space="preserve"> </w:t>
      </w:r>
      <w:r>
        <w:rPr>
          <w:szCs w:val="24"/>
          <w:u w:val="single"/>
        </w:rPr>
        <w:t xml:space="preserve"> </w:t>
      </w:r>
      <w:r>
        <w:rPr>
          <w:rFonts w:hint="eastAsia"/>
          <w:szCs w:val="24"/>
          <w:u w:val="single"/>
        </w:rPr>
        <w:t>工业</w:t>
      </w:r>
      <w:r>
        <w:rPr>
          <w:szCs w:val="24"/>
          <w:u w:val="single"/>
        </w:rPr>
        <w:t xml:space="preserve">  </w:t>
      </w:r>
      <w:r>
        <w:rPr>
          <w:rFonts w:hint="eastAsia"/>
          <w:szCs w:val="24"/>
        </w:rPr>
        <w:t>。</w:t>
      </w:r>
    </w:p>
    <w:p w14:paraId="6366FBDF">
      <w:pPr>
        <w:tabs>
          <w:tab w:val="left" w:pos="900"/>
        </w:tabs>
        <w:spacing w:line="360" w:lineRule="auto"/>
        <w:ind w:left="420"/>
        <w:rPr>
          <w:rFonts w:cs="宋体"/>
          <w:b/>
          <w:kern w:val="0"/>
          <w:sz w:val="20"/>
          <w:szCs w:val="21"/>
        </w:rPr>
      </w:pPr>
      <w:r>
        <w:rPr>
          <w:rFonts w:hint="eastAsia"/>
          <w:szCs w:val="24"/>
        </w:rPr>
        <w:t>2</w:t>
      </w:r>
      <w:r>
        <w:rPr>
          <w:szCs w:val="24"/>
        </w:rPr>
        <w:t>.</w:t>
      </w:r>
      <w:r>
        <w:rPr>
          <w:rFonts w:hint="eastAsia" w:cs="宋体"/>
          <w:kern w:val="0"/>
          <w:sz w:val="20"/>
          <w:szCs w:val="21"/>
        </w:rPr>
        <w:t xml:space="preserve"> </w:t>
      </w:r>
      <w:r>
        <w:rPr>
          <w:rFonts w:hint="eastAsia" w:cs="宋体"/>
          <w:b/>
          <w:kern w:val="0"/>
          <w:sz w:val="20"/>
          <w:szCs w:val="21"/>
        </w:rPr>
        <w:t>□ 本采购项目允许进口产品参加。</w:t>
      </w:r>
    </w:p>
    <w:p w14:paraId="00D97FFE">
      <w:pPr>
        <w:tabs>
          <w:tab w:val="left" w:pos="900"/>
        </w:tabs>
        <w:spacing w:line="360" w:lineRule="auto"/>
        <w:ind w:left="420" w:firstLine="200" w:firstLineChars="100"/>
        <w:rPr>
          <w:rFonts w:cs="宋体"/>
          <w:b/>
          <w:color w:val="000000"/>
          <w:kern w:val="0"/>
          <w:sz w:val="20"/>
          <w:szCs w:val="21"/>
        </w:rPr>
      </w:pPr>
      <w:r>
        <w:rPr>
          <w:rFonts w:hint="eastAsia" w:cs="宋体"/>
          <w:b/>
          <w:color w:val="000000"/>
          <w:kern w:val="0"/>
          <w:sz w:val="20"/>
          <w:szCs w:val="21"/>
        </w:rPr>
        <w:t>（说明：请项目单位根据采购实际情况在“□”中打勾（</w:t>
      </w:r>
      <w:r>
        <w:rPr>
          <w:rFonts w:hint="eastAsia" w:cs="宋体"/>
          <w:b/>
          <w:color w:val="000000"/>
          <w:kern w:val="0"/>
          <w:sz w:val="24"/>
          <w:szCs w:val="24"/>
        </w:rPr>
        <w:sym w:font="Wingdings 2" w:char="F052"/>
      </w:r>
      <w:r>
        <w:rPr>
          <w:rFonts w:hint="eastAsia" w:cs="宋体"/>
          <w:b/>
          <w:color w:val="000000"/>
          <w:kern w:val="0"/>
          <w:sz w:val="24"/>
          <w:szCs w:val="24"/>
        </w:rPr>
        <w:t>）</w:t>
      </w:r>
      <w:r>
        <w:rPr>
          <w:rFonts w:hint="eastAsia" w:cs="宋体"/>
          <w:b/>
          <w:color w:val="000000"/>
          <w:kern w:val="0"/>
          <w:sz w:val="20"/>
          <w:szCs w:val="21"/>
        </w:rPr>
        <w:t>。未进行勾选的，视为只接受本国产品参加）</w:t>
      </w:r>
    </w:p>
    <w:p w14:paraId="330FEEEB">
      <w:pPr>
        <w:tabs>
          <w:tab w:val="left" w:pos="900"/>
        </w:tabs>
        <w:spacing w:before="156" w:beforeLines="50" w:line="360" w:lineRule="auto"/>
        <w:rPr>
          <w:b/>
          <w:szCs w:val="21"/>
        </w:rPr>
      </w:pPr>
      <w:r>
        <w:rPr>
          <w:rFonts w:hint="eastAsia"/>
          <w:b/>
          <w:szCs w:val="21"/>
        </w:rPr>
        <w:t>二、</w:t>
      </w:r>
      <w:r>
        <w:rPr>
          <w:b/>
          <w:szCs w:val="21"/>
        </w:rPr>
        <w:t>采购</w:t>
      </w:r>
      <w:r>
        <w:rPr>
          <w:rFonts w:hint="eastAsia"/>
          <w:b/>
          <w:szCs w:val="21"/>
        </w:rPr>
        <w:t>标的</w:t>
      </w:r>
      <w:r>
        <w:rPr>
          <w:b/>
          <w:szCs w:val="21"/>
        </w:rPr>
        <w:t>需执行的国家相关标准、行业标准、地方标准或者其他标准、规范：</w:t>
      </w:r>
    </w:p>
    <w:p w14:paraId="054D7755">
      <w:pPr>
        <w:tabs>
          <w:tab w:val="left" w:pos="900"/>
        </w:tabs>
        <w:spacing w:before="156" w:beforeLines="50" w:line="360" w:lineRule="auto"/>
        <w:ind w:firstLine="420" w:firstLineChars="20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07E79B36">
      <w:pPr>
        <w:tabs>
          <w:tab w:val="left" w:pos="900"/>
        </w:tabs>
        <w:spacing w:before="156" w:beforeLines="50" w:line="360" w:lineRule="auto"/>
        <w:rPr>
          <w:b/>
          <w:szCs w:val="21"/>
        </w:rPr>
      </w:pPr>
      <w:r>
        <w:rPr>
          <w:rFonts w:hint="eastAsia"/>
          <w:b/>
          <w:szCs w:val="21"/>
        </w:rPr>
        <w:t>三、采购标的概况</w:t>
      </w:r>
    </w:p>
    <w:p w14:paraId="5B3A1F99">
      <w:pPr>
        <w:spacing w:before="156" w:beforeLines="50" w:line="360" w:lineRule="auto"/>
        <w:rPr>
          <w:szCs w:val="21"/>
        </w:rPr>
      </w:pPr>
      <w:r>
        <w:rPr>
          <w:rFonts w:hint="eastAsia"/>
          <w:szCs w:val="21"/>
        </w:rPr>
        <w:t>（一）采购项目名称：</w:t>
      </w:r>
      <w:r>
        <w:rPr>
          <w:szCs w:val="21"/>
          <w:u w:val="single"/>
        </w:rPr>
        <w:t xml:space="preserve">西安交通大学国家人工智能产教融合创新平台人工智能算力集群 </w:t>
      </w:r>
      <w:r>
        <w:rPr>
          <w:szCs w:val="21"/>
        </w:rPr>
        <w:t xml:space="preserve"> </w:t>
      </w:r>
    </w:p>
    <w:p w14:paraId="5FDB22E2">
      <w:pPr>
        <w:spacing w:before="156" w:beforeLines="50" w:line="360" w:lineRule="auto"/>
        <w:rPr>
          <w:szCs w:val="21"/>
          <w:u w:val="single"/>
        </w:rPr>
      </w:pPr>
      <w:r>
        <w:rPr>
          <w:rFonts w:hint="eastAsia"/>
          <w:szCs w:val="21"/>
        </w:rPr>
        <w:t>（二）采购数量及计量单位：</w:t>
      </w:r>
      <w:r>
        <w:rPr>
          <w:szCs w:val="21"/>
          <w:u w:val="single"/>
        </w:rPr>
        <w:t xml:space="preserve">    </w:t>
      </w:r>
      <w:r>
        <w:rPr>
          <w:rFonts w:hint="eastAsia"/>
          <w:szCs w:val="21"/>
          <w:u w:val="single"/>
        </w:rPr>
        <w:t>1批</w:t>
      </w:r>
      <w:r>
        <w:rPr>
          <w:szCs w:val="21"/>
          <w:u w:val="single"/>
        </w:rPr>
        <w:t xml:space="preserve">       </w:t>
      </w:r>
    </w:p>
    <w:p w14:paraId="43ADAF2B">
      <w:pPr>
        <w:spacing w:before="156" w:beforeLines="50" w:line="360" w:lineRule="auto"/>
        <w:rPr>
          <w:szCs w:val="21"/>
          <w:u w:val="single"/>
        </w:rPr>
      </w:pPr>
      <w:r>
        <w:rPr>
          <w:rFonts w:hint="eastAsia"/>
          <w:szCs w:val="21"/>
          <w:u w:val="single"/>
        </w:rPr>
        <w:t>具体包括：</w:t>
      </w:r>
    </w:p>
    <w:p w14:paraId="3B658B9A">
      <w:pPr>
        <w:spacing w:before="156" w:beforeLines="50" w:line="360" w:lineRule="auto"/>
        <w:rPr>
          <w:szCs w:val="21"/>
          <w:u w:val="singl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2518"/>
        <w:gridCol w:w="1106"/>
        <w:gridCol w:w="1362"/>
      </w:tblGrid>
      <w:tr w14:paraId="3D54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85" w:type="dxa"/>
            <w:vAlign w:val="center"/>
          </w:tcPr>
          <w:p w14:paraId="6E1875D1">
            <w:pPr>
              <w:spacing w:before="156" w:beforeLines="50" w:line="360" w:lineRule="auto"/>
              <w:jc w:val="center"/>
              <w:rPr>
                <w:szCs w:val="21"/>
                <w:u w:val="single"/>
              </w:rPr>
            </w:pPr>
            <w:r>
              <w:rPr>
                <w:rFonts w:hint="eastAsia"/>
                <w:szCs w:val="21"/>
                <w:u w:val="single"/>
              </w:rPr>
              <w:t>序号</w:t>
            </w:r>
          </w:p>
        </w:tc>
        <w:tc>
          <w:tcPr>
            <w:tcW w:w="2518" w:type="dxa"/>
            <w:vAlign w:val="center"/>
          </w:tcPr>
          <w:p w14:paraId="29B64000">
            <w:pPr>
              <w:spacing w:before="156" w:beforeLines="50" w:line="360" w:lineRule="auto"/>
              <w:jc w:val="center"/>
              <w:rPr>
                <w:szCs w:val="21"/>
                <w:u w:val="single"/>
              </w:rPr>
            </w:pPr>
            <w:r>
              <w:rPr>
                <w:rFonts w:hint="eastAsia"/>
                <w:szCs w:val="21"/>
                <w:u w:val="single"/>
              </w:rPr>
              <w:t>名称</w:t>
            </w:r>
          </w:p>
        </w:tc>
        <w:tc>
          <w:tcPr>
            <w:tcW w:w="1106" w:type="dxa"/>
            <w:vAlign w:val="center"/>
          </w:tcPr>
          <w:p w14:paraId="050E6760">
            <w:pPr>
              <w:spacing w:before="156" w:beforeLines="50" w:line="360" w:lineRule="auto"/>
              <w:jc w:val="center"/>
              <w:rPr>
                <w:szCs w:val="21"/>
                <w:u w:val="single"/>
              </w:rPr>
            </w:pPr>
            <w:r>
              <w:rPr>
                <w:rFonts w:hint="eastAsia"/>
                <w:szCs w:val="21"/>
                <w:u w:val="single"/>
              </w:rPr>
              <w:t>单位</w:t>
            </w:r>
          </w:p>
        </w:tc>
        <w:tc>
          <w:tcPr>
            <w:tcW w:w="1362" w:type="dxa"/>
            <w:vAlign w:val="center"/>
          </w:tcPr>
          <w:p w14:paraId="1D9A9122">
            <w:pPr>
              <w:spacing w:before="156" w:beforeLines="50" w:line="360" w:lineRule="auto"/>
              <w:jc w:val="center"/>
              <w:rPr>
                <w:szCs w:val="21"/>
                <w:u w:val="single"/>
              </w:rPr>
            </w:pPr>
            <w:r>
              <w:rPr>
                <w:rFonts w:hint="eastAsia"/>
                <w:szCs w:val="21"/>
                <w:u w:val="single"/>
              </w:rPr>
              <w:t>数量</w:t>
            </w:r>
          </w:p>
        </w:tc>
      </w:tr>
      <w:tr w14:paraId="209C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85" w:type="dxa"/>
            <w:vAlign w:val="center"/>
          </w:tcPr>
          <w:p w14:paraId="17456A82">
            <w:pPr>
              <w:spacing w:before="156" w:beforeLines="50" w:line="360" w:lineRule="auto"/>
              <w:jc w:val="center"/>
              <w:rPr>
                <w:szCs w:val="21"/>
                <w:u w:val="single"/>
              </w:rPr>
            </w:pPr>
            <w:r>
              <w:rPr>
                <w:rFonts w:hint="eastAsia"/>
                <w:szCs w:val="21"/>
                <w:u w:val="single"/>
              </w:rPr>
              <w:t>1</w:t>
            </w:r>
          </w:p>
        </w:tc>
        <w:tc>
          <w:tcPr>
            <w:tcW w:w="2518" w:type="dxa"/>
            <w:vAlign w:val="center"/>
          </w:tcPr>
          <w:p w14:paraId="3BE99B3A">
            <w:pPr>
              <w:spacing w:before="156" w:beforeLines="50" w:line="360" w:lineRule="auto"/>
              <w:jc w:val="center"/>
              <w:rPr>
                <w:szCs w:val="21"/>
                <w:u w:val="single"/>
              </w:rPr>
            </w:pPr>
            <w:r>
              <w:rPr>
                <w:rFonts w:hint="eastAsia"/>
                <w:szCs w:val="21"/>
              </w:rPr>
              <w:t>高性能计算服务器</w:t>
            </w:r>
          </w:p>
        </w:tc>
        <w:tc>
          <w:tcPr>
            <w:tcW w:w="1106" w:type="dxa"/>
            <w:vAlign w:val="center"/>
          </w:tcPr>
          <w:p w14:paraId="1E0FCCD9">
            <w:pPr>
              <w:spacing w:before="156" w:beforeLines="50" w:line="360" w:lineRule="auto"/>
              <w:jc w:val="center"/>
              <w:rPr>
                <w:szCs w:val="21"/>
                <w:u w:val="single"/>
              </w:rPr>
            </w:pPr>
            <w:r>
              <w:rPr>
                <w:rFonts w:hint="eastAsia"/>
                <w:szCs w:val="21"/>
                <w:u w:val="single"/>
              </w:rPr>
              <w:t>台</w:t>
            </w:r>
          </w:p>
        </w:tc>
        <w:tc>
          <w:tcPr>
            <w:tcW w:w="1362" w:type="dxa"/>
            <w:vAlign w:val="center"/>
          </w:tcPr>
          <w:p w14:paraId="0C1B0DD9">
            <w:pPr>
              <w:spacing w:before="156" w:beforeLines="50" w:line="360" w:lineRule="auto"/>
              <w:jc w:val="center"/>
              <w:rPr>
                <w:szCs w:val="21"/>
                <w:u w:val="single"/>
              </w:rPr>
            </w:pPr>
            <w:r>
              <w:rPr>
                <w:rFonts w:hint="eastAsia"/>
                <w:szCs w:val="21"/>
                <w:u w:val="single"/>
              </w:rPr>
              <w:t>10</w:t>
            </w:r>
          </w:p>
        </w:tc>
      </w:tr>
      <w:tr w14:paraId="5B0D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85" w:type="dxa"/>
            <w:vAlign w:val="center"/>
          </w:tcPr>
          <w:p w14:paraId="4945C1DB">
            <w:pPr>
              <w:spacing w:before="156" w:beforeLines="50" w:line="360" w:lineRule="auto"/>
              <w:jc w:val="center"/>
              <w:rPr>
                <w:szCs w:val="21"/>
                <w:u w:val="single"/>
              </w:rPr>
            </w:pPr>
            <w:r>
              <w:rPr>
                <w:rFonts w:hint="eastAsia"/>
                <w:szCs w:val="21"/>
                <w:u w:val="single"/>
              </w:rPr>
              <w:t>2</w:t>
            </w:r>
          </w:p>
        </w:tc>
        <w:tc>
          <w:tcPr>
            <w:tcW w:w="2518" w:type="dxa"/>
            <w:vAlign w:val="center"/>
          </w:tcPr>
          <w:p w14:paraId="7E930212">
            <w:pPr>
              <w:spacing w:before="156" w:beforeLines="50" w:line="360" w:lineRule="auto"/>
              <w:jc w:val="center"/>
              <w:rPr>
                <w:szCs w:val="21"/>
                <w:u w:val="single"/>
              </w:rPr>
            </w:pPr>
            <w:r>
              <w:rPr>
                <w:rFonts w:hint="eastAsia"/>
                <w:szCs w:val="21"/>
                <w:u w:val="single"/>
              </w:rPr>
              <w:t>管理服务器</w:t>
            </w:r>
          </w:p>
        </w:tc>
        <w:tc>
          <w:tcPr>
            <w:tcW w:w="1106" w:type="dxa"/>
            <w:vAlign w:val="center"/>
          </w:tcPr>
          <w:p w14:paraId="516581E2">
            <w:pPr>
              <w:spacing w:before="156" w:beforeLines="50" w:line="360" w:lineRule="auto"/>
              <w:jc w:val="center"/>
              <w:rPr>
                <w:szCs w:val="21"/>
                <w:u w:val="single"/>
              </w:rPr>
            </w:pPr>
            <w:r>
              <w:rPr>
                <w:rFonts w:hint="eastAsia"/>
                <w:szCs w:val="21"/>
                <w:u w:val="single"/>
              </w:rPr>
              <w:t>台</w:t>
            </w:r>
          </w:p>
        </w:tc>
        <w:tc>
          <w:tcPr>
            <w:tcW w:w="1362" w:type="dxa"/>
            <w:vAlign w:val="center"/>
          </w:tcPr>
          <w:p w14:paraId="687F6D31">
            <w:pPr>
              <w:spacing w:before="156" w:beforeLines="50" w:line="360" w:lineRule="auto"/>
              <w:jc w:val="center"/>
              <w:rPr>
                <w:szCs w:val="21"/>
                <w:u w:val="single"/>
              </w:rPr>
            </w:pPr>
            <w:r>
              <w:rPr>
                <w:rFonts w:hint="eastAsia"/>
                <w:szCs w:val="21"/>
                <w:u w:val="single"/>
              </w:rPr>
              <w:t>4</w:t>
            </w:r>
          </w:p>
        </w:tc>
      </w:tr>
      <w:tr w14:paraId="7606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85" w:type="dxa"/>
            <w:vAlign w:val="center"/>
          </w:tcPr>
          <w:p w14:paraId="085589E7">
            <w:pPr>
              <w:spacing w:before="156" w:beforeLines="50" w:line="360" w:lineRule="auto"/>
              <w:jc w:val="center"/>
              <w:rPr>
                <w:szCs w:val="21"/>
                <w:u w:val="single"/>
              </w:rPr>
            </w:pPr>
            <w:r>
              <w:rPr>
                <w:rFonts w:hint="eastAsia"/>
                <w:szCs w:val="21"/>
                <w:u w:val="single"/>
              </w:rPr>
              <w:t>3</w:t>
            </w:r>
          </w:p>
        </w:tc>
        <w:tc>
          <w:tcPr>
            <w:tcW w:w="2518" w:type="dxa"/>
            <w:vAlign w:val="center"/>
          </w:tcPr>
          <w:p w14:paraId="5ABF2923">
            <w:pPr>
              <w:spacing w:before="156" w:beforeLines="50" w:line="360" w:lineRule="auto"/>
              <w:jc w:val="center"/>
              <w:rPr>
                <w:szCs w:val="21"/>
                <w:u w:val="single"/>
              </w:rPr>
            </w:pPr>
            <w:r>
              <w:rPr>
                <w:rFonts w:hint="eastAsia"/>
                <w:szCs w:val="21"/>
              </w:rPr>
              <w:t>分布式</w:t>
            </w:r>
            <w:r>
              <w:rPr>
                <w:szCs w:val="21"/>
              </w:rPr>
              <w:t>存储系统</w:t>
            </w:r>
          </w:p>
        </w:tc>
        <w:tc>
          <w:tcPr>
            <w:tcW w:w="1106" w:type="dxa"/>
            <w:vAlign w:val="center"/>
          </w:tcPr>
          <w:p w14:paraId="34F82A33">
            <w:pPr>
              <w:spacing w:before="156" w:beforeLines="50" w:line="360" w:lineRule="auto"/>
              <w:jc w:val="center"/>
              <w:rPr>
                <w:szCs w:val="21"/>
                <w:u w:val="single"/>
              </w:rPr>
            </w:pPr>
            <w:r>
              <w:rPr>
                <w:rFonts w:hint="eastAsia"/>
                <w:szCs w:val="21"/>
                <w:u w:val="single"/>
              </w:rPr>
              <w:t>套</w:t>
            </w:r>
          </w:p>
        </w:tc>
        <w:tc>
          <w:tcPr>
            <w:tcW w:w="1362" w:type="dxa"/>
            <w:vAlign w:val="center"/>
          </w:tcPr>
          <w:p w14:paraId="4C329B31">
            <w:pPr>
              <w:spacing w:before="156" w:beforeLines="50" w:line="360" w:lineRule="auto"/>
              <w:jc w:val="center"/>
              <w:rPr>
                <w:szCs w:val="21"/>
                <w:u w:val="single"/>
              </w:rPr>
            </w:pPr>
            <w:r>
              <w:rPr>
                <w:rFonts w:hint="eastAsia"/>
                <w:szCs w:val="21"/>
                <w:u w:val="single"/>
              </w:rPr>
              <w:t>1</w:t>
            </w:r>
          </w:p>
        </w:tc>
      </w:tr>
      <w:tr w14:paraId="0124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85" w:type="dxa"/>
            <w:vAlign w:val="center"/>
          </w:tcPr>
          <w:p w14:paraId="43A122BA">
            <w:pPr>
              <w:spacing w:before="156" w:beforeLines="50" w:line="360" w:lineRule="auto"/>
              <w:jc w:val="center"/>
              <w:rPr>
                <w:szCs w:val="21"/>
                <w:u w:val="single"/>
              </w:rPr>
            </w:pPr>
            <w:r>
              <w:rPr>
                <w:rFonts w:hint="eastAsia"/>
                <w:szCs w:val="21"/>
                <w:u w:val="single"/>
              </w:rPr>
              <w:t>4</w:t>
            </w:r>
          </w:p>
        </w:tc>
        <w:tc>
          <w:tcPr>
            <w:tcW w:w="2518" w:type="dxa"/>
            <w:vAlign w:val="center"/>
          </w:tcPr>
          <w:p w14:paraId="5A89425E">
            <w:pPr>
              <w:spacing w:before="156" w:beforeLines="50" w:line="360" w:lineRule="auto"/>
              <w:jc w:val="center"/>
              <w:rPr>
                <w:szCs w:val="21"/>
                <w:u w:val="single"/>
              </w:rPr>
            </w:pPr>
            <w:r>
              <w:rPr>
                <w:rFonts w:hint="eastAsia"/>
                <w:szCs w:val="21"/>
              </w:rPr>
              <w:t>核心交换机</w:t>
            </w:r>
          </w:p>
        </w:tc>
        <w:tc>
          <w:tcPr>
            <w:tcW w:w="1106" w:type="dxa"/>
            <w:vAlign w:val="center"/>
          </w:tcPr>
          <w:p w14:paraId="25D33749">
            <w:pPr>
              <w:spacing w:before="156" w:beforeLines="50" w:line="360" w:lineRule="auto"/>
              <w:jc w:val="center"/>
              <w:rPr>
                <w:szCs w:val="21"/>
                <w:u w:val="single"/>
              </w:rPr>
            </w:pPr>
            <w:r>
              <w:rPr>
                <w:rFonts w:hint="eastAsia"/>
                <w:szCs w:val="21"/>
                <w:u w:val="single"/>
              </w:rPr>
              <w:t>台</w:t>
            </w:r>
          </w:p>
        </w:tc>
        <w:tc>
          <w:tcPr>
            <w:tcW w:w="1362" w:type="dxa"/>
            <w:vAlign w:val="center"/>
          </w:tcPr>
          <w:p w14:paraId="7BC3E1AA">
            <w:pPr>
              <w:spacing w:before="156" w:beforeLines="50" w:line="360" w:lineRule="auto"/>
              <w:jc w:val="center"/>
              <w:rPr>
                <w:szCs w:val="21"/>
                <w:u w:val="single"/>
              </w:rPr>
            </w:pPr>
            <w:r>
              <w:rPr>
                <w:rFonts w:hint="eastAsia"/>
                <w:szCs w:val="21"/>
                <w:u w:val="single"/>
              </w:rPr>
              <w:t>2</w:t>
            </w:r>
          </w:p>
        </w:tc>
      </w:tr>
      <w:tr w14:paraId="2808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85" w:type="dxa"/>
            <w:vAlign w:val="center"/>
          </w:tcPr>
          <w:p w14:paraId="5DE1FBED">
            <w:pPr>
              <w:spacing w:before="156" w:beforeLines="50" w:line="360" w:lineRule="auto"/>
              <w:jc w:val="center"/>
              <w:rPr>
                <w:szCs w:val="21"/>
                <w:u w:val="single"/>
              </w:rPr>
            </w:pPr>
            <w:r>
              <w:rPr>
                <w:rFonts w:hint="eastAsia"/>
                <w:szCs w:val="21"/>
                <w:u w:val="single"/>
              </w:rPr>
              <w:t>5</w:t>
            </w:r>
          </w:p>
        </w:tc>
        <w:tc>
          <w:tcPr>
            <w:tcW w:w="2518" w:type="dxa"/>
            <w:vAlign w:val="center"/>
          </w:tcPr>
          <w:p w14:paraId="4AC0A47C">
            <w:pPr>
              <w:spacing w:before="156" w:beforeLines="50" w:line="360" w:lineRule="auto"/>
              <w:jc w:val="center"/>
              <w:rPr>
                <w:szCs w:val="21"/>
                <w:u w:val="single"/>
              </w:rPr>
            </w:pPr>
            <w:r>
              <w:rPr>
                <w:rFonts w:hint="eastAsia"/>
                <w:szCs w:val="21"/>
              </w:rPr>
              <w:t>监控网络交换机</w:t>
            </w:r>
          </w:p>
        </w:tc>
        <w:tc>
          <w:tcPr>
            <w:tcW w:w="1106" w:type="dxa"/>
            <w:vAlign w:val="center"/>
          </w:tcPr>
          <w:p w14:paraId="4B4B7232">
            <w:pPr>
              <w:spacing w:before="156" w:beforeLines="50" w:line="360" w:lineRule="auto"/>
              <w:jc w:val="center"/>
              <w:rPr>
                <w:szCs w:val="21"/>
                <w:u w:val="single"/>
              </w:rPr>
            </w:pPr>
            <w:r>
              <w:rPr>
                <w:rFonts w:hint="eastAsia"/>
                <w:szCs w:val="21"/>
                <w:u w:val="single"/>
              </w:rPr>
              <w:t>台</w:t>
            </w:r>
          </w:p>
        </w:tc>
        <w:tc>
          <w:tcPr>
            <w:tcW w:w="1362" w:type="dxa"/>
            <w:vAlign w:val="center"/>
          </w:tcPr>
          <w:p w14:paraId="0DE9A20C">
            <w:pPr>
              <w:spacing w:before="156" w:beforeLines="50" w:line="360" w:lineRule="auto"/>
              <w:jc w:val="center"/>
              <w:rPr>
                <w:szCs w:val="21"/>
                <w:u w:val="single"/>
              </w:rPr>
            </w:pPr>
            <w:r>
              <w:rPr>
                <w:rFonts w:hint="eastAsia"/>
                <w:szCs w:val="21"/>
                <w:u w:val="single"/>
              </w:rPr>
              <w:t>2</w:t>
            </w:r>
          </w:p>
        </w:tc>
      </w:tr>
      <w:tr w14:paraId="7C087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85" w:type="dxa"/>
            <w:vAlign w:val="center"/>
          </w:tcPr>
          <w:p w14:paraId="3A102B74">
            <w:pPr>
              <w:spacing w:before="156" w:beforeLines="50" w:line="360" w:lineRule="auto"/>
              <w:jc w:val="center"/>
              <w:rPr>
                <w:szCs w:val="21"/>
                <w:u w:val="single"/>
              </w:rPr>
            </w:pPr>
            <w:r>
              <w:rPr>
                <w:rFonts w:hint="eastAsia"/>
                <w:szCs w:val="21"/>
                <w:u w:val="single"/>
              </w:rPr>
              <w:t>6</w:t>
            </w:r>
          </w:p>
        </w:tc>
        <w:tc>
          <w:tcPr>
            <w:tcW w:w="2518" w:type="dxa"/>
            <w:vAlign w:val="center"/>
          </w:tcPr>
          <w:p w14:paraId="46F553B5">
            <w:pPr>
              <w:spacing w:before="156" w:beforeLines="50" w:line="360" w:lineRule="auto"/>
              <w:jc w:val="center"/>
              <w:rPr>
                <w:szCs w:val="21"/>
                <w:u w:val="single"/>
              </w:rPr>
            </w:pPr>
            <w:r>
              <w:rPr>
                <w:rFonts w:hint="eastAsia"/>
                <w:szCs w:val="21"/>
              </w:rPr>
              <w:t>管理网络交换机</w:t>
            </w:r>
          </w:p>
        </w:tc>
        <w:tc>
          <w:tcPr>
            <w:tcW w:w="1106" w:type="dxa"/>
            <w:vAlign w:val="center"/>
          </w:tcPr>
          <w:p w14:paraId="7DA9660E">
            <w:pPr>
              <w:spacing w:before="156" w:beforeLines="50" w:line="360" w:lineRule="auto"/>
              <w:jc w:val="center"/>
              <w:rPr>
                <w:szCs w:val="21"/>
                <w:u w:val="single"/>
              </w:rPr>
            </w:pPr>
            <w:r>
              <w:rPr>
                <w:rFonts w:hint="eastAsia"/>
                <w:szCs w:val="21"/>
                <w:u w:val="single"/>
              </w:rPr>
              <w:t>台</w:t>
            </w:r>
          </w:p>
        </w:tc>
        <w:tc>
          <w:tcPr>
            <w:tcW w:w="1362" w:type="dxa"/>
            <w:vAlign w:val="center"/>
          </w:tcPr>
          <w:p w14:paraId="6ED9A06B">
            <w:pPr>
              <w:spacing w:before="156" w:beforeLines="50" w:line="360" w:lineRule="auto"/>
              <w:jc w:val="center"/>
              <w:rPr>
                <w:szCs w:val="21"/>
                <w:u w:val="single"/>
              </w:rPr>
            </w:pPr>
            <w:r>
              <w:rPr>
                <w:rFonts w:hint="eastAsia"/>
                <w:szCs w:val="21"/>
                <w:u w:val="single"/>
              </w:rPr>
              <w:t>2</w:t>
            </w:r>
          </w:p>
        </w:tc>
      </w:tr>
      <w:tr w14:paraId="3D906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85" w:type="dxa"/>
            <w:vAlign w:val="center"/>
          </w:tcPr>
          <w:p w14:paraId="2C1D3AC0">
            <w:pPr>
              <w:spacing w:before="156" w:beforeLines="50" w:line="360" w:lineRule="auto"/>
              <w:jc w:val="center"/>
              <w:rPr>
                <w:szCs w:val="21"/>
                <w:u w:val="single"/>
              </w:rPr>
            </w:pPr>
            <w:r>
              <w:rPr>
                <w:rFonts w:hint="eastAsia"/>
                <w:szCs w:val="21"/>
                <w:u w:val="single"/>
              </w:rPr>
              <w:t>7</w:t>
            </w:r>
          </w:p>
        </w:tc>
        <w:tc>
          <w:tcPr>
            <w:tcW w:w="2518" w:type="dxa"/>
            <w:vAlign w:val="center"/>
          </w:tcPr>
          <w:p w14:paraId="23E6D886">
            <w:pPr>
              <w:spacing w:before="156" w:beforeLines="50" w:line="360" w:lineRule="auto"/>
              <w:jc w:val="center"/>
              <w:rPr>
                <w:szCs w:val="21"/>
                <w:u w:val="single"/>
              </w:rPr>
            </w:pPr>
            <w:r>
              <w:rPr>
                <w:rFonts w:hint="eastAsia"/>
                <w:szCs w:val="21"/>
                <w:u w:val="single"/>
              </w:rPr>
              <w:t>业务网络交换机</w:t>
            </w:r>
          </w:p>
        </w:tc>
        <w:tc>
          <w:tcPr>
            <w:tcW w:w="1106" w:type="dxa"/>
            <w:vAlign w:val="center"/>
          </w:tcPr>
          <w:p w14:paraId="49E09812">
            <w:pPr>
              <w:spacing w:before="156" w:beforeLines="50" w:line="360" w:lineRule="auto"/>
              <w:jc w:val="center"/>
              <w:rPr>
                <w:szCs w:val="21"/>
                <w:u w:val="single"/>
              </w:rPr>
            </w:pPr>
            <w:r>
              <w:rPr>
                <w:rFonts w:hint="eastAsia"/>
                <w:szCs w:val="21"/>
                <w:u w:val="single"/>
              </w:rPr>
              <w:t>台</w:t>
            </w:r>
          </w:p>
        </w:tc>
        <w:tc>
          <w:tcPr>
            <w:tcW w:w="1362" w:type="dxa"/>
            <w:vAlign w:val="center"/>
          </w:tcPr>
          <w:p w14:paraId="7A48C2BF">
            <w:pPr>
              <w:spacing w:before="156" w:beforeLines="50" w:line="360" w:lineRule="auto"/>
              <w:jc w:val="center"/>
              <w:rPr>
                <w:szCs w:val="21"/>
                <w:u w:val="single"/>
              </w:rPr>
            </w:pPr>
            <w:r>
              <w:rPr>
                <w:rFonts w:hint="eastAsia"/>
                <w:szCs w:val="21"/>
                <w:u w:val="single"/>
              </w:rPr>
              <w:t>4</w:t>
            </w:r>
          </w:p>
        </w:tc>
      </w:tr>
      <w:tr w14:paraId="2981A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85" w:type="dxa"/>
            <w:vAlign w:val="center"/>
          </w:tcPr>
          <w:p w14:paraId="31762E15">
            <w:pPr>
              <w:spacing w:before="156" w:beforeLines="50" w:line="360" w:lineRule="auto"/>
              <w:jc w:val="center"/>
              <w:rPr>
                <w:szCs w:val="21"/>
                <w:u w:val="single"/>
              </w:rPr>
            </w:pPr>
            <w:r>
              <w:rPr>
                <w:rFonts w:hint="eastAsia"/>
                <w:szCs w:val="21"/>
                <w:u w:val="single"/>
              </w:rPr>
              <w:t>8</w:t>
            </w:r>
          </w:p>
        </w:tc>
        <w:tc>
          <w:tcPr>
            <w:tcW w:w="2518" w:type="dxa"/>
            <w:vAlign w:val="center"/>
          </w:tcPr>
          <w:p w14:paraId="1401E5EF">
            <w:pPr>
              <w:spacing w:before="156" w:beforeLines="50" w:line="360" w:lineRule="auto"/>
              <w:jc w:val="center"/>
              <w:rPr>
                <w:szCs w:val="21"/>
                <w:u w:val="single"/>
              </w:rPr>
            </w:pPr>
            <w:r>
              <w:rPr>
                <w:rFonts w:hint="eastAsia"/>
                <w:szCs w:val="21"/>
                <w:u w:val="single"/>
              </w:rPr>
              <w:t>计算网络交换机</w:t>
            </w:r>
          </w:p>
        </w:tc>
        <w:tc>
          <w:tcPr>
            <w:tcW w:w="1106" w:type="dxa"/>
            <w:vAlign w:val="center"/>
          </w:tcPr>
          <w:p w14:paraId="14D3E6D3">
            <w:pPr>
              <w:spacing w:before="156" w:beforeLines="50" w:line="360" w:lineRule="auto"/>
              <w:jc w:val="center"/>
              <w:rPr>
                <w:szCs w:val="21"/>
                <w:u w:val="single"/>
              </w:rPr>
            </w:pPr>
            <w:r>
              <w:rPr>
                <w:rFonts w:hint="eastAsia"/>
                <w:szCs w:val="21"/>
                <w:u w:val="single"/>
              </w:rPr>
              <w:t>台</w:t>
            </w:r>
          </w:p>
        </w:tc>
        <w:tc>
          <w:tcPr>
            <w:tcW w:w="1362" w:type="dxa"/>
            <w:vAlign w:val="center"/>
          </w:tcPr>
          <w:p w14:paraId="074672CB">
            <w:pPr>
              <w:spacing w:before="156" w:beforeLines="50" w:line="360" w:lineRule="auto"/>
              <w:jc w:val="center"/>
              <w:rPr>
                <w:szCs w:val="21"/>
                <w:u w:val="single"/>
              </w:rPr>
            </w:pPr>
            <w:r>
              <w:rPr>
                <w:rFonts w:hint="eastAsia"/>
                <w:szCs w:val="21"/>
                <w:u w:val="single"/>
              </w:rPr>
              <w:t>1</w:t>
            </w:r>
          </w:p>
        </w:tc>
      </w:tr>
      <w:tr w14:paraId="4C6B9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85" w:type="dxa"/>
            <w:vAlign w:val="center"/>
          </w:tcPr>
          <w:p w14:paraId="4C63C15A">
            <w:pPr>
              <w:spacing w:before="156" w:beforeLines="50" w:line="360" w:lineRule="auto"/>
              <w:jc w:val="center"/>
              <w:rPr>
                <w:szCs w:val="21"/>
                <w:u w:val="single"/>
              </w:rPr>
            </w:pPr>
            <w:r>
              <w:rPr>
                <w:rFonts w:hint="eastAsia"/>
                <w:szCs w:val="21"/>
                <w:u w:val="single"/>
              </w:rPr>
              <w:t>9</w:t>
            </w:r>
          </w:p>
        </w:tc>
        <w:tc>
          <w:tcPr>
            <w:tcW w:w="2518" w:type="dxa"/>
            <w:vAlign w:val="center"/>
          </w:tcPr>
          <w:p w14:paraId="00034B38">
            <w:pPr>
              <w:spacing w:before="156" w:beforeLines="50" w:line="360" w:lineRule="auto"/>
              <w:jc w:val="center"/>
              <w:rPr>
                <w:szCs w:val="21"/>
                <w:u w:val="single"/>
              </w:rPr>
            </w:pPr>
            <w:r>
              <w:rPr>
                <w:rFonts w:hint="eastAsia"/>
                <w:szCs w:val="21"/>
                <w:u w:val="single"/>
              </w:rPr>
              <w:t>存储网络接入交换机</w:t>
            </w:r>
          </w:p>
        </w:tc>
        <w:tc>
          <w:tcPr>
            <w:tcW w:w="1106" w:type="dxa"/>
            <w:vAlign w:val="center"/>
          </w:tcPr>
          <w:p w14:paraId="266B5B53">
            <w:pPr>
              <w:spacing w:before="156" w:beforeLines="50" w:line="360" w:lineRule="auto"/>
              <w:jc w:val="center"/>
              <w:rPr>
                <w:szCs w:val="21"/>
                <w:u w:val="single"/>
              </w:rPr>
            </w:pPr>
            <w:r>
              <w:rPr>
                <w:rFonts w:hint="eastAsia"/>
                <w:szCs w:val="21"/>
                <w:u w:val="single"/>
              </w:rPr>
              <w:t>台</w:t>
            </w:r>
          </w:p>
        </w:tc>
        <w:tc>
          <w:tcPr>
            <w:tcW w:w="1362" w:type="dxa"/>
            <w:vAlign w:val="center"/>
          </w:tcPr>
          <w:p w14:paraId="0EA137C5">
            <w:pPr>
              <w:spacing w:before="156" w:beforeLines="50" w:line="360" w:lineRule="auto"/>
              <w:jc w:val="center"/>
              <w:rPr>
                <w:szCs w:val="21"/>
                <w:u w:val="single"/>
              </w:rPr>
            </w:pPr>
            <w:r>
              <w:rPr>
                <w:rFonts w:hint="eastAsia"/>
                <w:szCs w:val="21"/>
                <w:u w:val="single"/>
              </w:rPr>
              <w:t>2</w:t>
            </w:r>
          </w:p>
        </w:tc>
      </w:tr>
      <w:tr w14:paraId="5BA3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85" w:type="dxa"/>
            <w:vAlign w:val="center"/>
          </w:tcPr>
          <w:p w14:paraId="4F846CEB">
            <w:pPr>
              <w:spacing w:before="156" w:beforeLines="50" w:line="360" w:lineRule="auto"/>
              <w:jc w:val="center"/>
              <w:rPr>
                <w:szCs w:val="21"/>
                <w:u w:val="single"/>
              </w:rPr>
            </w:pPr>
            <w:r>
              <w:rPr>
                <w:rFonts w:hint="eastAsia"/>
                <w:szCs w:val="21"/>
                <w:u w:val="single"/>
              </w:rPr>
              <w:t>10</w:t>
            </w:r>
          </w:p>
        </w:tc>
        <w:tc>
          <w:tcPr>
            <w:tcW w:w="2518" w:type="dxa"/>
            <w:vAlign w:val="center"/>
          </w:tcPr>
          <w:p w14:paraId="5CD72F79">
            <w:pPr>
              <w:spacing w:before="156" w:beforeLines="50" w:line="360" w:lineRule="auto"/>
              <w:jc w:val="center"/>
              <w:rPr>
                <w:szCs w:val="21"/>
                <w:u w:val="single"/>
              </w:rPr>
            </w:pPr>
            <w:r>
              <w:rPr>
                <w:rFonts w:hint="eastAsia"/>
                <w:szCs w:val="21"/>
                <w:u w:val="single"/>
              </w:rPr>
              <w:t>存储网络汇聚交换机</w:t>
            </w:r>
          </w:p>
        </w:tc>
        <w:tc>
          <w:tcPr>
            <w:tcW w:w="1106" w:type="dxa"/>
            <w:vAlign w:val="center"/>
          </w:tcPr>
          <w:p w14:paraId="52463A69">
            <w:pPr>
              <w:spacing w:before="156" w:beforeLines="50" w:line="360" w:lineRule="auto"/>
              <w:jc w:val="center"/>
              <w:rPr>
                <w:szCs w:val="21"/>
                <w:u w:val="single"/>
              </w:rPr>
            </w:pPr>
            <w:r>
              <w:rPr>
                <w:rFonts w:hint="eastAsia"/>
                <w:szCs w:val="21"/>
                <w:u w:val="single"/>
              </w:rPr>
              <w:t>台</w:t>
            </w:r>
          </w:p>
        </w:tc>
        <w:tc>
          <w:tcPr>
            <w:tcW w:w="1362" w:type="dxa"/>
            <w:vAlign w:val="center"/>
          </w:tcPr>
          <w:p w14:paraId="085F6011">
            <w:pPr>
              <w:spacing w:before="156" w:beforeLines="50" w:line="360" w:lineRule="auto"/>
              <w:jc w:val="center"/>
              <w:rPr>
                <w:szCs w:val="21"/>
                <w:u w:val="single"/>
              </w:rPr>
            </w:pPr>
            <w:r>
              <w:rPr>
                <w:rFonts w:hint="eastAsia"/>
                <w:szCs w:val="21"/>
                <w:u w:val="single"/>
              </w:rPr>
              <w:t>2</w:t>
            </w:r>
          </w:p>
        </w:tc>
      </w:tr>
      <w:tr w14:paraId="4DEB4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85" w:type="dxa"/>
            <w:vAlign w:val="center"/>
          </w:tcPr>
          <w:p w14:paraId="5DBC0600">
            <w:pPr>
              <w:spacing w:before="156" w:beforeLines="50" w:line="360" w:lineRule="auto"/>
              <w:jc w:val="center"/>
              <w:rPr>
                <w:szCs w:val="21"/>
                <w:u w:val="single"/>
              </w:rPr>
            </w:pPr>
            <w:r>
              <w:rPr>
                <w:rFonts w:hint="eastAsia"/>
                <w:szCs w:val="21"/>
                <w:u w:val="single"/>
              </w:rPr>
              <w:t>11</w:t>
            </w:r>
          </w:p>
        </w:tc>
        <w:tc>
          <w:tcPr>
            <w:tcW w:w="2518" w:type="dxa"/>
            <w:vAlign w:val="center"/>
          </w:tcPr>
          <w:p w14:paraId="271C7054">
            <w:pPr>
              <w:spacing w:before="156" w:beforeLines="50" w:line="360" w:lineRule="auto"/>
              <w:jc w:val="center"/>
              <w:rPr>
                <w:szCs w:val="21"/>
                <w:u w:val="single"/>
              </w:rPr>
            </w:pPr>
            <w:r>
              <w:rPr>
                <w:rFonts w:hint="eastAsia"/>
                <w:szCs w:val="21"/>
                <w:u w:val="single"/>
              </w:rPr>
              <w:t>无损网络管理软件</w:t>
            </w:r>
          </w:p>
        </w:tc>
        <w:tc>
          <w:tcPr>
            <w:tcW w:w="1106" w:type="dxa"/>
            <w:vAlign w:val="center"/>
          </w:tcPr>
          <w:p w14:paraId="497FB159">
            <w:pPr>
              <w:spacing w:before="156" w:beforeLines="50" w:line="360" w:lineRule="auto"/>
              <w:jc w:val="center"/>
              <w:rPr>
                <w:szCs w:val="21"/>
                <w:u w:val="single"/>
              </w:rPr>
            </w:pPr>
            <w:r>
              <w:rPr>
                <w:rFonts w:hint="eastAsia"/>
                <w:szCs w:val="21"/>
                <w:u w:val="single"/>
              </w:rPr>
              <w:t>套</w:t>
            </w:r>
          </w:p>
        </w:tc>
        <w:tc>
          <w:tcPr>
            <w:tcW w:w="1362" w:type="dxa"/>
            <w:vAlign w:val="center"/>
          </w:tcPr>
          <w:p w14:paraId="3E689E1D">
            <w:pPr>
              <w:spacing w:before="156" w:beforeLines="50" w:line="360" w:lineRule="auto"/>
              <w:jc w:val="center"/>
              <w:rPr>
                <w:szCs w:val="21"/>
                <w:u w:val="single"/>
              </w:rPr>
            </w:pPr>
            <w:r>
              <w:rPr>
                <w:rFonts w:hint="eastAsia"/>
                <w:szCs w:val="21"/>
                <w:u w:val="single"/>
              </w:rPr>
              <w:t>1</w:t>
            </w:r>
          </w:p>
        </w:tc>
      </w:tr>
      <w:tr w14:paraId="17BB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85" w:type="dxa"/>
            <w:vAlign w:val="center"/>
          </w:tcPr>
          <w:p w14:paraId="10A35CFB">
            <w:pPr>
              <w:spacing w:before="156" w:beforeLines="50" w:line="360" w:lineRule="auto"/>
              <w:jc w:val="center"/>
              <w:rPr>
                <w:szCs w:val="21"/>
                <w:u w:val="single"/>
              </w:rPr>
            </w:pPr>
            <w:r>
              <w:rPr>
                <w:rFonts w:hint="eastAsia"/>
                <w:szCs w:val="21"/>
                <w:u w:val="single"/>
              </w:rPr>
              <w:t>12</w:t>
            </w:r>
          </w:p>
        </w:tc>
        <w:tc>
          <w:tcPr>
            <w:tcW w:w="2518" w:type="dxa"/>
            <w:vAlign w:val="center"/>
          </w:tcPr>
          <w:p w14:paraId="7935C339">
            <w:pPr>
              <w:spacing w:before="156" w:beforeLines="50" w:line="360" w:lineRule="auto"/>
              <w:jc w:val="center"/>
              <w:rPr>
                <w:szCs w:val="21"/>
                <w:u w:val="single"/>
              </w:rPr>
            </w:pPr>
            <w:r>
              <w:rPr>
                <w:rFonts w:hint="eastAsia"/>
                <w:szCs w:val="21"/>
                <w:u w:val="single"/>
              </w:rPr>
              <w:t>防火墙</w:t>
            </w:r>
          </w:p>
        </w:tc>
        <w:tc>
          <w:tcPr>
            <w:tcW w:w="1106" w:type="dxa"/>
            <w:vAlign w:val="center"/>
          </w:tcPr>
          <w:p w14:paraId="4F8B8AB8">
            <w:pPr>
              <w:spacing w:before="156" w:beforeLines="50" w:line="360" w:lineRule="auto"/>
              <w:jc w:val="center"/>
              <w:rPr>
                <w:szCs w:val="21"/>
                <w:u w:val="single"/>
              </w:rPr>
            </w:pPr>
            <w:r>
              <w:rPr>
                <w:rFonts w:hint="eastAsia"/>
                <w:szCs w:val="21"/>
                <w:u w:val="single"/>
              </w:rPr>
              <w:t>台</w:t>
            </w:r>
          </w:p>
        </w:tc>
        <w:tc>
          <w:tcPr>
            <w:tcW w:w="1362" w:type="dxa"/>
            <w:vAlign w:val="center"/>
          </w:tcPr>
          <w:p w14:paraId="07AA4B5C">
            <w:pPr>
              <w:spacing w:before="156" w:beforeLines="50" w:line="360" w:lineRule="auto"/>
              <w:jc w:val="center"/>
              <w:rPr>
                <w:szCs w:val="21"/>
                <w:u w:val="single"/>
              </w:rPr>
            </w:pPr>
            <w:r>
              <w:rPr>
                <w:rFonts w:hint="eastAsia"/>
                <w:szCs w:val="21"/>
                <w:u w:val="single"/>
              </w:rPr>
              <w:t>2</w:t>
            </w:r>
          </w:p>
        </w:tc>
      </w:tr>
      <w:tr w14:paraId="01DA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285" w:type="dxa"/>
            <w:vAlign w:val="center"/>
          </w:tcPr>
          <w:p w14:paraId="6D84EA80">
            <w:pPr>
              <w:spacing w:before="156" w:beforeLines="50" w:line="360" w:lineRule="auto"/>
              <w:jc w:val="center"/>
              <w:rPr>
                <w:szCs w:val="21"/>
                <w:u w:val="single"/>
              </w:rPr>
            </w:pPr>
            <w:r>
              <w:rPr>
                <w:rFonts w:hint="eastAsia"/>
                <w:szCs w:val="21"/>
                <w:u w:val="single"/>
              </w:rPr>
              <w:t>13</w:t>
            </w:r>
          </w:p>
        </w:tc>
        <w:tc>
          <w:tcPr>
            <w:tcW w:w="2518" w:type="dxa"/>
            <w:vAlign w:val="center"/>
          </w:tcPr>
          <w:p w14:paraId="5B858C3A">
            <w:pPr>
              <w:spacing w:before="156" w:beforeLines="50" w:line="360" w:lineRule="auto"/>
              <w:jc w:val="center"/>
              <w:rPr>
                <w:szCs w:val="21"/>
                <w:u w:val="single"/>
              </w:rPr>
            </w:pPr>
            <w:r>
              <w:rPr>
                <w:rFonts w:hint="eastAsia"/>
                <w:szCs w:val="21"/>
                <w:u w:val="single"/>
              </w:rPr>
              <w:t>算力调度平台软件</w:t>
            </w:r>
          </w:p>
        </w:tc>
        <w:tc>
          <w:tcPr>
            <w:tcW w:w="1106" w:type="dxa"/>
            <w:vAlign w:val="center"/>
          </w:tcPr>
          <w:p w14:paraId="7A5D27FF">
            <w:pPr>
              <w:spacing w:before="156" w:beforeLines="50" w:line="360" w:lineRule="auto"/>
              <w:jc w:val="center"/>
              <w:rPr>
                <w:szCs w:val="21"/>
                <w:u w:val="single"/>
              </w:rPr>
            </w:pPr>
            <w:r>
              <w:rPr>
                <w:rFonts w:hint="eastAsia"/>
                <w:szCs w:val="21"/>
                <w:u w:val="single"/>
              </w:rPr>
              <w:t>套</w:t>
            </w:r>
          </w:p>
        </w:tc>
        <w:tc>
          <w:tcPr>
            <w:tcW w:w="1362" w:type="dxa"/>
            <w:vAlign w:val="center"/>
          </w:tcPr>
          <w:p w14:paraId="11E7C580">
            <w:pPr>
              <w:spacing w:before="156" w:beforeLines="50" w:line="360" w:lineRule="auto"/>
              <w:jc w:val="center"/>
              <w:rPr>
                <w:szCs w:val="21"/>
                <w:u w:val="single"/>
              </w:rPr>
            </w:pPr>
            <w:r>
              <w:rPr>
                <w:rFonts w:hint="eastAsia"/>
                <w:szCs w:val="21"/>
                <w:u w:val="single"/>
              </w:rPr>
              <w:t>1</w:t>
            </w:r>
          </w:p>
        </w:tc>
      </w:tr>
    </w:tbl>
    <w:p w14:paraId="68D8F00A">
      <w:pPr>
        <w:spacing w:before="156" w:beforeLines="50" w:line="360" w:lineRule="auto"/>
        <w:rPr>
          <w:szCs w:val="21"/>
        </w:rPr>
      </w:pPr>
    </w:p>
    <w:p w14:paraId="74D628A4">
      <w:pPr>
        <w:spacing w:before="156" w:beforeLines="50" w:line="360" w:lineRule="auto"/>
        <w:rPr>
          <w:szCs w:val="21"/>
        </w:rPr>
      </w:pPr>
      <w:r>
        <w:rPr>
          <w:rFonts w:hint="eastAsia"/>
          <w:szCs w:val="21"/>
        </w:rPr>
        <w:t>（三）最高限价：人民币</w:t>
      </w:r>
      <w:r>
        <w:rPr>
          <w:rFonts w:hint="eastAsia"/>
          <w:szCs w:val="21"/>
          <w:u w:val="single"/>
        </w:rPr>
        <w:t xml:space="preserve"> </w:t>
      </w:r>
      <w:r>
        <w:rPr>
          <w:szCs w:val="21"/>
          <w:u w:val="single"/>
        </w:rPr>
        <w:t xml:space="preserve"> </w:t>
      </w:r>
      <w:r>
        <w:rPr>
          <w:rFonts w:hint="eastAsia"/>
          <w:szCs w:val="21"/>
          <w:u w:val="single"/>
        </w:rPr>
        <w:t>27</w:t>
      </w:r>
      <w:r>
        <w:rPr>
          <w:szCs w:val="21"/>
          <w:u w:val="single"/>
        </w:rPr>
        <w:t>00</w:t>
      </w:r>
      <w:r>
        <w:rPr>
          <w:rFonts w:hint="eastAsia"/>
          <w:szCs w:val="21"/>
          <w:u w:val="single"/>
        </w:rPr>
        <w:t>万</w:t>
      </w:r>
      <w:r>
        <w:rPr>
          <w:szCs w:val="21"/>
          <w:u w:val="single"/>
        </w:rPr>
        <w:t xml:space="preserve"> </w:t>
      </w:r>
      <w:r>
        <w:rPr>
          <w:szCs w:val="21"/>
        </w:rPr>
        <w:t xml:space="preserve"> </w:t>
      </w:r>
      <w:r>
        <w:rPr>
          <w:rFonts w:hint="eastAsia"/>
          <w:szCs w:val="21"/>
        </w:rPr>
        <w:t>元。</w:t>
      </w:r>
    </w:p>
    <w:p w14:paraId="56E21509">
      <w:pPr>
        <w:spacing w:before="156" w:beforeLines="50" w:line="360" w:lineRule="auto"/>
        <w:rPr>
          <w:szCs w:val="21"/>
        </w:rPr>
      </w:pPr>
      <w:r>
        <w:rPr>
          <w:rFonts w:hint="eastAsia"/>
          <w:szCs w:val="21"/>
        </w:rPr>
        <w:t>（四）</w:t>
      </w:r>
      <w:r>
        <w:rPr>
          <w:szCs w:val="21"/>
        </w:rPr>
        <w:t>交付时间：</w:t>
      </w:r>
      <w:r>
        <w:t>合同签订后</w:t>
      </w:r>
      <w:r>
        <w:rPr>
          <w:u w:val="single"/>
        </w:rPr>
        <w:t xml:space="preserve">  </w:t>
      </w:r>
      <w:r>
        <w:rPr>
          <w:rFonts w:hint="eastAsia"/>
          <w:u w:val="single"/>
        </w:rPr>
        <w:t>60</w:t>
      </w:r>
      <w:r>
        <w:rPr>
          <w:u w:val="single"/>
        </w:rPr>
        <w:t xml:space="preserve">  </w:t>
      </w:r>
      <w:r>
        <w:rPr>
          <w:rFonts w:hint="eastAsia"/>
        </w:rPr>
        <w:t>天内。</w:t>
      </w:r>
    </w:p>
    <w:p w14:paraId="3A4DE50B">
      <w:pPr>
        <w:tabs>
          <w:tab w:val="left" w:pos="900"/>
        </w:tabs>
        <w:spacing w:before="156" w:beforeLines="50" w:line="360" w:lineRule="auto"/>
        <w:rPr>
          <w:szCs w:val="21"/>
        </w:rPr>
      </w:pPr>
      <w:r>
        <w:rPr>
          <w:rFonts w:hint="eastAsia"/>
          <w:szCs w:val="21"/>
        </w:rPr>
        <w:t>（五）</w:t>
      </w:r>
      <w:r>
        <w:rPr>
          <w:szCs w:val="21"/>
        </w:rPr>
        <w:t>交付地点：</w:t>
      </w:r>
      <w:r>
        <w:rPr>
          <w:rFonts w:hint="eastAsia"/>
          <w:szCs w:val="21"/>
          <w:u w:val="single"/>
        </w:rPr>
        <w:t xml:space="preserve"> 西安交通大学曲江校区</w:t>
      </w:r>
      <w:r>
        <w:rPr>
          <w:szCs w:val="21"/>
          <w:u w:val="single"/>
        </w:rPr>
        <w:t xml:space="preserve"> </w:t>
      </w:r>
      <w:r>
        <w:rPr>
          <w:rFonts w:hint="eastAsia"/>
          <w:szCs w:val="21"/>
        </w:rPr>
        <w:t>。</w:t>
      </w:r>
    </w:p>
    <w:p w14:paraId="39963E26">
      <w:pPr>
        <w:tabs>
          <w:tab w:val="left" w:pos="900"/>
        </w:tabs>
        <w:spacing w:before="156" w:beforeLines="50" w:line="360" w:lineRule="auto"/>
        <w:rPr>
          <w:szCs w:val="21"/>
        </w:rPr>
      </w:pPr>
      <w:r>
        <w:rPr>
          <w:rFonts w:hint="eastAsia"/>
          <w:szCs w:val="21"/>
        </w:rPr>
        <w:t>（六）付款进度安排：</w:t>
      </w:r>
      <w:r>
        <w:rPr>
          <w:rFonts w:hint="eastAsia"/>
          <w:szCs w:val="21"/>
          <w:u w:val="single"/>
        </w:rPr>
        <w:t xml:space="preserve"> 安装调试验收合格后付清全款。合同签订前，中标人向采购人缴纳中标价的10%作为履约保证金，质保期结束后无息返还</w:t>
      </w:r>
      <w:r>
        <w:rPr>
          <w:rFonts w:hint="eastAsia"/>
          <w:szCs w:val="21"/>
        </w:rPr>
        <w:t>。</w:t>
      </w:r>
    </w:p>
    <w:p w14:paraId="53DB0DF9">
      <w:pPr>
        <w:numPr>
          <w:ilvl w:val="0"/>
          <w:numId w:val="1"/>
        </w:numPr>
        <w:tabs>
          <w:tab w:val="left" w:pos="900"/>
        </w:tabs>
        <w:spacing w:before="156" w:beforeLines="50" w:line="360" w:lineRule="auto"/>
        <w:rPr>
          <w:b/>
          <w:szCs w:val="21"/>
        </w:rPr>
      </w:pPr>
      <w:r>
        <w:rPr>
          <w:rFonts w:hint="eastAsia"/>
          <w:b/>
          <w:szCs w:val="21"/>
        </w:rPr>
        <w:t>采购标的需满足的质量、安全、技术规格、物理特性等要求：</w:t>
      </w:r>
    </w:p>
    <w:p w14:paraId="1FF85D2B">
      <w:pPr>
        <w:pStyle w:val="55"/>
        <w:snapToGrid w:val="0"/>
        <w:spacing w:line="480" w:lineRule="exact"/>
        <w:ind w:firstLine="420" w:firstLineChars="200"/>
        <w:rPr>
          <w:rFonts w:ascii="Times New Roman" w:hAnsi="Times New Roman"/>
          <w:bCs/>
          <w:color w:val="000000"/>
        </w:rPr>
      </w:pPr>
      <w:r>
        <w:rPr>
          <w:rFonts w:hint="eastAsia" w:ascii="Times New Roman" w:hAnsi="Times New Roman"/>
          <w:bCs/>
          <w:color w:val="000000"/>
        </w:rPr>
        <w:t>供应商应向采购人提供全新的、完好的设备，标准包装，设备出厂应包含所有配置配件，拒绝二手部件、拒绝拆改配，采购人和成交供应商负责对设备的数量进行清点，并出具有验收人和单位负责人签字的验收单。</w:t>
      </w:r>
    </w:p>
    <w:p w14:paraId="3FE3D74B">
      <w:pPr>
        <w:tabs>
          <w:tab w:val="left" w:pos="900"/>
        </w:tabs>
        <w:spacing w:before="156" w:beforeLines="50" w:line="360" w:lineRule="auto"/>
        <w:rPr>
          <w:b/>
          <w:szCs w:val="21"/>
        </w:rPr>
      </w:pPr>
      <w:r>
        <w:rPr>
          <w:rFonts w:hint="eastAsia"/>
          <w:b/>
          <w:szCs w:val="21"/>
        </w:rPr>
        <w:t>具体指标参数如下（</w:t>
      </w:r>
      <w:r>
        <w:rPr>
          <w:rFonts w:hint="eastAsia"/>
          <w:szCs w:val="21"/>
        </w:rPr>
        <w:t>★表示必须满足项，不满足或负偏离即废标；▲为重点关注项，必须提供证明材料。</w:t>
      </w:r>
      <w:r>
        <w:rPr>
          <w:rFonts w:hint="eastAsia"/>
          <w:b/>
          <w:szCs w:val="21"/>
        </w:rPr>
        <w:t>）：</w:t>
      </w:r>
    </w:p>
    <w:tbl>
      <w:tblPr>
        <w:tblStyle w:val="14"/>
        <w:tblW w:w="5000" w:type="pct"/>
        <w:tblInd w:w="-1"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73"/>
        <w:gridCol w:w="1195"/>
        <w:gridCol w:w="6144"/>
        <w:gridCol w:w="510"/>
      </w:tblGrid>
      <w:tr w14:paraId="5AF5C7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60" w:hRule="atLeast"/>
        </w:trPr>
        <w:tc>
          <w:tcPr>
            <w:tcW w:w="394" w:type="pct"/>
            <w:vAlign w:val="center"/>
          </w:tcPr>
          <w:p w14:paraId="0040DA52">
            <w:pPr>
              <w:jc w:val="center"/>
              <w:rPr>
                <w:color w:val="auto"/>
                <w:szCs w:val="21"/>
              </w:rPr>
            </w:pPr>
            <w:bookmarkStart w:id="7" w:name="_GoBack"/>
            <w:r>
              <w:rPr>
                <w:rFonts w:hint="eastAsia"/>
                <w:color w:val="auto"/>
                <w:szCs w:val="21"/>
              </w:rPr>
              <w:t>序号</w:t>
            </w:r>
          </w:p>
        </w:tc>
        <w:tc>
          <w:tcPr>
            <w:tcW w:w="701" w:type="pct"/>
            <w:vAlign w:val="center"/>
          </w:tcPr>
          <w:p w14:paraId="53042094">
            <w:pPr>
              <w:jc w:val="center"/>
              <w:rPr>
                <w:color w:val="auto"/>
                <w:szCs w:val="21"/>
              </w:rPr>
            </w:pPr>
            <w:r>
              <w:rPr>
                <w:rFonts w:hint="eastAsia"/>
                <w:color w:val="auto"/>
                <w:szCs w:val="21"/>
              </w:rPr>
              <w:t>设备名称</w:t>
            </w:r>
          </w:p>
        </w:tc>
        <w:tc>
          <w:tcPr>
            <w:tcW w:w="3604" w:type="pct"/>
            <w:vAlign w:val="center"/>
          </w:tcPr>
          <w:p w14:paraId="6062AEB9">
            <w:pPr>
              <w:rPr>
                <w:color w:val="auto"/>
                <w:szCs w:val="21"/>
              </w:rPr>
            </w:pPr>
            <w:r>
              <w:rPr>
                <w:rFonts w:hint="eastAsia"/>
                <w:color w:val="auto"/>
                <w:szCs w:val="21"/>
              </w:rPr>
              <w:t>技术参数</w:t>
            </w:r>
          </w:p>
        </w:tc>
        <w:tc>
          <w:tcPr>
            <w:tcW w:w="299" w:type="pct"/>
            <w:noWrap/>
            <w:vAlign w:val="center"/>
          </w:tcPr>
          <w:p w14:paraId="44D5D915">
            <w:pPr>
              <w:rPr>
                <w:color w:val="auto"/>
                <w:szCs w:val="21"/>
              </w:rPr>
            </w:pPr>
            <w:r>
              <w:rPr>
                <w:rFonts w:hint="eastAsia"/>
                <w:color w:val="auto"/>
                <w:szCs w:val="21"/>
              </w:rPr>
              <w:t>数量</w:t>
            </w:r>
          </w:p>
        </w:tc>
      </w:tr>
      <w:tr w14:paraId="7EA20B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90" w:hRule="atLeast"/>
        </w:trPr>
        <w:tc>
          <w:tcPr>
            <w:tcW w:w="394" w:type="pct"/>
            <w:vAlign w:val="center"/>
          </w:tcPr>
          <w:p w14:paraId="21EDC7E6">
            <w:pPr>
              <w:jc w:val="center"/>
              <w:rPr>
                <w:color w:val="auto"/>
                <w:szCs w:val="21"/>
              </w:rPr>
            </w:pPr>
            <w:r>
              <w:rPr>
                <w:rFonts w:hint="eastAsia"/>
                <w:color w:val="auto"/>
                <w:szCs w:val="21"/>
              </w:rPr>
              <w:t>1</w:t>
            </w:r>
          </w:p>
        </w:tc>
        <w:tc>
          <w:tcPr>
            <w:tcW w:w="701" w:type="pct"/>
            <w:vAlign w:val="center"/>
          </w:tcPr>
          <w:p w14:paraId="3A1A943A">
            <w:pPr>
              <w:jc w:val="center"/>
              <w:rPr>
                <w:color w:val="auto"/>
                <w:szCs w:val="21"/>
              </w:rPr>
            </w:pPr>
            <w:r>
              <w:rPr>
                <w:rFonts w:hint="eastAsia"/>
                <w:color w:val="auto"/>
                <w:szCs w:val="21"/>
              </w:rPr>
              <w:t>高性能计算服务器</w:t>
            </w:r>
          </w:p>
        </w:tc>
        <w:tc>
          <w:tcPr>
            <w:tcW w:w="3604" w:type="pct"/>
            <w:tcBorders>
              <w:bottom w:val="single" w:color="auto" w:sz="8" w:space="0"/>
            </w:tcBorders>
          </w:tcPr>
          <w:p w14:paraId="5544DC88">
            <w:pPr>
              <w:rPr>
                <w:color w:val="auto"/>
                <w:szCs w:val="21"/>
              </w:rPr>
            </w:pPr>
            <w:r>
              <w:rPr>
                <w:rFonts w:hint="eastAsia"/>
                <w:color w:val="auto"/>
                <w:szCs w:val="21"/>
              </w:rPr>
              <w:t>★1、品牌要求：国产服务器品牌（参考品牌：华为、新华三、浪潮、中兴，或不低于同档次品牌），非OEM产品；</w:t>
            </w:r>
          </w:p>
          <w:p w14:paraId="20D51F19">
            <w:pPr>
              <w:rPr>
                <w:color w:val="auto"/>
                <w:szCs w:val="21"/>
              </w:rPr>
            </w:pPr>
            <w:r>
              <w:rPr>
                <w:rFonts w:hint="eastAsia"/>
                <w:color w:val="auto"/>
                <w:szCs w:val="21"/>
              </w:rPr>
              <w:t>2、</w:t>
            </w:r>
            <w:bookmarkStart w:id="5" w:name="OLE_LINK2"/>
            <w:r>
              <w:rPr>
                <w:rFonts w:hint="eastAsia"/>
                <w:color w:val="auto"/>
                <w:szCs w:val="21"/>
              </w:rPr>
              <w:t>处理器：配置两颗x86处理器</w:t>
            </w:r>
            <w:bookmarkEnd w:id="5"/>
            <w:r>
              <w:rPr>
                <w:rFonts w:hint="eastAsia"/>
                <w:color w:val="auto"/>
                <w:szCs w:val="21"/>
              </w:rPr>
              <w:t>，单颗处理器基本频率≥2.7GHz，核数≥48核，三级缓存≥256MB，要求处理器支持超线程、支持AVX-512指令集；</w:t>
            </w:r>
          </w:p>
          <w:p w14:paraId="15FD1690">
            <w:pPr>
              <w:rPr>
                <w:color w:val="auto"/>
                <w:szCs w:val="21"/>
              </w:rPr>
            </w:pPr>
            <w:r>
              <w:rPr>
                <w:rFonts w:hint="eastAsia"/>
                <w:color w:val="auto"/>
                <w:szCs w:val="21"/>
              </w:rPr>
              <w:t>3、内存：支持内存插槽≥32个，单内存条容量≥6</w:t>
            </w:r>
            <w:r>
              <w:rPr>
                <w:color w:val="auto"/>
                <w:szCs w:val="21"/>
              </w:rPr>
              <w:t>4G</w:t>
            </w:r>
            <w:r>
              <w:rPr>
                <w:rFonts w:hint="eastAsia"/>
                <w:color w:val="auto"/>
                <w:szCs w:val="21"/>
              </w:rPr>
              <w:t>B，配置总容量≥2</w:t>
            </w:r>
            <w:r>
              <w:rPr>
                <w:color w:val="auto"/>
                <w:szCs w:val="21"/>
              </w:rPr>
              <w:t>048</w:t>
            </w:r>
            <w:r>
              <w:rPr>
                <w:rFonts w:hint="eastAsia"/>
                <w:color w:val="auto"/>
                <w:szCs w:val="21"/>
              </w:rPr>
              <w:t>G</w:t>
            </w:r>
            <w:r>
              <w:rPr>
                <w:color w:val="auto"/>
                <w:szCs w:val="21"/>
              </w:rPr>
              <w:t>B</w:t>
            </w:r>
            <w:r>
              <w:rPr>
                <w:rFonts w:hint="eastAsia"/>
                <w:color w:val="auto"/>
                <w:szCs w:val="21"/>
              </w:rPr>
              <w:t xml:space="preserve"> DDR5-5600 RDIMM内存；</w:t>
            </w:r>
          </w:p>
          <w:p w14:paraId="66879A06">
            <w:pPr>
              <w:rPr>
                <w:color w:val="auto"/>
                <w:szCs w:val="21"/>
              </w:rPr>
            </w:pPr>
            <w:r>
              <w:rPr>
                <w:rFonts w:hint="eastAsia"/>
                <w:color w:val="auto"/>
                <w:szCs w:val="21"/>
              </w:rPr>
              <w:t>4、硬盘：配置≥2*480GB SATA SSD 硬盘，≥2 * 7.68TB NVMe SSD硬盘；</w:t>
            </w:r>
          </w:p>
          <w:p w14:paraId="33FED328">
            <w:pPr>
              <w:rPr>
                <w:color w:val="auto"/>
                <w:szCs w:val="21"/>
              </w:rPr>
            </w:pPr>
            <w:r>
              <w:rPr>
                <w:rFonts w:hint="eastAsia"/>
                <w:color w:val="auto"/>
                <w:szCs w:val="21"/>
              </w:rPr>
              <w:t>5、RAID卡：配置≥1块RAID卡，支持RAID 0/1/5，缓存≥2GB；</w:t>
            </w:r>
          </w:p>
          <w:p w14:paraId="066A5903">
            <w:pPr>
              <w:rPr>
                <w:color w:val="auto"/>
                <w:szCs w:val="21"/>
              </w:rPr>
            </w:pPr>
            <w:r>
              <w:rPr>
                <w:rFonts w:hint="eastAsia"/>
                <w:color w:val="auto"/>
                <w:szCs w:val="21"/>
              </w:rPr>
              <w:t>6、网络端口：配置≥8个400G网络端口；配置≥2个100G网络端口；配置≥2个25G网络端口(满配25G多模光模块)；</w:t>
            </w:r>
          </w:p>
          <w:p w14:paraId="5412E359">
            <w:pPr>
              <w:rPr>
                <w:color w:val="auto"/>
                <w:szCs w:val="21"/>
              </w:rPr>
            </w:pPr>
            <w:r>
              <w:rPr>
                <w:rFonts w:hint="eastAsia"/>
                <w:color w:val="auto"/>
                <w:szCs w:val="21"/>
              </w:rPr>
              <w:t>★7、配置≥8块OAM形态智能加速卡；智能加速卡单卡功率≤550W；整机FP16算力≥2.5P FLOPS；（提供证明材料并加盖智能加速卡厂商公章）</w:t>
            </w:r>
          </w:p>
          <w:p w14:paraId="32CA88E1">
            <w:pPr>
              <w:rPr>
                <w:color w:val="auto"/>
                <w:szCs w:val="21"/>
              </w:rPr>
            </w:pPr>
            <w:r>
              <w:rPr>
                <w:rFonts w:hint="eastAsia"/>
                <w:color w:val="auto"/>
                <w:szCs w:val="21"/>
              </w:rPr>
              <w:t>★8、智能加速卡单卡的单个计算单元可直接访问的内存容量≥80GB；智能加速卡单卡内存带宽≥2000GB/s；（提供证明材料并加盖智能加速卡厂商公章）</w:t>
            </w:r>
          </w:p>
          <w:p w14:paraId="23C4781A">
            <w:pPr>
              <w:rPr>
                <w:color w:val="auto"/>
                <w:szCs w:val="21"/>
              </w:rPr>
            </w:pPr>
            <w:r>
              <w:rPr>
                <w:rFonts w:hint="eastAsia"/>
                <w:color w:val="auto"/>
                <w:szCs w:val="21"/>
              </w:rPr>
              <w:t>★9、整机智能加速卡之间支持全互联拓扑，8卡模组中任意两卡间有高速直连通道；（提供证明材料并加盖智能加速卡厂商公章）</w:t>
            </w:r>
          </w:p>
          <w:p w14:paraId="5935AC77">
            <w:pPr>
              <w:rPr>
                <w:color w:val="auto"/>
                <w:szCs w:val="21"/>
              </w:rPr>
            </w:pPr>
            <w:r>
              <w:rPr>
                <w:rFonts w:hint="eastAsia"/>
                <w:color w:val="auto"/>
                <w:szCs w:val="21"/>
              </w:rPr>
              <w:t>▲10、智能加速卡单芯片片间互联双向聚合带宽≥350GB/s；（提供证明材料并加盖智能加速卡厂商公章）</w:t>
            </w:r>
          </w:p>
          <w:p w14:paraId="1ABC42BA">
            <w:pPr>
              <w:rPr>
                <w:color w:val="auto"/>
                <w:szCs w:val="21"/>
              </w:rPr>
            </w:pPr>
            <w:r>
              <w:rPr>
                <w:rFonts w:hint="eastAsia"/>
                <w:color w:val="auto"/>
                <w:szCs w:val="21"/>
              </w:rPr>
              <w:t>11、电源：满配交流热插拔模块化电源，至少N+1冗余；</w:t>
            </w:r>
          </w:p>
          <w:p w14:paraId="702B8197">
            <w:pPr>
              <w:rPr>
                <w:color w:val="auto"/>
                <w:szCs w:val="21"/>
              </w:rPr>
            </w:pPr>
            <w:r>
              <w:rPr>
                <w:rFonts w:hint="eastAsia"/>
                <w:color w:val="auto"/>
                <w:szCs w:val="21"/>
              </w:rPr>
              <w:t>12、配件：满配热插拔模块化风扇。</w:t>
            </w:r>
          </w:p>
        </w:tc>
        <w:tc>
          <w:tcPr>
            <w:tcW w:w="299" w:type="pct"/>
            <w:noWrap/>
            <w:vAlign w:val="center"/>
          </w:tcPr>
          <w:p w14:paraId="4E8FD317">
            <w:pPr>
              <w:rPr>
                <w:color w:val="auto"/>
                <w:szCs w:val="21"/>
              </w:rPr>
            </w:pPr>
            <w:r>
              <w:rPr>
                <w:rFonts w:hint="eastAsia"/>
                <w:color w:val="auto"/>
                <w:szCs w:val="21"/>
              </w:rPr>
              <w:t>10台</w:t>
            </w:r>
          </w:p>
        </w:tc>
      </w:tr>
      <w:tr w14:paraId="1EEA32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90" w:hRule="atLeast"/>
        </w:trPr>
        <w:tc>
          <w:tcPr>
            <w:tcW w:w="394" w:type="pct"/>
            <w:vAlign w:val="center"/>
          </w:tcPr>
          <w:p w14:paraId="39C7B8CB">
            <w:pPr>
              <w:jc w:val="center"/>
              <w:rPr>
                <w:color w:val="auto"/>
                <w:szCs w:val="21"/>
              </w:rPr>
            </w:pPr>
            <w:r>
              <w:rPr>
                <w:rFonts w:hint="eastAsia"/>
                <w:color w:val="auto"/>
                <w:szCs w:val="21"/>
              </w:rPr>
              <w:t>2</w:t>
            </w:r>
          </w:p>
        </w:tc>
        <w:tc>
          <w:tcPr>
            <w:tcW w:w="701" w:type="pct"/>
            <w:vAlign w:val="center"/>
          </w:tcPr>
          <w:p w14:paraId="0BF17D6B">
            <w:pPr>
              <w:jc w:val="center"/>
              <w:rPr>
                <w:color w:val="auto"/>
                <w:szCs w:val="21"/>
              </w:rPr>
            </w:pPr>
            <w:r>
              <w:rPr>
                <w:rFonts w:hint="eastAsia"/>
                <w:color w:val="auto"/>
                <w:szCs w:val="21"/>
              </w:rPr>
              <w:t>管理服务器</w:t>
            </w:r>
          </w:p>
        </w:tc>
        <w:tc>
          <w:tcPr>
            <w:tcW w:w="3604" w:type="pct"/>
            <w:tcBorders>
              <w:top w:val="single" w:color="auto" w:sz="4" w:space="0"/>
            </w:tcBorders>
          </w:tcPr>
          <w:p w14:paraId="2CA30FF2">
            <w:pPr>
              <w:rPr>
                <w:color w:val="auto"/>
                <w:szCs w:val="21"/>
              </w:rPr>
            </w:pPr>
            <w:r>
              <w:rPr>
                <w:rFonts w:hint="eastAsia"/>
                <w:color w:val="auto"/>
                <w:szCs w:val="21"/>
              </w:rPr>
              <w:t>1、处理器：配置两颗x86处理器，单颗处理器基本频率≥2.1GHz，核数≥32核；</w:t>
            </w:r>
          </w:p>
          <w:p w14:paraId="61151A70">
            <w:pPr>
              <w:rPr>
                <w:color w:val="auto"/>
                <w:szCs w:val="21"/>
              </w:rPr>
            </w:pPr>
            <w:r>
              <w:rPr>
                <w:rFonts w:hint="eastAsia"/>
                <w:color w:val="auto"/>
                <w:szCs w:val="21"/>
              </w:rPr>
              <w:t>2、内存：配置≥512GB DDR5内存；</w:t>
            </w:r>
          </w:p>
          <w:p w14:paraId="68742BC5">
            <w:pPr>
              <w:rPr>
                <w:color w:val="auto"/>
                <w:szCs w:val="21"/>
              </w:rPr>
            </w:pPr>
            <w:r>
              <w:rPr>
                <w:rFonts w:hint="eastAsia"/>
                <w:color w:val="auto"/>
                <w:szCs w:val="21"/>
              </w:rPr>
              <w:t>3、硬盘：配置≥2块960GB SATA SSD硬盘，配置≥6块3.84TB  SSD；</w:t>
            </w:r>
          </w:p>
          <w:p w14:paraId="56E5C44E">
            <w:pPr>
              <w:rPr>
                <w:color w:val="auto"/>
                <w:szCs w:val="21"/>
              </w:rPr>
            </w:pPr>
            <w:r>
              <w:rPr>
                <w:rFonts w:hint="eastAsia"/>
                <w:color w:val="auto"/>
                <w:szCs w:val="21"/>
              </w:rPr>
              <w:t>4、RAID卡：配置≥1块RAID卡，支持RAID 0/1/5，缓存≥2GB；</w:t>
            </w:r>
          </w:p>
          <w:p w14:paraId="38254723">
            <w:pPr>
              <w:rPr>
                <w:color w:val="auto"/>
                <w:szCs w:val="21"/>
              </w:rPr>
            </w:pPr>
            <w:r>
              <w:rPr>
                <w:rFonts w:hint="eastAsia"/>
                <w:color w:val="auto"/>
                <w:szCs w:val="21"/>
              </w:rPr>
              <w:t>5、网卡：配置≥2张双端口25G网卡（满配25G多模光模块），配置≥4个GE电口；</w:t>
            </w:r>
          </w:p>
          <w:p w14:paraId="26703E9D">
            <w:pPr>
              <w:rPr>
                <w:color w:val="auto"/>
                <w:szCs w:val="21"/>
              </w:rPr>
            </w:pPr>
            <w:r>
              <w:rPr>
                <w:rFonts w:hint="eastAsia"/>
                <w:color w:val="auto"/>
                <w:szCs w:val="21"/>
              </w:rPr>
              <w:t>6、电源：满配交流热插拔模块化电源，至少N+1冗余；</w:t>
            </w:r>
          </w:p>
          <w:p w14:paraId="3B65BC50">
            <w:pPr>
              <w:rPr>
                <w:color w:val="auto"/>
                <w:szCs w:val="21"/>
              </w:rPr>
            </w:pPr>
            <w:r>
              <w:rPr>
                <w:rFonts w:hint="eastAsia"/>
                <w:color w:val="auto"/>
                <w:szCs w:val="21"/>
              </w:rPr>
              <w:t>7、配件：满配热插拔模块化风扇。</w:t>
            </w:r>
          </w:p>
        </w:tc>
        <w:tc>
          <w:tcPr>
            <w:tcW w:w="299" w:type="pct"/>
            <w:noWrap/>
            <w:vAlign w:val="center"/>
          </w:tcPr>
          <w:p w14:paraId="7FA95F54">
            <w:pPr>
              <w:jc w:val="center"/>
              <w:rPr>
                <w:color w:val="auto"/>
                <w:szCs w:val="21"/>
              </w:rPr>
            </w:pPr>
            <w:r>
              <w:rPr>
                <w:rFonts w:hint="eastAsia"/>
                <w:color w:val="auto"/>
                <w:szCs w:val="21"/>
              </w:rPr>
              <w:t>4</w:t>
            </w:r>
            <w:r>
              <w:rPr>
                <w:color w:val="auto"/>
                <w:szCs w:val="21"/>
              </w:rPr>
              <w:t>台</w:t>
            </w:r>
          </w:p>
        </w:tc>
      </w:tr>
      <w:tr w14:paraId="3D926A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224" w:hRule="atLeast"/>
        </w:trPr>
        <w:tc>
          <w:tcPr>
            <w:tcW w:w="394" w:type="pct"/>
            <w:vAlign w:val="center"/>
          </w:tcPr>
          <w:p w14:paraId="57F475C3">
            <w:pPr>
              <w:jc w:val="center"/>
              <w:rPr>
                <w:color w:val="auto"/>
                <w:szCs w:val="21"/>
              </w:rPr>
            </w:pPr>
            <w:r>
              <w:rPr>
                <w:rFonts w:hint="eastAsia"/>
                <w:color w:val="auto"/>
                <w:szCs w:val="21"/>
              </w:rPr>
              <w:t>3</w:t>
            </w:r>
          </w:p>
        </w:tc>
        <w:tc>
          <w:tcPr>
            <w:tcW w:w="701" w:type="pct"/>
            <w:vAlign w:val="center"/>
          </w:tcPr>
          <w:p w14:paraId="5F158CA0">
            <w:pPr>
              <w:jc w:val="center"/>
              <w:rPr>
                <w:color w:val="auto"/>
                <w:szCs w:val="21"/>
              </w:rPr>
            </w:pPr>
            <w:r>
              <w:rPr>
                <w:rFonts w:hint="eastAsia"/>
                <w:color w:val="auto"/>
                <w:szCs w:val="21"/>
              </w:rPr>
              <w:t>分布式</w:t>
            </w:r>
            <w:r>
              <w:rPr>
                <w:color w:val="auto"/>
                <w:szCs w:val="21"/>
              </w:rPr>
              <w:t>存储系统</w:t>
            </w:r>
          </w:p>
        </w:tc>
        <w:tc>
          <w:tcPr>
            <w:tcW w:w="3604" w:type="pct"/>
            <w:tcBorders>
              <w:top w:val="single" w:color="auto" w:sz="4" w:space="0"/>
            </w:tcBorders>
          </w:tcPr>
          <w:p w14:paraId="1042E307">
            <w:pPr>
              <w:rPr>
                <w:color w:val="auto"/>
                <w:szCs w:val="21"/>
              </w:rPr>
            </w:pPr>
            <w:r>
              <w:rPr>
                <w:rFonts w:hint="eastAsia"/>
                <w:color w:val="auto"/>
                <w:szCs w:val="21"/>
              </w:rPr>
              <w:t>1、存储架构：要求采用成熟的稳定的商业版GPFS并行文件系统，提供高速存储所有容量授权，不接受开源文件系统，支持高性能计算客户端数据并行 I/O 读写，客户端扩容时无需重新购买授权。</w:t>
            </w:r>
          </w:p>
          <w:p w14:paraId="6BA6B20D">
            <w:pPr>
              <w:rPr>
                <w:color w:val="auto"/>
                <w:szCs w:val="21"/>
              </w:rPr>
            </w:pPr>
            <w:r>
              <w:rPr>
                <w:rFonts w:hint="eastAsia"/>
                <w:color w:val="auto"/>
                <w:szCs w:val="21"/>
              </w:rPr>
              <w:t>2、可用性：全套系统关键部件采用全冗余设计，系统各部件配置均不存在任何单一故障失效点，单个存储节点失效不会导致数据丢失；单节点故障对应用透明，不影响应用的正常读取；</w:t>
            </w:r>
          </w:p>
          <w:p w14:paraId="6DF86C5C">
            <w:pPr>
              <w:rPr>
                <w:color w:val="auto"/>
                <w:szCs w:val="21"/>
              </w:rPr>
            </w:pPr>
            <w:r>
              <w:rPr>
                <w:rFonts w:hint="eastAsia"/>
                <w:color w:val="auto"/>
                <w:szCs w:val="21"/>
              </w:rPr>
              <w:t>3、协议互通：支持NFS、SMB、POSIX、MPI-IO、HDFS等多种协议，支持并行客户端；同一存储池内开启文件、大数据等访问协议，支持RoCE和ETH可同时访问同一文件。</w:t>
            </w:r>
          </w:p>
          <w:p w14:paraId="5BA287C3">
            <w:pPr>
              <w:rPr>
                <w:color w:val="auto"/>
                <w:szCs w:val="21"/>
              </w:rPr>
            </w:pPr>
            <w:r>
              <w:rPr>
                <w:rFonts w:hint="eastAsia"/>
                <w:color w:val="auto"/>
                <w:szCs w:val="21"/>
              </w:rPr>
              <w:t>4、分级存储：支持分级存储功能，实现文件数据放置在统一存储空间的不同的存储池介质中，支持包括SSD、HDD等，支持配置数据写入策略和迁移策略，支持按照容量水位设置迁移策略等。</w:t>
            </w:r>
          </w:p>
          <w:p w14:paraId="7A8BDC1E">
            <w:pPr>
              <w:rPr>
                <w:color w:val="auto"/>
                <w:szCs w:val="21"/>
              </w:rPr>
            </w:pPr>
            <w:r>
              <w:rPr>
                <w:rFonts w:hint="eastAsia"/>
                <w:color w:val="auto"/>
                <w:szCs w:val="21"/>
              </w:rPr>
              <w:t>5、图形化管理：支持图形化管理界面，支持故障告警，管理界面内可查看各个存储池的信息，包括冗余策略、所属硬盘池等，支持对硬盘容量、硬盘负载、内存占用、CPU占用的监控。</w:t>
            </w:r>
          </w:p>
          <w:p w14:paraId="26D44B6F">
            <w:pPr>
              <w:rPr>
                <w:color w:val="auto"/>
                <w:szCs w:val="21"/>
              </w:rPr>
            </w:pPr>
            <w:r>
              <w:rPr>
                <w:rFonts w:hint="eastAsia"/>
                <w:color w:val="auto"/>
                <w:szCs w:val="21"/>
              </w:rPr>
              <w:t>▲6、支持GDS或XDS（GPU Direct）功能，即从GPU卡直通读写，数据可不经过CPU、内存直接从存储放入到GPU应用程序内存中，提供相关证明材料。</w:t>
            </w:r>
          </w:p>
          <w:p w14:paraId="77F35A8A">
            <w:pPr>
              <w:numPr>
                <w:ilvl w:val="0"/>
                <w:numId w:val="2"/>
              </w:numPr>
              <w:rPr>
                <w:color w:val="auto"/>
                <w:szCs w:val="21"/>
              </w:rPr>
            </w:pPr>
            <w:r>
              <w:rPr>
                <w:rFonts w:hint="eastAsia"/>
                <w:color w:val="auto"/>
                <w:szCs w:val="21"/>
              </w:rPr>
              <w:t>配置≥4个全闪存储节点，每个节点配置如下：</w:t>
            </w:r>
          </w:p>
          <w:p w14:paraId="539895D6">
            <w:pPr>
              <w:rPr>
                <w:color w:val="auto"/>
                <w:szCs w:val="21"/>
              </w:rPr>
            </w:pPr>
            <w:r>
              <w:rPr>
                <w:rFonts w:hint="eastAsia"/>
                <w:color w:val="auto"/>
                <w:szCs w:val="21"/>
              </w:rPr>
              <w:t>品牌要求：国产服务器品牌，参考品牌：华为、新华三、浪潮、宁畅、中兴，或不低于同档次品牌，非OEM产品；</w:t>
            </w:r>
          </w:p>
          <w:p w14:paraId="5EA91778">
            <w:pPr>
              <w:rPr>
                <w:color w:val="auto"/>
                <w:szCs w:val="21"/>
              </w:rPr>
            </w:pPr>
            <w:r>
              <w:rPr>
                <w:rFonts w:hint="eastAsia"/>
                <w:color w:val="auto"/>
                <w:szCs w:val="21"/>
              </w:rPr>
              <w:t>处理器：2颗x86架构处理器，每颗处理器主频≥2.2Ghz，核数≥28核；内存：≥512GB DDR5内存；系统盘: ≥2块480GB SATA SSD；数据盘：提供≥18个盘位，满配，总容量≥184TB PCIe 4.0或更高规格 NVME SSD；网卡:≥2张双端口100G网卡、≥1张双端口25G网卡；服务：五年免费整机硬件质保，原厂工程师上门服务。</w:t>
            </w:r>
          </w:p>
          <w:p w14:paraId="2A40DE02">
            <w:pPr>
              <w:numPr>
                <w:ilvl w:val="0"/>
                <w:numId w:val="2"/>
              </w:numPr>
              <w:rPr>
                <w:color w:val="auto"/>
                <w:szCs w:val="21"/>
              </w:rPr>
            </w:pPr>
            <w:r>
              <w:rPr>
                <w:rFonts w:hint="eastAsia"/>
                <w:color w:val="auto"/>
                <w:szCs w:val="21"/>
              </w:rPr>
              <w:t>配置≥4个混闪存储节点，每个节点配置如下：</w:t>
            </w:r>
          </w:p>
          <w:p w14:paraId="2CFE645F">
            <w:pPr>
              <w:rPr>
                <w:color w:val="auto"/>
                <w:szCs w:val="21"/>
              </w:rPr>
            </w:pPr>
            <w:r>
              <w:rPr>
                <w:rFonts w:hint="eastAsia"/>
                <w:color w:val="auto"/>
                <w:szCs w:val="21"/>
              </w:rPr>
              <w:t>品牌要求：国产服务器品牌，参考品牌：华为、新华三、浪潮、宁畅、中兴，或不低于同档次品牌，非OEM产品；</w:t>
            </w:r>
          </w:p>
          <w:p w14:paraId="7C3002FF">
            <w:pPr>
              <w:rPr>
                <w:color w:val="auto"/>
                <w:szCs w:val="21"/>
              </w:rPr>
            </w:pPr>
            <w:r>
              <w:rPr>
                <w:rFonts w:hint="eastAsia"/>
                <w:color w:val="auto"/>
                <w:szCs w:val="21"/>
              </w:rPr>
              <w:t>处理器：2颗x86架构处理器，每颗处理器主频≥2.2Ghz，核数≥28核；内存：≥256GB DDR5内存；系统盘: ≥2块480GB SATA SSD；元数据盘：≥2*3.84TB NVME SSD；数据盘：提供≥30个盘位，满配，总容量≥576TB SATA HDD；存储网：≥2张双端口100G网卡；≥1张双端口25G网卡；服务：五年免费整机硬件质保，原厂工程师上门服务。</w:t>
            </w:r>
          </w:p>
          <w:p w14:paraId="242F9F0C">
            <w:pPr>
              <w:rPr>
                <w:color w:val="auto"/>
                <w:szCs w:val="21"/>
              </w:rPr>
            </w:pPr>
            <w:r>
              <w:rPr>
                <w:rFonts w:hint="eastAsia"/>
                <w:color w:val="auto"/>
                <w:szCs w:val="21"/>
              </w:rPr>
              <w:t>9、</w:t>
            </w:r>
            <w:r>
              <w:rPr>
                <w:rFonts w:hint="eastAsia"/>
                <w:color w:val="auto"/>
              </w:rPr>
              <w:t>根据采购人使用需求免费开放相应功能或特性，根据用户需求调整存储可用空间方案。</w:t>
            </w:r>
          </w:p>
        </w:tc>
        <w:tc>
          <w:tcPr>
            <w:tcW w:w="299" w:type="pct"/>
            <w:noWrap/>
            <w:vAlign w:val="center"/>
          </w:tcPr>
          <w:p w14:paraId="0699EEF0">
            <w:pPr>
              <w:rPr>
                <w:color w:val="auto"/>
                <w:szCs w:val="21"/>
              </w:rPr>
            </w:pPr>
            <w:r>
              <w:rPr>
                <w:rFonts w:hint="eastAsia"/>
                <w:color w:val="auto"/>
                <w:szCs w:val="21"/>
              </w:rPr>
              <w:t>1套</w:t>
            </w:r>
          </w:p>
        </w:tc>
      </w:tr>
      <w:tr w14:paraId="4B10E0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207" w:hRule="atLeast"/>
        </w:trPr>
        <w:tc>
          <w:tcPr>
            <w:tcW w:w="394" w:type="pct"/>
            <w:vAlign w:val="center"/>
          </w:tcPr>
          <w:p w14:paraId="6DFE724D">
            <w:pPr>
              <w:rPr>
                <w:color w:val="auto"/>
                <w:szCs w:val="21"/>
              </w:rPr>
            </w:pPr>
            <w:r>
              <w:rPr>
                <w:rFonts w:hint="eastAsia"/>
                <w:color w:val="auto"/>
                <w:szCs w:val="21"/>
              </w:rPr>
              <w:t>4</w:t>
            </w:r>
          </w:p>
        </w:tc>
        <w:tc>
          <w:tcPr>
            <w:tcW w:w="701" w:type="pct"/>
            <w:vAlign w:val="center"/>
          </w:tcPr>
          <w:p w14:paraId="02610ED6">
            <w:pPr>
              <w:jc w:val="center"/>
              <w:rPr>
                <w:color w:val="auto"/>
                <w:szCs w:val="21"/>
              </w:rPr>
            </w:pPr>
            <w:r>
              <w:rPr>
                <w:rFonts w:hint="eastAsia"/>
                <w:color w:val="auto"/>
                <w:szCs w:val="21"/>
              </w:rPr>
              <w:t>核心交换机</w:t>
            </w:r>
          </w:p>
        </w:tc>
        <w:tc>
          <w:tcPr>
            <w:tcW w:w="3604" w:type="pct"/>
            <w:tcBorders>
              <w:top w:val="single" w:color="auto" w:sz="4" w:space="0"/>
            </w:tcBorders>
          </w:tcPr>
          <w:p w14:paraId="6E883DCD">
            <w:pPr>
              <w:widowControl/>
              <w:jc w:val="left"/>
              <w:rPr>
                <w:color w:val="auto"/>
                <w:szCs w:val="21"/>
              </w:rPr>
            </w:pPr>
            <w:r>
              <w:rPr>
                <w:rFonts w:hint="eastAsia"/>
                <w:color w:val="auto"/>
                <w:szCs w:val="21"/>
              </w:rPr>
              <w:t>1、性能：交换容量≥6.4Tbps，包转发率≥2000Mpps，以官网最小值为准；</w:t>
            </w:r>
          </w:p>
          <w:p w14:paraId="02E7977D">
            <w:pPr>
              <w:widowControl/>
              <w:jc w:val="left"/>
              <w:rPr>
                <w:color w:val="auto"/>
                <w:szCs w:val="21"/>
              </w:rPr>
            </w:pPr>
            <w:r>
              <w:rPr>
                <w:rFonts w:hint="eastAsia"/>
                <w:color w:val="auto"/>
                <w:szCs w:val="21"/>
              </w:rPr>
              <w:t>▲2、端口：整机支持≥4个业务插槽，本次提供≥32个100GE端口；提供≥30个100G多模光模块，≥1根100G堆叠线缆；</w:t>
            </w:r>
          </w:p>
          <w:p w14:paraId="32C49FA5">
            <w:pPr>
              <w:widowControl/>
              <w:jc w:val="left"/>
              <w:rPr>
                <w:color w:val="auto"/>
                <w:szCs w:val="21"/>
              </w:rPr>
            </w:pPr>
            <w:r>
              <w:rPr>
                <w:rFonts w:hint="eastAsia"/>
                <w:color w:val="auto"/>
                <w:szCs w:val="21"/>
              </w:rPr>
              <w:t>3、电源：满配交流热插拔模块化电源；</w:t>
            </w:r>
          </w:p>
          <w:p w14:paraId="3E076699">
            <w:pPr>
              <w:widowControl/>
              <w:jc w:val="left"/>
              <w:rPr>
                <w:color w:val="auto"/>
                <w:szCs w:val="21"/>
              </w:rPr>
            </w:pPr>
            <w:r>
              <w:rPr>
                <w:rFonts w:hint="eastAsia"/>
                <w:color w:val="auto"/>
                <w:szCs w:val="21"/>
              </w:rPr>
              <w:t>4、配件：满配热插拔模块化风扇；</w:t>
            </w:r>
          </w:p>
          <w:p w14:paraId="592110AC">
            <w:pPr>
              <w:widowControl/>
              <w:jc w:val="left"/>
              <w:rPr>
                <w:color w:val="auto"/>
                <w:szCs w:val="21"/>
              </w:rPr>
            </w:pPr>
            <w:r>
              <w:rPr>
                <w:rFonts w:hint="eastAsia"/>
                <w:color w:val="auto"/>
                <w:szCs w:val="21"/>
              </w:rPr>
              <w:t>5、数据中心特性：</w:t>
            </w:r>
            <w:r>
              <w:rPr>
                <w:color w:val="auto"/>
                <w:szCs w:val="21"/>
              </w:rPr>
              <w:t>支持VxLAN Mapping</w:t>
            </w:r>
            <w:r>
              <w:rPr>
                <w:rFonts w:hint="eastAsia"/>
                <w:color w:val="auto"/>
                <w:szCs w:val="21"/>
              </w:rPr>
              <w:t>，支持QinQ in VxLAN，支持BGP-EVPN。</w:t>
            </w:r>
          </w:p>
        </w:tc>
        <w:tc>
          <w:tcPr>
            <w:tcW w:w="299" w:type="pct"/>
            <w:noWrap/>
            <w:vAlign w:val="center"/>
          </w:tcPr>
          <w:p w14:paraId="6E31006C">
            <w:pPr>
              <w:jc w:val="center"/>
              <w:rPr>
                <w:color w:val="auto"/>
                <w:szCs w:val="21"/>
              </w:rPr>
            </w:pPr>
            <w:r>
              <w:rPr>
                <w:rFonts w:hint="eastAsia"/>
                <w:color w:val="auto"/>
                <w:szCs w:val="21"/>
              </w:rPr>
              <w:t>2台</w:t>
            </w:r>
          </w:p>
        </w:tc>
      </w:tr>
      <w:tr w14:paraId="4853C5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316" w:hRule="atLeast"/>
        </w:trPr>
        <w:tc>
          <w:tcPr>
            <w:tcW w:w="394" w:type="pct"/>
            <w:vAlign w:val="center"/>
          </w:tcPr>
          <w:p w14:paraId="1F76E4C4">
            <w:pPr>
              <w:jc w:val="center"/>
              <w:rPr>
                <w:color w:val="auto"/>
                <w:szCs w:val="21"/>
              </w:rPr>
            </w:pPr>
            <w:r>
              <w:rPr>
                <w:rFonts w:hint="eastAsia"/>
                <w:color w:val="auto"/>
                <w:szCs w:val="21"/>
              </w:rPr>
              <w:t>5</w:t>
            </w:r>
          </w:p>
        </w:tc>
        <w:tc>
          <w:tcPr>
            <w:tcW w:w="701" w:type="pct"/>
            <w:vAlign w:val="center"/>
          </w:tcPr>
          <w:p w14:paraId="5943C5DA">
            <w:pPr>
              <w:jc w:val="center"/>
              <w:rPr>
                <w:color w:val="auto"/>
                <w:szCs w:val="21"/>
              </w:rPr>
            </w:pPr>
            <w:r>
              <w:rPr>
                <w:rFonts w:hint="eastAsia"/>
                <w:color w:val="auto"/>
                <w:szCs w:val="21"/>
              </w:rPr>
              <w:t>监控网络交换机</w:t>
            </w:r>
          </w:p>
        </w:tc>
        <w:tc>
          <w:tcPr>
            <w:tcW w:w="3604" w:type="pct"/>
            <w:tcBorders>
              <w:top w:val="single" w:color="auto" w:sz="4" w:space="0"/>
            </w:tcBorders>
          </w:tcPr>
          <w:p w14:paraId="422294B6">
            <w:pPr>
              <w:rPr>
                <w:color w:val="auto"/>
                <w:szCs w:val="21"/>
              </w:rPr>
            </w:pPr>
            <w:r>
              <w:rPr>
                <w:rFonts w:hint="eastAsia"/>
                <w:color w:val="auto"/>
                <w:szCs w:val="21"/>
              </w:rPr>
              <w:t>1、性能：交换容量≥680Gbps，包转发率≥200Mpps，以官网最小值为准；</w:t>
            </w:r>
          </w:p>
          <w:p w14:paraId="4C7866F0">
            <w:pPr>
              <w:rPr>
                <w:color w:val="auto"/>
                <w:szCs w:val="21"/>
              </w:rPr>
            </w:pPr>
            <w:r>
              <w:rPr>
                <w:rFonts w:hint="eastAsia"/>
                <w:color w:val="auto"/>
                <w:szCs w:val="21"/>
              </w:rPr>
              <w:t>2、整机提供≥48个千兆电口，提供≥4个10GE端口；提供≥4个万兆多模光模块，≥1根10G堆叠线缆；满配同速度等级要求的光模块及线缆，具体长度以实际需求为准；</w:t>
            </w:r>
          </w:p>
          <w:p w14:paraId="6F685AA6">
            <w:pPr>
              <w:rPr>
                <w:color w:val="auto"/>
                <w:szCs w:val="21"/>
              </w:rPr>
            </w:pPr>
            <w:r>
              <w:rPr>
                <w:rFonts w:hint="eastAsia"/>
                <w:color w:val="auto"/>
                <w:szCs w:val="21"/>
              </w:rPr>
              <w:t>3、满配模块化热插拔电源模块；</w:t>
            </w:r>
          </w:p>
          <w:p w14:paraId="18568CBF">
            <w:pPr>
              <w:rPr>
                <w:color w:val="auto"/>
                <w:szCs w:val="21"/>
              </w:rPr>
            </w:pPr>
            <w:r>
              <w:rPr>
                <w:rFonts w:hint="eastAsia"/>
                <w:color w:val="auto"/>
                <w:szCs w:val="21"/>
              </w:rPr>
              <w:t>4、路由协议：支持RIP、RIPng、OSPF、OSPFv3、ISIS、ISISv6、BGP、BGP4+等动态路由协议；</w:t>
            </w:r>
          </w:p>
          <w:p w14:paraId="4BCAEE80">
            <w:pPr>
              <w:rPr>
                <w:color w:val="auto"/>
                <w:szCs w:val="21"/>
              </w:rPr>
            </w:pPr>
            <w:r>
              <w:rPr>
                <w:rFonts w:hint="eastAsia"/>
                <w:color w:val="auto"/>
                <w:szCs w:val="21"/>
              </w:rPr>
              <w:t>5、可靠性：支持堆叠或M-LAG。</w:t>
            </w:r>
          </w:p>
        </w:tc>
        <w:tc>
          <w:tcPr>
            <w:tcW w:w="299" w:type="pct"/>
            <w:noWrap/>
            <w:vAlign w:val="center"/>
          </w:tcPr>
          <w:p w14:paraId="63C46CAD">
            <w:pPr>
              <w:jc w:val="center"/>
              <w:rPr>
                <w:color w:val="auto"/>
                <w:szCs w:val="21"/>
              </w:rPr>
            </w:pPr>
            <w:r>
              <w:rPr>
                <w:rFonts w:hint="eastAsia"/>
                <w:color w:val="auto"/>
                <w:szCs w:val="21"/>
              </w:rPr>
              <w:t>2台</w:t>
            </w:r>
          </w:p>
        </w:tc>
      </w:tr>
      <w:tr w14:paraId="18C4F8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90" w:hRule="atLeast"/>
        </w:trPr>
        <w:tc>
          <w:tcPr>
            <w:tcW w:w="394" w:type="pct"/>
            <w:vAlign w:val="center"/>
          </w:tcPr>
          <w:p w14:paraId="4E901842">
            <w:pPr>
              <w:jc w:val="center"/>
              <w:rPr>
                <w:color w:val="auto"/>
                <w:szCs w:val="21"/>
              </w:rPr>
            </w:pPr>
            <w:r>
              <w:rPr>
                <w:rFonts w:hint="eastAsia"/>
                <w:color w:val="auto"/>
                <w:szCs w:val="21"/>
              </w:rPr>
              <w:t>6</w:t>
            </w:r>
          </w:p>
        </w:tc>
        <w:tc>
          <w:tcPr>
            <w:tcW w:w="701" w:type="pct"/>
            <w:vAlign w:val="center"/>
          </w:tcPr>
          <w:p w14:paraId="425BDCF1">
            <w:pPr>
              <w:jc w:val="center"/>
              <w:rPr>
                <w:color w:val="auto"/>
                <w:szCs w:val="21"/>
              </w:rPr>
            </w:pPr>
            <w:r>
              <w:rPr>
                <w:rFonts w:hint="eastAsia"/>
                <w:color w:val="auto"/>
                <w:szCs w:val="21"/>
              </w:rPr>
              <w:t>管理网络交换机</w:t>
            </w:r>
          </w:p>
        </w:tc>
        <w:tc>
          <w:tcPr>
            <w:tcW w:w="3604" w:type="pct"/>
            <w:tcBorders>
              <w:top w:val="single" w:color="auto" w:sz="4" w:space="0"/>
            </w:tcBorders>
          </w:tcPr>
          <w:p w14:paraId="539DD8CB">
            <w:pPr>
              <w:rPr>
                <w:color w:val="auto"/>
                <w:szCs w:val="21"/>
              </w:rPr>
            </w:pPr>
            <w:r>
              <w:rPr>
                <w:rFonts w:hint="eastAsia"/>
                <w:color w:val="auto"/>
                <w:szCs w:val="21"/>
              </w:rPr>
              <w:t>1、性能：交换容量≥4.8Tbps，包转发率≥2000Mpps；以官网最小值为准；</w:t>
            </w:r>
          </w:p>
          <w:p w14:paraId="78D9C3B2">
            <w:pPr>
              <w:rPr>
                <w:color w:val="auto"/>
                <w:szCs w:val="21"/>
              </w:rPr>
            </w:pPr>
            <w:r>
              <w:rPr>
                <w:rFonts w:hint="eastAsia"/>
                <w:color w:val="auto"/>
                <w:szCs w:val="21"/>
              </w:rPr>
              <w:t>▲2、端口：整机提供≥48个10GE/25G端口，提供≥8个100GE端口；提供≥48个25G光模块，≥1根100G堆叠线缆，≥6个100G多模光模块；满配同速度等级要求的光模块及线缆，具体长度以实际需求为准；</w:t>
            </w:r>
          </w:p>
          <w:p w14:paraId="4B8FF8DF">
            <w:pPr>
              <w:rPr>
                <w:color w:val="auto"/>
                <w:szCs w:val="21"/>
              </w:rPr>
            </w:pPr>
            <w:r>
              <w:rPr>
                <w:rFonts w:hint="eastAsia"/>
                <w:color w:val="auto"/>
                <w:szCs w:val="21"/>
              </w:rPr>
              <w:t>3、电源：满配交流热插拔模块化电源；</w:t>
            </w:r>
          </w:p>
          <w:p w14:paraId="119B034F">
            <w:pPr>
              <w:rPr>
                <w:color w:val="auto"/>
                <w:szCs w:val="21"/>
              </w:rPr>
            </w:pPr>
            <w:r>
              <w:rPr>
                <w:rFonts w:hint="eastAsia"/>
                <w:color w:val="auto"/>
                <w:szCs w:val="21"/>
              </w:rPr>
              <w:t>4、配件：满配热插拔模块化风扇；</w:t>
            </w:r>
          </w:p>
          <w:p w14:paraId="5A8F7886">
            <w:pPr>
              <w:rPr>
                <w:color w:val="auto"/>
                <w:szCs w:val="21"/>
              </w:rPr>
            </w:pPr>
            <w:r>
              <w:rPr>
                <w:rFonts w:hint="eastAsia"/>
                <w:color w:val="auto"/>
                <w:szCs w:val="21"/>
              </w:rPr>
              <w:t>▲5、数据中心特性：支持RDMA无损网络，支持PFC、ECN。</w:t>
            </w:r>
          </w:p>
        </w:tc>
        <w:tc>
          <w:tcPr>
            <w:tcW w:w="299" w:type="pct"/>
            <w:noWrap/>
            <w:vAlign w:val="center"/>
          </w:tcPr>
          <w:p w14:paraId="6986CE65">
            <w:pPr>
              <w:jc w:val="center"/>
              <w:rPr>
                <w:color w:val="auto"/>
                <w:szCs w:val="21"/>
              </w:rPr>
            </w:pPr>
            <w:r>
              <w:rPr>
                <w:rFonts w:hint="eastAsia"/>
                <w:color w:val="auto"/>
                <w:szCs w:val="21"/>
              </w:rPr>
              <w:t>2台</w:t>
            </w:r>
          </w:p>
        </w:tc>
      </w:tr>
      <w:tr w14:paraId="488484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316" w:hRule="atLeast"/>
        </w:trPr>
        <w:tc>
          <w:tcPr>
            <w:tcW w:w="394" w:type="pct"/>
            <w:vAlign w:val="center"/>
          </w:tcPr>
          <w:p w14:paraId="513A7F5D">
            <w:pPr>
              <w:jc w:val="center"/>
              <w:rPr>
                <w:color w:val="auto"/>
                <w:szCs w:val="21"/>
              </w:rPr>
            </w:pPr>
            <w:r>
              <w:rPr>
                <w:rFonts w:hint="eastAsia"/>
                <w:color w:val="auto"/>
                <w:szCs w:val="21"/>
              </w:rPr>
              <w:t>7</w:t>
            </w:r>
          </w:p>
        </w:tc>
        <w:tc>
          <w:tcPr>
            <w:tcW w:w="701" w:type="pct"/>
            <w:vAlign w:val="center"/>
          </w:tcPr>
          <w:p w14:paraId="06D47C4E">
            <w:pPr>
              <w:jc w:val="center"/>
              <w:rPr>
                <w:color w:val="auto"/>
                <w:szCs w:val="21"/>
              </w:rPr>
            </w:pPr>
            <w:r>
              <w:rPr>
                <w:rFonts w:hint="eastAsia"/>
                <w:color w:val="auto"/>
                <w:szCs w:val="21"/>
              </w:rPr>
              <w:t>业务网络交换机</w:t>
            </w:r>
          </w:p>
        </w:tc>
        <w:tc>
          <w:tcPr>
            <w:tcW w:w="3604" w:type="pct"/>
            <w:tcBorders>
              <w:top w:val="single" w:color="auto" w:sz="4" w:space="0"/>
            </w:tcBorders>
          </w:tcPr>
          <w:p w14:paraId="0D092F87">
            <w:pPr>
              <w:rPr>
                <w:color w:val="auto"/>
                <w:szCs w:val="21"/>
              </w:rPr>
            </w:pPr>
            <w:r>
              <w:rPr>
                <w:rFonts w:hint="eastAsia"/>
                <w:color w:val="auto"/>
                <w:szCs w:val="21"/>
              </w:rPr>
              <w:t>1、性能：交换容量≥8Tbps，包转发率≥2400Mpps，以官网最小值为准；</w:t>
            </w:r>
          </w:p>
          <w:p w14:paraId="2516CF0F">
            <w:pPr>
              <w:rPr>
                <w:color w:val="auto"/>
                <w:szCs w:val="21"/>
              </w:rPr>
            </w:pPr>
            <w:r>
              <w:rPr>
                <w:rFonts w:hint="eastAsia"/>
                <w:color w:val="auto"/>
                <w:szCs w:val="21"/>
              </w:rPr>
              <w:t>▲2、端口：整机提供≥48个10GE/25GE光口, ≥8个100GE光口，提供≥48个25GE多模光模块，≥1根100G堆叠线缆，≥6个100GE多模光模块；满配同速度等级要求的光模块及线缆，具体长度以实际需求为准；</w:t>
            </w:r>
          </w:p>
          <w:p w14:paraId="5B6E24D3">
            <w:pPr>
              <w:rPr>
                <w:color w:val="auto"/>
                <w:szCs w:val="21"/>
              </w:rPr>
            </w:pPr>
            <w:r>
              <w:rPr>
                <w:rFonts w:hint="eastAsia"/>
                <w:color w:val="auto"/>
                <w:szCs w:val="21"/>
              </w:rPr>
              <w:t>3、电源：满配交流热插拔模块化电源；</w:t>
            </w:r>
          </w:p>
          <w:p w14:paraId="4A10FFAD">
            <w:pPr>
              <w:rPr>
                <w:color w:val="auto"/>
                <w:szCs w:val="21"/>
              </w:rPr>
            </w:pPr>
            <w:r>
              <w:rPr>
                <w:rFonts w:hint="eastAsia"/>
                <w:color w:val="auto"/>
                <w:szCs w:val="21"/>
              </w:rPr>
              <w:t>4、配件：满配热插拔模块化风扇；</w:t>
            </w:r>
          </w:p>
          <w:p w14:paraId="2D5ACE4B">
            <w:pPr>
              <w:rPr>
                <w:color w:val="auto"/>
                <w:szCs w:val="21"/>
              </w:rPr>
            </w:pPr>
            <w:r>
              <w:rPr>
                <w:rFonts w:hint="eastAsia"/>
                <w:color w:val="auto"/>
                <w:szCs w:val="21"/>
              </w:rPr>
              <w:t>▲5、数据中心特性：支持RDMA无损网络，支持PFC、ECN。</w:t>
            </w:r>
          </w:p>
        </w:tc>
        <w:tc>
          <w:tcPr>
            <w:tcW w:w="299" w:type="pct"/>
            <w:noWrap/>
            <w:vAlign w:val="center"/>
          </w:tcPr>
          <w:p w14:paraId="27D68652">
            <w:pPr>
              <w:jc w:val="center"/>
              <w:rPr>
                <w:color w:val="auto"/>
                <w:szCs w:val="21"/>
              </w:rPr>
            </w:pPr>
            <w:r>
              <w:rPr>
                <w:rFonts w:hint="eastAsia"/>
                <w:color w:val="auto"/>
                <w:szCs w:val="21"/>
              </w:rPr>
              <w:t>4台</w:t>
            </w:r>
          </w:p>
        </w:tc>
      </w:tr>
      <w:tr w14:paraId="7A5DFD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90" w:hRule="atLeast"/>
        </w:trPr>
        <w:tc>
          <w:tcPr>
            <w:tcW w:w="394" w:type="pct"/>
            <w:vAlign w:val="center"/>
          </w:tcPr>
          <w:p w14:paraId="758079DF">
            <w:pPr>
              <w:jc w:val="center"/>
              <w:rPr>
                <w:color w:val="auto"/>
                <w:szCs w:val="21"/>
              </w:rPr>
            </w:pPr>
            <w:r>
              <w:rPr>
                <w:rFonts w:hint="eastAsia"/>
                <w:color w:val="auto"/>
                <w:szCs w:val="21"/>
              </w:rPr>
              <w:t>8</w:t>
            </w:r>
          </w:p>
        </w:tc>
        <w:tc>
          <w:tcPr>
            <w:tcW w:w="701" w:type="pct"/>
            <w:vAlign w:val="center"/>
          </w:tcPr>
          <w:p w14:paraId="5573D4B4">
            <w:pPr>
              <w:jc w:val="center"/>
              <w:rPr>
                <w:color w:val="auto"/>
                <w:szCs w:val="21"/>
              </w:rPr>
            </w:pPr>
            <w:r>
              <w:rPr>
                <w:rFonts w:hint="eastAsia"/>
                <w:color w:val="auto"/>
                <w:szCs w:val="21"/>
              </w:rPr>
              <w:t>计算网络交换机</w:t>
            </w:r>
          </w:p>
        </w:tc>
        <w:tc>
          <w:tcPr>
            <w:tcW w:w="3604" w:type="pct"/>
            <w:tcBorders>
              <w:top w:val="single" w:color="auto" w:sz="4" w:space="0"/>
            </w:tcBorders>
          </w:tcPr>
          <w:p w14:paraId="7A89020D">
            <w:pPr>
              <w:rPr>
                <w:color w:val="auto"/>
                <w:szCs w:val="21"/>
              </w:rPr>
            </w:pPr>
            <w:r>
              <w:rPr>
                <w:rFonts w:hint="eastAsia"/>
                <w:color w:val="auto"/>
                <w:szCs w:val="21"/>
              </w:rPr>
              <w:t>1、性能：包转发率≥20000Mpps，交换容量≥50Tbps，以官网最小值为准；</w:t>
            </w:r>
          </w:p>
          <w:p w14:paraId="591CA02A">
            <w:pPr>
              <w:rPr>
                <w:color w:val="auto"/>
                <w:szCs w:val="21"/>
              </w:rPr>
            </w:pPr>
            <w:r>
              <w:rPr>
                <w:rFonts w:hint="eastAsia"/>
                <w:color w:val="auto"/>
                <w:szCs w:val="21"/>
              </w:rPr>
              <w:t>▲2、端口：整机提供≥128个400G端口，实配≥48个400G光模块，实配≥96个200G多模光模块，实配≥48根一分二互联线缆，长度以实际需求为准；</w:t>
            </w:r>
          </w:p>
          <w:p w14:paraId="18646C38">
            <w:pPr>
              <w:rPr>
                <w:color w:val="auto"/>
                <w:szCs w:val="21"/>
              </w:rPr>
            </w:pPr>
            <w:r>
              <w:rPr>
                <w:rFonts w:hint="eastAsia"/>
                <w:color w:val="auto"/>
                <w:szCs w:val="21"/>
              </w:rPr>
              <w:t>3、电源：满配交流热插拔模块化电源；</w:t>
            </w:r>
          </w:p>
          <w:p w14:paraId="4CC85554">
            <w:pPr>
              <w:rPr>
                <w:color w:val="auto"/>
                <w:szCs w:val="21"/>
              </w:rPr>
            </w:pPr>
            <w:r>
              <w:rPr>
                <w:rFonts w:hint="eastAsia"/>
                <w:color w:val="auto"/>
                <w:szCs w:val="21"/>
              </w:rPr>
              <w:t>4、配件：满配热插拔模块化风扇；</w:t>
            </w:r>
          </w:p>
          <w:p w14:paraId="18D6942C">
            <w:pPr>
              <w:rPr>
                <w:color w:val="auto"/>
                <w:szCs w:val="21"/>
              </w:rPr>
            </w:pPr>
            <w:r>
              <w:rPr>
                <w:rFonts w:hint="eastAsia"/>
                <w:color w:val="auto"/>
                <w:szCs w:val="21"/>
              </w:rPr>
              <w:t>▲5、数据中心特性：支持RDMA无损网络功能，支持RoCEv2，支持PFC、ECN，支持AI-ECN动态调优功能，支持RoCE策略自动下发；</w:t>
            </w:r>
          </w:p>
          <w:p w14:paraId="3F7C92D8">
            <w:pPr>
              <w:rPr>
                <w:color w:val="auto"/>
                <w:szCs w:val="21"/>
              </w:rPr>
            </w:pPr>
            <w:r>
              <w:rPr>
                <w:rFonts w:hint="eastAsia"/>
                <w:color w:val="auto"/>
                <w:szCs w:val="21"/>
              </w:rPr>
              <w:t>6、支持ETS、DCBX；</w:t>
            </w:r>
          </w:p>
          <w:p w14:paraId="45DDC7A1">
            <w:pPr>
              <w:rPr>
                <w:color w:val="auto"/>
                <w:szCs w:val="21"/>
              </w:rPr>
            </w:pPr>
            <w:r>
              <w:rPr>
                <w:rFonts w:hint="eastAsia"/>
                <w:color w:val="auto"/>
                <w:szCs w:val="21"/>
              </w:rPr>
              <w:t>7、光模块类型为</w:t>
            </w:r>
            <w:r>
              <w:rPr>
                <w:color w:val="auto"/>
                <w:szCs w:val="21"/>
              </w:rPr>
              <w:t>QSFP112</w:t>
            </w:r>
            <w:r>
              <w:rPr>
                <w:rFonts w:hint="eastAsia"/>
                <w:color w:val="auto"/>
                <w:szCs w:val="21"/>
              </w:rPr>
              <w:t>、</w:t>
            </w:r>
            <w:r>
              <w:rPr>
                <w:color w:val="auto"/>
                <w:szCs w:val="21"/>
              </w:rPr>
              <w:t>QSFP</w:t>
            </w:r>
            <w:r>
              <w:rPr>
                <w:rFonts w:hint="eastAsia"/>
                <w:color w:val="auto"/>
                <w:szCs w:val="21"/>
              </w:rPr>
              <w:t>56；</w:t>
            </w:r>
          </w:p>
        </w:tc>
        <w:tc>
          <w:tcPr>
            <w:tcW w:w="299" w:type="pct"/>
            <w:noWrap/>
            <w:vAlign w:val="center"/>
          </w:tcPr>
          <w:p w14:paraId="2C34A300">
            <w:pPr>
              <w:jc w:val="center"/>
              <w:rPr>
                <w:color w:val="auto"/>
                <w:szCs w:val="21"/>
              </w:rPr>
            </w:pPr>
            <w:r>
              <w:rPr>
                <w:rFonts w:hint="eastAsia"/>
                <w:color w:val="auto"/>
                <w:szCs w:val="21"/>
              </w:rPr>
              <w:t>1台</w:t>
            </w:r>
          </w:p>
        </w:tc>
      </w:tr>
      <w:tr w14:paraId="6394F3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90" w:hRule="atLeast"/>
        </w:trPr>
        <w:tc>
          <w:tcPr>
            <w:tcW w:w="394" w:type="pct"/>
            <w:vAlign w:val="center"/>
          </w:tcPr>
          <w:p w14:paraId="6DC62139">
            <w:pPr>
              <w:jc w:val="center"/>
              <w:rPr>
                <w:color w:val="auto"/>
                <w:szCs w:val="21"/>
              </w:rPr>
            </w:pPr>
            <w:r>
              <w:rPr>
                <w:rFonts w:hint="eastAsia"/>
                <w:color w:val="auto"/>
                <w:szCs w:val="21"/>
              </w:rPr>
              <w:t>9</w:t>
            </w:r>
          </w:p>
        </w:tc>
        <w:tc>
          <w:tcPr>
            <w:tcW w:w="701" w:type="pct"/>
            <w:vAlign w:val="center"/>
          </w:tcPr>
          <w:p w14:paraId="64F57B9F">
            <w:pPr>
              <w:jc w:val="center"/>
              <w:rPr>
                <w:color w:val="auto"/>
                <w:szCs w:val="21"/>
              </w:rPr>
            </w:pPr>
            <w:r>
              <w:rPr>
                <w:rFonts w:hint="eastAsia"/>
                <w:color w:val="auto"/>
                <w:szCs w:val="21"/>
              </w:rPr>
              <w:t>存储网络接入交换机</w:t>
            </w:r>
          </w:p>
        </w:tc>
        <w:tc>
          <w:tcPr>
            <w:tcW w:w="3604" w:type="pct"/>
          </w:tcPr>
          <w:p w14:paraId="517CAA13">
            <w:pPr>
              <w:rPr>
                <w:color w:val="auto"/>
                <w:szCs w:val="21"/>
              </w:rPr>
            </w:pPr>
            <w:r>
              <w:rPr>
                <w:rFonts w:hint="eastAsia"/>
                <w:color w:val="auto"/>
                <w:szCs w:val="21"/>
              </w:rPr>
              <w:t>1、性能：包转发率≥19000Mpps，交换容量≥25Tbps，以官网最小值为准；</w:t>
            </w:r>
          </w:p>
          <w:p w14:paraId="4CB796C8">
            <w:pPr>
              <w:rPr>
                <w:color w:val="auto"/>
                <w:szCs w:val="21"/>
              </w:rPr>
            </w:pPr>
            <w:r>
              <w:rPr>
                <w:rFonts w:hint="eastAsia"/>
                <w:color w:val="auto"/>
                <w:szCs w:val="21"/>
              </w:rPr>
              <w:t>▲2、端口：整机支持≥4个业务槽位，本次提供≥16个400G端口，提供≥64个100G端口；满配100G模块及线缆，具体长度以实际需求为准；</w:t>
            </w:r>
          </w:p>
          <w:p w14:paraId="03C21BBE">
            <w:pPr>
              <w:rPr>
                <w:color w:val="auto"/>
                <w:szCs w:val="21"/>
              </w:rPr>
            </w:pPr>
            <w:r>
              <w:rPr>
                <w:rFonts w:hint="eastAsia"/>
                <w:color w:val="auto"/>
                <w:szCs w:val="21"/>
              </w:rPr>
              <w:t>3、电源：满配交流热插拔模块化电源；</w:t>
            </w:r>
          </w:p>
          <w:p w14:paraId="07290AEC">
            <w:pPr>
              <w:rPr>
                <w:color w:val="auto"/>
                <w:szCs w:val="21"/>
              </w:rPr>
            </w:pPr>
            <w:r>
              <w:rPr>
                <w:rFonts w:hint="eastAsia"/>
                <w:color w:val="auto"/>
                <w:szCs w:val="21"/>
              </w:rPr>
              <w:t>4、配件：满配热插拔模块化风扇；</w:t>
            </w:r>
          </w:p>
          <w:p w14:paraId="353B9516">
            <w:pPr>
              <w:rPr>
                <w:color w:val="auto"/>
                <w:szCs w:val="21"/>
              </w:rPr>
            </w:pPr>
            <w:r>
              <w:rPr>
                <w:rFonts w:hint="eastAsia"/>
                <w:color w:val="auto"/>
                <w:szCs w:val="21"/>
              </w:rPr>
              <w:t>▲5、数据中心特性：支持RDMA无损网络，支持PFC、ECN。</w:t>
            </w:r>
          </w:p>
        </w:tc>
        <w:tc>
          <w:tcPr>
            <w:tcW w:w="299" w:type="pct"/>
            <w:noWrap/>
            <w:vAlign w:val="center"/>
          </w:tcPr>
          <w:p w14:paraId="2EB1519E">
            <w:pPr>
              <w:jc w:val="center"/>
              <w:rPr>
                <w:color w:val="auto"/>
                <w:szCs w:val="21"/>
              </w:rPr>
            </w:pPr>
            <w:r>
              <w:rPr>
                <w:rFonts w:hint="eastAsia"/>
                <w:color w:val="auto"/>
                <w:szCs w:val="21"/>
              </w:rPr>
              <w:t>2台</w:t>
            </w:r>
          </w:p>
        </w:tc>
      </w:tr>
      <w:tr w14:paraId="465649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90" w:hRule="atLeast"/>
        </w:trPr>
        <w:tc>
          <w:tcPr>
            <w:tcW w:w="394" w:type="pct"/>
            <w:vAlign w:val="center"/>
          </w:tcPr>
          <w:p w14:paraId="5626573E">
            <w:pPr>
              <w:jc w:val="center"/>
              <w:rPr>
                <w:color w:val="auto"/>
                <w:szCs w:val="21"/>
              </w:rPr>
            </w:pPr>
            <w:r>
              <w:rPr>
                <w:rFonts w:hint="eastAsia"/>
                <w:color w:val="auto"/>
                <w:szCs w:val="21"/>
              </w:rPr>
              <w:t>10</w:t>
            </w:r>
          </w:p>
        </w:tc>
        <w:tc>
          <w:tcPr>
            <w:tcW w:w="701" w:type="pct"/>
            <w:vAlign w:val="center"/>
          </w:tcPr>
          <w:p w14:paraId="17EDD492">
            <w:pPr>
              <w:jc w:val="center"/>
              <w:rPr>
                <w:color w:val="auto"/>
                <w:szCs w:val="21"/>
              </w:rPr>
            </w:pPr>
            <w:r>
              <w:rPr>
                <w:rFonts w:hint="eastAsia"/>
                <w:color w:val="auto"/>
                <w:szCs w:val="21"/>
              </w:rPr>
              <w:t>存储网络汇聚交换机</w:t>
            </w:r>
          </w:p>
        </w:tc>
        <w:tc>
          <w:tcPr>
            <w:tcW w:w="3604" w:type="pct"/>
          </w:tcPr>
          <w:p w14:paraId="4C65A72D">
            <w:pPr>
              <w:rPr>
                <w:color w:val="auto"/>
                <w:szCs w:val="21"/>
              </w:rPr>
            </w:pPr>
            <w:r>
              <w:rPr>
                <w:rFonts w:hint="eastAsia"/>
                <w:color w:val="auto"/>
                <w:szCs w:val="21"/>
              </w:rPr>
              <w:t>1、性能：包转发率≥19000Mpps，交换容量≥25Tbps，以官网最小值为准；</w:t>
            </w:r>
          </w:p>
          <w:p w14:paraId="17B17FE0">
            <w:pPr>
              <w:rPr>
                <w:color w:val="auto"/>
                <w:szCs w:val="21"/>
              </w:rPr>
            </w:pPr>
            <w:r>
              <w:rPr>
                <w:rFonts w:hint="eastAsia"/>
                <w:color w:val="auto"/>
                <w:szCs w:val="21"/>
              </w:rPr>
              <w:t>▲2、端口：整机支持≥4个业务槽位，本次提供≥16个400G端口；满配400G模块及线缆，具体长度以实际需求为准；</w:t>
            </w:r>
          </w:p>
          <w:p w14:paraId="0288AACE">
            <w:pPr>
              <w:rPr>
                <w:color w:val="auto"/>
                <w:szCs w:val="21"/>
              </w:rPr>
            </w:pPr>
            <w:r>
              <w:rPr>
                <w:rFonts w:hint="eastAsia"/>
                <w:color w:val="auto"/>
                <w:szCs w:val="21"/>
              </w:rPr>
              <w:t>3、电源：满配交流热插拔模块化电源；</w:t>
            </w:r>
          </w:p>
          <w:p w14:paraId="638D4DF5">
            <w:pPr>
              <w:rPr>
                <w:color w:val="auto"/>
                <w:szCs w:val="21"/>
              </w:rPr>
            </w:pPr>
            <w:r>
              <w:rPr>
                <w:rFonts w:hint="eastAsia"/>
                <w:color w:val="auto"/>
                <w:szCs w:val="21"/>
              </w:rPr>
              <w:t>4、配件：满配热插拔模块化风扇；</w:t>
            </w:r>
          </w:p>
          <w:p w14:paraId="56998FFD">
            <w:pPr>
              <w:rPr>
                <w:color w:val="auto"/>
                <w:szCs w:val="21"/>
              </w:rPr>
            </w:pPr>
            <w:r>
              <w:rPr>
                <w:rFonts w:hint="eastAsia"/>
                <w:color w:val="auto"/>
                <w:szCs w:val="21"/>
              </w:rPr>
              <w:t>▲5、数据中心特性：支持RDMA无损网络，支持PFC、ECN。</w:t>
            </w:r>
          </w:p>
        </w:tc>
        <w:tc>
          <w:tcPr>
            <w:tcW w:w="299" w:type="pct"/>
            <w:noWrap/>
            <w:vAlign w:val="center"/>
          </w:tcPr>
          <w:p w14:paraId="250184F4">
            <w:pPr>
              <w:jc w:val="center"/>
              <w:rPr>
                <w:color w:val="auto"/>
                <w:szCs w:val="21"/>
              </w:rPr>
            </w:pPr>
            <w:r>
              <w:rPr>
                <w:rFonts w:hint="eastAsia"/>
                <w:color w:val="auto"/>
                <w:szCs w:val="21"/>
              </w:rPr>
              <w:t>2台</w:t>
            </w:r>
          </w:p>
        </w:tc>
      </w:tr>
      <w:tr w14:paraId="0607B2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845" w:hRule="atLeast"/>
        </w:trPr>
        <w:tc>
          <w:tcPr>
            <w:tcW w:w="394" w:type="pct"/>
            <w:vAlign w:val="center"/>
          </w:tcPr>
          <w:p w14:paraId="4AC0FA1A">
            <w:pPr>
              <w:jc w:val="center"/>
              <w:rPr>
                <w:color w:val="auto"/>
                <w:szCs w:val="21"/>
              </w:rPr>
            </w:pPr>
            <w:r>
              <w:rPr>
                <w:rFonts w:hint="eastAsia"/>
                <w:color w:val="auto"/>
                <w:szCs w:val="21"/>
              </w:rPr>
              <w:t>11</w:t>
            </w:r>
          </w:p>
        </w:tc>
        <w:tc>
          <w:tcPr>
            <w:tcW w:w="701" w:type="pct"/>
            <w:vAlign w:val="center"/>
          </w:tcPr>
          <w:p w14:paraId="4F2A3417">
            <w:pPr>
              <w:jc w:val="center"/>
              <w:rPr>
                <w:color w:val="auto"/>
                <w:szCs w:val="21"/>
              </w:rPr>
            </w:pPr>
            <w:r>
              <w:rPr>
                <w:rFonts w:hint="eastAsia"/>
                <w:color w:val="auto"/>
                <w:szCs w:val="21"/>
              </w:rPr>
              <w:t>无损网络管理软件</w:t>
            </w:r>
          </w:p>
        </w:tc>
        <w:tc>
          <w:tcPr>
            <w:tcW w:w="3604" w:type="pct"/>
          </w:tcPr>
          <w:p w14:paraId="5FC57A19">
            <w:pPr>
              <w:rPr>
                <w:color w:val="auto"/>
                <w:szCs w:val="21"/>
              </w:rPr>
            </w:pPr>
            <w:r>
              <w:rPr>
                <w:rFonts w:hint="eastAsia"/>
                <w:color w:val="auto"/>
                <w:szCs w:val="21"/>
              </w:rPr>
              <w:t>1、基于RoCE的无损网络自动化：GPU端侧配置自动化部署，包括IP地址、网卡RoCE配置等；RoCE网络设备的RoCE策略自动化部署，内置设备最优RoCE水线配置模版；</w:t>
            </w:r>
          </w:p>
          <w:p w14:paraId="54B05477">
            <w:pPr>
              <w:rPr>
                <w:color w:val="auto"/>
                <w:szCs w:val="21"/>
              </w:rPr>
            </w:pPr>
            <w:r>
              <w:rPr>
                <w:rFonts w:hint="eastAsia"/>
                <w:color w:val="auto"/>
                <w:szCs w:val="21"/>
              </w:rPr>
              <w:t>2、网络调优能力：支持通过控制器配置专家推荐PFC调优参数（包括HeadRoom、死锁检测等），支持通过控制器配置专家推荐ECN调优参数，支持多种款型设备内置模版；</w:t>
            </w:r>
          </w:p>
          <w:p w14:paraId="77D419A3">
            <w:pPr>
              <w:rPr>
                <w:color w:val="auto"/>
                <w:szCs w:val="21"/>
              </w:rPr>
            </w:pPr>
            <w:r>
              <w:rPr>
                <w:rFonts w:hint="eastAsia"/>
                <w:color w:val="auto"/>
                <w:szCs w:val="21"/>
              </w:rPr>
              <w:t>3、极简部署：参数网主机IP支持自动化分配，支持静态配置；</w:t>
            </w:r>
          </w:p>
          <w:p w14:paraId="7E1D44D2">
            <w:pPr>
              <w:rPr>
                <w:color w:val="auto"/>
                <w:szCs w:val="21"/>
              </w:rPr>
            </w:pPr>
            <w:r>
              <w:rPr>
                <w:rFonts w:hint="eastAsia"/>
                <w:color w:val="auto"/>
                <w:szCs w:val="21"/>
              </w:rPr>
              <w:t>▲4、RoCE参数监控可视：可以统计每台服务器的ECN报文数以及PFC pause帧的收发包数，展示统计数据的历史趋势，方便管理员识别网络中的拥塞情况，方便解决性能问题或调优；</w:t>
            </w:r>
          </w:p>
          <w:p w14:paraId="7EB9D73A">
            <w:pPr>
              <w:rPr>
                <w:color w:val="auto"/>
                <w:szCs w:val="21"/>
              </w:rPr>
            </w:pPr>
            <w:r>
              <w:rPr>
                <w:rFonts w:hint="eastAsia"/>
                <w:color w:val="auto"/>
                <w:szCs w:val="21"/>
              </w:rPr>
              <w:t>5、服务器扩容后网络配置的动态下发：服务器扩容后网络配置的动态下发；</w:t>
            </w:r>
          </w:p>
          <w:p w14:paraId="3BC39DDC">
            <w:pPr>
              <w:rPr>
                <w:color w:val="auto"/>
                <w:szCs w:val="21"/>
              </w:rPr>
            </w:pPr>
            <w:r>
              <w:rPr>
                <w:rFonts w:hint="eastAsia"/>
                <w:color w:val="auto"/>
                <w:szCs w:val="21"/>
              </w:rPr>
              <w:t>6、训练中可视：实时监控训练中作业的卡间路径，会话列表，流量信息等关键指标，支持训练过程中的常见故障监控，并支持根据流路径逐跳故障定位；</w:t>
            </w:r>
          </w:p>
          <w:p w14:paraId="1F509DCF">
            <w:pPr>
              <w:rPr>
                <w:color w:val="auto"/>
                <w:szCs w:val="21"/>
              </w:rPr>
            </w:pPr>
            <w:r>
              <w:rPr>
                <w:rFonts w:hint="eastAsia"/>
                <w:color w:val="auto"/>
                <w:szCs w:val="21"/>
              </w:rPr>
              <w:t>▲7、端到端性能测试：具备端到端压测的能力，包括端侧连通性检查、网络性能检查等，支持自动化开启，支持效果可视；</w:t>
            </w:r>
          </w:p>
          <w:p w14:paraId="21F604D2">
            <w:pPr>
              <w:rPr>
                <w:color w:val="auto"/>
                <w:szCs w:val="21"/>
              </w:rPr>
            </w:pPr>
            <w:r>
              <w:rPr>
                <w:rFonts w:hint="eastAsia"/>
                <w:color w:val="auto"/>
                <w:szCs w:val="21"/>
              </w:rPr>
              <w:t>▲8、光模块健康检测：支持光模块功率、温度、电流、电压、CRC等多维度指标收集和健康度分析。光链路异常衰减检查、光功率功率异常检查、光链路闪断告警，并支持用户自定义设置光功率阈值，支持交换机与主机侧光模块指标收集和分析；</w:t>
            </w:r>
          </w:p>
          <w:p w14:paraId="3A301AE2">
            <w:pPr>
              <w:rPr>
                <w:color w:val="auto"/>
                <w:szCs w:val="21"/>
              </w:rPr>
            </w:pPr>
            <w:r>
              <w:rPr>
                <w:rFonts w:hint="eastAsia"/>
                <w:color w:val="auto"/>
                <w:szCs w:val="21"/>
              </w:rPr>
              <w:t>9、</w:t>
            </w:r>
            <w:r>
              <w:rPr>
                <w:rFonts w:hint="eastAsia"/>
                <w:color w:val="auto"/>
              </w:rPr>
              <w:t>根据采购人使用需求免费开放相应功能或特性。</w:t>
            </w:r>
          </w:p>
        </w:tc>
        <w:tc>
          <w:tcPr>
            <w:tcW w:w="299" w:type="pct"/>
            <w:noWrap/>
            <w:vAlign w:val="center"/>
          </w:tcPr>
          <w:p w14:paraId="142081E1">
            <w:pPr>
              <w:jc w:val="center"/>
              <w:rPr>
                <w:color w:val="auto"/>
                <w:szCs w:val="21"/>
              </w:rPr>
            </w:pPr>
            <w:r>
              <w:rPr>
                <w:rFonts w:hint="eastAsia"/>
                <w:color w:val="auto"/>
                <w:szCs w:val="21"/>
              </w:rPr>
              <w:t>1套</w:t>
            </w:r>
          </w:p>
        </w:tc>
      </w:tr>
      <w:tr w14:paraId="60C6F8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90" w:hRule="atLeast"/>
        </w:trPr>
        <w:tc>
          <w:tcPr>
            <w:tcW w:w="394" w:type="pct"/>
            <w:vAlign w:val="center"/>
          </w:tcPr>
          <w:p w14:paraId="712A0FA7">
            <w:pPr>
              <w:jc w:val="center"/>
              <w:rPr>
                <w:color w:val="auto"/>
                <w:sz w:val="22"/>
                <w:szCs w:val="22"/>
              </w:rPr>
            </w:pPr>
            <w:r>
              <w:rPr>
                <w:rFonts w:hint="eastAsia"/>
                <w:color w:val="auto"/>
                <w:szCs w:val="21"/>
              </w:rPr>
              <w:t xml:space="preserve">12 </w:t>
            </w:r>
          </w:p>
        </w:tc>
        <w:tc>
          <w:tcPr>
            <w:tcW w:w="701" w:type="pct"/>
            <w:vAlign w:val="center"/>
          </w:tcPr>
          <w:p w14:paraId="3D2DBFF0">
            <w:pPr>
              <w:jc w:val="center"/>
              <w:rPr>
                <w:color w:val="auto"/>
                <w:szCs w:val="21"/>
              </w:rPr>
            </w:pPr>
            <w:r>
              <w:rPr>
                <w:color w:val="auto"/>
                <w:szCs w:val="21"/>
              </w:rPr>
              <w:t>防火墙</w:t>
            </w:r>
          </w:p>
        </w:tc>
        <w:tc>
          <w:tcPr>
            <w:tcW w:w="3604" w:type="pct"/>
          </w:tcPr>
          <w:p w14:paraId="1FBC4FFC">
            <w:pPr>
              <w:rPr>
                <w:color w:val="auto"/>
                <w:szCs w:val="21"/>
              </w:rPr>
            </w:pPr>
            <w:r>
              <w:rPr>
                <w:rFonts w:hint="eastAsia"/>
                <w:color w:val="auto"/>
                <w:szCs w:val="21"/>
              </w:rPr>
              <w:t>1、设备形态：提供≥6个100G光口，提供≥16个10G光口；满配交流冗余热插拔模块化电源，满配热插拔模块化风扇；满配100G多模光模块，提供≥10个万兆多模光模块；性能：吞吐量≥200G，新建连接数≥70万，并发连接数≥8000万；NAT功能；URL过滤；入侵防御；防病毒；链路负载均衡；虚拟化功能。</w:t>
            </w:r>
          </w:p>
          <w:p w14:paraId="18EA8E38">
            <w:pPr>
              <w:rPr>
                <w:color w:val="auto"/>
                <w:szCs w:val="21"/>
              </w:rPr>
            </w:pPr>
            <w:r>
              <w:rPr>
                <w:rFonts w:hint="eastAsia"/>
                <w:color w:val="auto"/>
                <w:szCs w:val="21"/>
              </w:rPr>
              <w:t>2、软件授权：配置≥5年病毒库、入侵防御特征库、URL 特征库等服务授权，</w:t>
            </w:r>
            <w:r>
              <w:rPr>
                <w:rFonts w:hint="eastAsia"/>
                <w:color w:val="auto"/>
              </w:rPr>
              <w:t>根据采购人使用需求免费开放相应功能或特性</w:t>
            </w:r>
            <w:r>
              <w:rPr>
                <w:rFonts w:hint="eastAsia"/>
                <w:color w:val="auto"/>
                <w:szCs w:val="21"/>
              </w:rPr>
              <w:t>。</w:t>
            </w:r>
          </w:p>
        </w:tc>
        <w:tc>
          <w:tcPr>
            <w:tcW w:w="299" w:type="pct"/>
            <w:noWrap/>
            <w:vAlign w:val="center"/>
          </w:tcPr>
          <w:p w14:paraId="676564BF">
            <w:pPr>
              <w:jc w:val="center"/>
              <w:rPr>
                <w:color w:val="auto"/>
                <w:szCs w:val="21"/>
              </w:rPr>
            </w:pPr>
            <w:r>
              <w:rPr>
                <w:rFonts w:hint="eastAsia"/>
                <w:color w:val="auto"/>
                <w:szCs w:val="21"/>
              </w:rPr>
              <w:t>2台</w:t>
            </w:r>
          </w:p>
        </w:tc>
      </w:tr>
      <w:tr w14:paraId="2A4E61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90" w:hRule="atLeast"/>
        </w:trPr>
        <w:tc>
          <w:tcPr>
            <w:tcW w:w="394" w:type="pct"/>
            <w:vAlign w:val="center"/>
          </w:tcPr>
          <w:p w14:paraId="2A4D9A5D">
            <w:pPr>
              <w:rPr>
                <w:color w:val="auto"/>
                <w:szCs w:val="21"/>
              </w:rPr>
            </w:pPr>
            <w:r>
              <w:rPr>
                <w:rFonts w:hint="eastAsia"/>
                <w:color w:val="auto"/>
                <w:szCs w:val="21"/>
              </w:rPr>
              <w:t>13</w:t>
            </w:r>
          </w:p>
        </w:tc>
        <w:tc>
          <w:tcPr>
            <w:tcW w:w="701" w:type="pct"/>
            <w:vAlign w:val="center"/>
          </w:tcPr>
          <w:p w14:paraId="7E279CAD">
            <w:pPr>
              <w:jc w:val="center"/>
              <w:rPr>
                <w:color w:val="auto"/>
                <w:szCs w:val="21"/>
              </w:rPr>
            </w:pPr>
            <w:r>
              <w:rPr>
                <w:rFonts w:hint="eastAsia"/>
                <w:color w:val="auto"/>
                <w:szCs w:val="21"/>
              </w:rPr>
              <w:t>算力调度平台软件</w:t>
            </w:r>
          </w:p>
        </w:tc>
        <w:tc>
          <w:tcPr>
            <w:tcW w:w="3604" w:type="pct"/>
          </w:tcPr>
          <w:p w14:paraId="50B29035">
            <w:pPr>
              <w:rPr>
                <w:color w:val="auto"/>
                <w:szCs w:val="21"/>
              </w:rPr>
            </w:pPr>
            <w:r>
              <w:rPr>
                <w:rFonts w:hint="eastAsia"/>
                <w:color w:val="auto"/>
                <w:szCs w:val="21"/>
              </w:rPr>
              <w:t>1、资源池化技术：支持容器化资源池管理，并可支持多集群的统一管理能力；</w:t>
            </w:r>
          </w:p>
          <w:p w14:paraId="36A5CA65">
            <w:pPr>
              <w:rPr>
                <w:color w:val="auto"/>
                <w:szCs w:val="21"/>
              </w:rPr>
            </w:pPr>
            <w:r>
              <w:rPr>
                <w:rFonts w:hint="eastAsia"/>
                <w:color w:val="auto"/>
                <w:szCs w:val="21"/>
              </w:rPr>
              <w:t>2、资源监控：提供从集群、系统组件、节点、容器组到训练任务的全方位的资源使用及监控等功能；</w:t>
            </w:r>
          </w:p>
          <w:p w14:paraId="558E8BF8">
            <w:pPr>
              <w:rPr>
                <w:color w:val="auto"/>
                <w:szCs w:val="21"/>
              </w:rPr>
            </w:pPr>
            <w:r>
              <w:rPr>
                <w:rFonts w:hint="eastAsia"/>
                <w:color w:val="auto"/>
                <w:szCs w:val="21"/>
              </w:rPr>
              <w:t>3、加速卡超配：支持对集群的加速卡进行超配配置；</w:t>
            </w:r>
          </w:p>
          <w:p w14:paraId="1CA233AC">
            <w:pPr>
              <w:rPr>
                <w:color w:val="auto"/>
                <w:szCs w:val="21"/>
              </w:rPr>
            </w:pPr>
            <w:r>
              <w:rPr>
                <w:rFonts w:hint="eastAsia"/>
                <w:color w:val="auto"/>
                <w:szCs w:val="21"/>
              </w:rPr>
              <w:t>4、节点管理：支持对计算节点设置开启调度、停止调度、驱逐Pod等功能；支持查看集群内节点加速卡、CPU、内存和显存等纬度的资源使用情况；支持查看节点CPU、内存、加速卡等纬度的资源监控；支持查看计算节点上在运行的训练和推理任务信息；</w:t>
            </w:r>
          </w:p>
          <w:p w14:paraId="65837F1B">
            <w:pPr>
              <w:rPr>
                <w:color w:val="auto"/>
                <w:szCs w:val="21"/>
              </w:rPr>
            </w:pPr>
            <w:r>
              <w:rPr>
                <w:rFonts w:hint="eastAsia"/>
                <w:color w:val="auto"/>
                <w:szCs w:val="21"/>
              </w:rPr>
              <w:t>5、容器组管理：支持查看容器组各纬度的资源监控；支持查看容器组上运行的容器信息和容器监控；</w:t>
            </w:r>
          </w:p>
          <w:p w14:paraId="7F24962B">
            <w:pPr>
              <w:rPr>
                <w:color w:val="auto"/>
                <w:szCs w:val="21"/>
              </w:rPr>
            </w:pPr>
            <w:r>
              <w:rPr>
                <w:rFonts w:hint="eastAsia"/>
                <w:color w:val="auto"/>
                <w:szCs w:val="21"/>
              </w:rPr>
              <w:t>6、任务监控：支持查看平台训练和推理任务信息，以及任务上运行的容器组监控信息，实时跟进任务的运行情况；</w:t>
            </w:r>
          </w:p>
          <w:p w14:paraId="4DE32A97">
            <w:pPr>
              <w:rPr>
                <w:color w:val="auto"/>
                <w:szCs w:val="21"/>
              </w:rPr>
            </w:pPr>
            <w:r>
              <w:rPr>
                <w:rFonts w:hint="eastAsia"/>
                <w:color w:val="auto"/>
                <w:szCs w:val="21"/>
              </w:rPr>
              <w:t>▲7、调度策略：支持</w:t>
            </w:r>
            <w:r>
              <w:rPr>
                <w:color w:val="auto"/>
                <w:szCs w:val="21"/>
              </w:rPr>
              <w:t>5种以上智能调度策略，如：DRF(主导资源调度)、Binpack（紧凑调度）、组调度、节点优选调度等；</w:t>
            </w:r>
            <w:r>
              <w:rPr>
                <w:rFonts w:hint="eastAsia"/>
                <w:color w:val="auto"/>
                <w:szCs w:val="21"/>
              </w:rPr>
              <w:t>（提</w:t>
            </w:r>
            <w:r>
              <w:rPr>
                <w:color w:val="auto"/>
                <w:szCs w:val="21"/>
              </w:rPr>
              <w:t>供具有CMA或者CNAS认证的第三方检测机构出具的算力调度平台软件检测报告，提供报告复印件、加盖厂商公章并提供该条技术需求的索引</w:t>
            </w:r>
            <w:r>
              <w:rPr>
                <w:rFonts w:hint="eastAsia"/>
                <w:color w:val="auto"/>
                <w:szCs w:val="21"/>
              </w:rPr>
              <w:t>）</w:t>
            </w:r>
          </w:p>
          <w:p w14:paraId="45135BFE">
            <w:pPr>
              <w:rPr>
                <w:color w:val="auto"/>
                <w:szCs w:val="21"/>
              </w:rPr>
            </w:pPr>
            <w:bookmarkStart w:id="6" w:name="OLE_LINK1"/>
            <w:r>
              <w:rPr>
                <w:rFonts w:hint="eastAsia"/>
                <w:color w:val="auto"/>
                <w:szCs w:val="21"/>
              </w:rPr>
              <w:t>▲</w:t>
            </w:r>
            <w:bookmarkEnd w:id="6"/>
            <w:r>
              <w:rPr>
                <w:rFonts w:hint="eastAsia"/>
                <w:color w:val="auto"/>
                <w:szCs w:val="21"/>
              </w:rPr>
              <w:t>8、智能调度：支持智能资源拓扑感知，可根据服务器的不同负载均衡进行智能调度，分配最合理资源提升算力使用效率。（</w:t>
            </w:r>
            <w:r>
              <w:rPr>
                <w:color w:val="auto"/>
                <w:szCs w:val="21"/>
              </w:rPr>
              <w:t>提供具有CMA或者CNAS认证的第三方检测机构出具的算力调度平台软件检测报告，提供报告复印件、加盖厂商公章并提供该条技术需求的索引</w:t>
            </w:r>
            <w:r>
              <w:rPr>
                <w:rFonts w:hint="eastAsia"/>
                <w:color w:val="auto"/>
                <w:szCs w:val="21"/>
              </w:rPr>
              <w:t>）</w:t>
            </w:r>
          </w:p>
          <w:p w14:paraId="78F8EFDD">
            <w:pPr>
              <w:rPr>
                <w:color w:val="auto"/>
                <w:szCs w:val="21"/>
              </w:rPr>
            </w:pPr>
            <w:r>
              <w:rPr>
                <w:rFonts w:hint="eastAsia"/>
                <w:color w:val="auto"/>
                <w:szCs w:val="21"/>
              </w:rPr>
              <w:t>▲9、一键巡检：支持启动训练前调用一键巡检功能，对运行环境进行全面检查，规避可预防性的软硬件问题；（</w:t>
            </w:r>
            <w:r>
              <w:rPr>
                <w:color w:val="auto"/>
                <w:szCs w:val="21"/>
              </w:rPr>
              <w:t>提供具有CMA或者CNAS认证的第三方检测机构出具的算力调度平台软件检测报告，提供报告复印件、加盖厂商公章并提供该条技术需求的索引</w:t>
            </w:r>
            <w:r>
              <w:rPr>
                <w:rFonts w:hint="eastAsia"/>
                <w:color w:val="auto"/>
                <w:szCs w:val="21"/>
              </w:rPr>
              <w:t>）</w:t>
            </w:r>
          </w:p>
          <w:p w14:paraId="1EE1C114">
            <w:pPr>
              <w:rPr>
                <w:color w:val="auto"/>
                <w:szCs w:val="21"/>
              </w:rPr>
            </w:pPr>
            <w:r>
              <w:rPr>
                <w:rFonts w:hint="eastAsia"/>
                <w:color w:val="auto"/>
                <w:szCs w:val="21"/>
              </w:rPr>
              <w:t>10、多可用区：平台支持多可用区管理，将不同类型加速卡与不同类型存储服务以可用区的形式进行管理，进一步实现异构资源的调配和管理；</w:t>
            </w:r>
          </w:p>
          <w:p w14:paraId="36051D38">
            <w:pPr>
              <w:rPr>
                <w:color w:val="auto"/>
                <w:szCs w:val="21"/>
              </w:rPr>
            </w:pPr>
            <w:r>
              <w:rPr>
                <w:rFonts w:hint="eastAsia"/>
                <w:color w:val="auto"/>
                <w:szCs w:val="21"/>
              </w:rPr>
              <w:t>▲</w:t>
            </w:r>
            <w:r>
              <w:rPr>
                <w:color w:val="auto"/>
                <w:szCs w:val="21"/>
              </w:rPr>
              <w:t>1</w:t>
            </w:r>
            <w:r>
              <w:rPr>
                <w:rFonts w:hint="eastAsia"/>
                <w:color w:val="auto"/>
                <w:szCs w:val="21"/>
              </w:rPr>
              <w:t>1、多租户管理：支持多租户管理，并可为租户分配管理员，租户管理员可对租户内用户以资源队列形式进行资源细粒度划分；（</w:t>
            </w:r>
            <w:r>
              <w:rPr>
                <w:color w:val="auto"/>
                <w:szCs w:val="21"/>
              </w:rPr>
              <w:t>提供具有CMA或者CNAS认证的第三方检测机构出具的算力调度平台软件检测报告，提供报告复印件、加盖厂商公章并提供该条技术需求的索引</w:t>
            </w:r>
            <w:r>
              <w:rPr>
                <w:rFonts w:hint="eastAsia"/>
                <w:color w:val="auto"/>
                <w:szCs w:val="21"/>
              </w:rPr>
              <w:t>）</w:t>
            </w:r>
          </w:p>
          <w:p w14:paraId="4C9046DF">
            <w:pPr>
              <w:rPr>
                <w:color w:val="auto"/>
                <w:szCs w:val="21"/>
              </w:rPr>
            </w:pPr>
            <w:r>
              <w:rPr>
                <w:rFonts w:hint="eastAsia"/>
                <w:color w:val="auto"/>
                <w:szCs w:val="21"/>
              </w:rPr>
              <w:t>▲</w:t>
            </w:r>
            <w:r>
              <w:rPr>
                <w:color w:val="auto"/>
                <w:szCs w:val="21"/>
              </w:rPr>
              <w:t>1</w:t>
            </w:r>
            <w:r>
              <w:rPr>
                <w:rFonts w:hint="eastAsia"/>
                <w:color w:val="auto"/>
                <w:szCs w:val="21"/>
              </w:rPr>
              <w:t>2、资源池管理：支持公共资源池、专属资源池的划分，并支持将公共资源池、专属资源池以配额的方式分配给租户进行使用；基于资源池可查看当前已分配的队列信息及任务信息；（</w:t>
            </w:r>
            <w:r>
              <w:rPr>
                <w:color w:val="auto"/>
                <w:szCs w:val="21"/>
              </w:rPr>
              <w:t>提供具有CMA或者CNAS认证的第三方检测机构出具的算力调度平台软件检测报告，提供报告复印件、加盖厂商公章并提供该条技术需求的索引</w:t>
            </w:r>
            <w:r>
              <w:rPr>
                <w:rFonts w:hint="eastAsia"/>
                <w:color w:val="auto"/>
                <w:szCs w:val="21"/>
              </w:rPr>
              <w:t>）</w:t>
            </w:r>
          </w:p>
          <w:p w14:paraId="5DDA1F01">
            <w:pPr>
              <w:rPr>
                <w:color w:val="auto"/>
                <w:szCs w:val="21"/>
              </w:rPr>
            </w:pPr>
            <w:r>
              <w:rPr>
                <w:rFonts w:hint="eastAsia"/>
                <w:color w:val="auto"/>
                <w:szCs w:val="21"/>
              </w:rPr>
              <w:t>▲</w:t>
            </w:r>
            <w:r>
              <w:rPr>
                <w:color w:val="auto"/>
                <w:szCs w:val="21"/>
              </w:rPr>
              <w:t>1</w:t>
            </w:r>
            <w:r>
              <w:rPr>
                <w:rFonts w:hint="eastAsia"/>
                <w:color w:val="auto"/>
                <w:szCs w:val="21"/>
              </w:rPr>
              <w:t>3、队列管理：支持队列管理功能，并可按照模型训练、模型推理工作负载进行队列的划分；基于队列可以查看当前正在运行的任务数及详情；（</w:t>
            </w:r>
            <w:r>
              <w:rPr>
                <w:color w:val="auto"/>
                <w:szCs w:val="21"/>
              </w:rPr>
              <w:t>提供具有CMA或者CNAS认证的第三方检测机构出具的算力调度平台软件检测报告，提供报告复印件、加盖厂商公章并提供该条技术需求的索引</w:t>
            </w:r>
            <w:r>
              <w:rPr>
                <w:rFonts w:hint="eastAsia"/>
                <w:color w:val="auto"/>
                <w:szCs w:val="21"/>
              </w:rPr>
              <w:t>）</w:t>
            </w:r>
          </w:p>
          <w:p w14:paraId="3743314D">
            <w:pPr>
              <w:rPr>
                <w:color w:val="auto"/>
                <w:szCs w:val="21"/>
              </w:rPr>
            </w:pPr>
            <w:r>
              <w:rPr>
                <w:rFonts w:hint="eastAsia"/>
                <w:color w:val="auto"/>
                <w:szCs w:val="21"/>
              </w:rPr>
              <w:t>▲</w:t>
            </w:r>
            <w:r>
              <w:rPr>
                <w:rFonts w:hint="eastAsia" w:cs="宋体"/>
                <w:color w:val="auto"/>
                <w:szCs w:val="21"/>
              </w:rPr>
              <w:t>14、算法管理：支持算法管理功能，并支持预置算法、新建算法、导出、编辑及删除等功能；支持依据算法类型自动过滤合适的镜像资源，并支持对算法的类型、工作目录、启动脚本、IO输入输出配置、超参配置、是否支持分布式训练、对数据类型、大小等配置；</w:t>
            </w:r>
            <w:r>
              <w:rPr>
                <w:rFonts w:hint="eastAsia"/>
                <w:color w:val="auto"/>
                <w:szCs w:val="21"/>
              </w:rPr>
              <w:t>（</w:t>
            </w:r>
            <w:r>
              <w:rPr>
                <w:color w:val="auto"/>
                <w:szCs w:val="21"/>
              </w:rPr>
              <w:t>提供具有CMA或者CNAS认证的第三方检测机构出具的算力调度平台软件检测报告，提供报告复印件、加盖厂商公章并提供该条技术需求的索引</w:t>
            </w:r>
            <w:r>
              <w:rPr>
                <w:rFonts w:hint="eastAsia"/>
                <w:color w:val="auto"/>
                <w:szCs w:val="21"/>
              </w:rPr>
              <w:t>）</w:t>
            </w:r>
          </w:p>
          <w:p w14:paraId="43779A3C">
            <w:pPr>
              <w:rPr>
                <w:color w:val="auto"/>
                <w:szCs w:val="21"/>
              </w:rPr>
            </w:pPr>
            <w:r>
              <w:rPr>
                <w:rFonts w:hint="eastAsia"/>
                <w:color w:val="auto"/>
                <w:szCs w:val="21"/>
              </w:rPr>
              <w:t>▲15、AI框架支持：支持</w:t>
            </w:r>
            <w:r>
              <w:rPr>
                <w:color w:val="auto"/>
                <w:szCs w:val="21"/>
              </w:rPr>
              <w:t>TensorFlow、PyTorch、Caffe、Mxnet等异构AI框架；</w:t>
            </w:r>
            <w:r>
              <w:rPr>
                <w:rFonts w:hint="eastAsia"/>
                <w:color w:val="auto"/>
                <w:szCs w:val="21"/>
              </w:rPr>
              <w:t>（</w:t>
            </w:r>
            <w:r>
              <w:rPr>
                <w:color w:val="auto"/>
                <w:szCs w:val="21"/>
              </w:rPr>
              <w:t>提供具有CMA或者CNAS认证的第三方检测机构出具的算力调度平台软件检测报告，提供报告复印件、加盖厂商公章并提供该条技术需求的索引</w:t>
            </w:r>
            <w:r>
              <w:rPr>
                <w:rFonts w:hint="eastAsia"/>
                <w:color w:val="auto"/>
                <w:szCs w:val="21"/>
              </w:rPr>
              <w:t>）</w:t>
            </w:r>
          </w:p>
          <w:p w14:paraId="6BB0CB19">
            <w:pPr>
              <w:rPr>
                <w:color w:val="auto"/>
                <w:szCs w:val="21"/>
              </w:rPr>
            </w:pPr>
            <w:r>
              <w:rPr>
                <w:rFonts w:hint="eastAsia"/>
                <w:color w:val="auto"/>
                <w:szCs w:val="21"/>
              </w:rPr>
              <w:t>▲16、异构模型转换：支持异构模型转换，可实现模型算法在不同架构之间自动化转换；（</w:t>
            </w:r>
            <w:r>
              <w:rPr>
                <w:color w:val="auto"/>
                <w:szCs w:val="21"/>
              </w:rPr>
              <w:t>提供具有CMA或者CNAS认证的第三方检测机构出具的算力调度平台软件检测报告，提供报告复印件、加盖厂商公章并提供该条技术需求的索引</w:t>
            </w:r>
            <w:r>
              <w:rPr>
                <w:rFonts w:hint="eastAsia"/>
                <w:color w:val="auto"/>
                <w:szCs w:val="21"/>
              </w:rPr>
              <w:t>）</w:t>
            </w:r>
          </w:p>
          <w:p w14:paraId="10F7DD0D">
            <w:pPr>
              <w:rPr>
                <w:color w:val="auto"/>
                <w:szCs w:val="21"/>
              </w:rPr>
            </w:pPr>
            <w:r>
              <w:rPr>
                <w:rFonts w:hint="eastAsia"/>
                <w:color w:val="auto"/>
                <w:szCs w:val="21"/>
              </w:rPr>
              <w:t>▲17、断点续训：支持断点续训功能，具备在上一次训练状态的基础上继续训练的能力，避免从头开始训练；（</w:t>
            </w:r>
            <w:r>
              <w:rPr>
                <w:color w:val="auto"/>
                <w:szCs w:val="21"/>
              </w:rPr>
              <w:t>提供具有CMA或者CNAS认证的第三方检测机构出具的算力调度平台软件检测报告，提供报告复印件、加盖厂商公章并提供该条技术需求的索引</w:t>
            </w:r>
            <w:r>
              <w:rPr>
                <w:rFonts w:hint="eastAsia"/>
                <w:color w:val="auto"/>
                <w:szCs w:val="21"/>
              </w:rPr>
              <w:t>）</w:t>
            </w:r>
          </w:p>
          <w:p w14:paraId="56F7DB47">
            <w:pPr>
              <w:rPr>
                <w:color w:val="auto"/>
                <w:szCs w:val="21"/>
              </w:rPr>
            </w:pPr>
            <w:r>
              <w:rPr>
                <w:rFonts w:hint="eastAsia"/>
                <w:color w:val="auto"/>
                <w:szCs w:val="21"/>
              </w:rPr>
              <w:t>▲18、任务重提：支持训练任务重提，检测到任务异常中断，主要针对硬件故障时，系统应能自动进行故障诊断并重新提交任务；（</w:t>
            </w:r>
            <w:r>
              <w:rPr>
                <w:color w:val="auto"/>
                <w:szCs w:val="21"/>
              </w:rPr>
              <w:t>提供具有CMA或者CNAS认证的第三方检测机构出具的算力调度平台软件检测报告，提供报告复印件、加盖厂商公章并提供该条技术需求的索引</w:t>
            </w:r>
            <w:r>
              <w:rPr>
                <w:rFonts w:hint="eastAsia"/>
                <w:color w:val="auto"/>
                <w:szCs w:val="21"/>
              </w:rPr>
              <w:t>）</w:t>
            </w:r>
          </w:p>
          <w:p w14:paraId="4EFCFDE7">
            <w:pPr>
              <w:rPr>
                <w:color w:val="auto"/>
                <w:szCs w:val="21"/>
              </w:rPr>
            </w:pPr>
            <w:r>
              <w:rPr>
                <w:rFonts w:hint="eastAsia"/>
                <w:color w:val="auto"/>
                <w:szCs w:val="21"/>
              </w:rPr>
              <w:t>19、模型训练：支持作业建模、画布建模及Notebook多种建模方式，并可针对训练任务分配资源队列及设置训练时长限制等；支持通过在线编写代码方式进行模型开发、调试和训练，提供可视化工具查看训练过程参数变化，支持本地VS Code SSH远程连接环境进行开发、调试和训练；</w:t>
            </w:r>
          </w:p>
          <w:p w14:paraId="5710A8B5">
            <w:pPr>
              <w:widowControl/>
              <w:jc w:val="left"/>
              <w:rPr>
                <w:color w:val="auto"/>
                <w:szCs w:val="21"/>
              </w:rPr>
            </w:pPr>
            <w:r>
              <w:rPr>
                <w:rFonts w:hint="eastAsia"/>
                <w:color w:val="auto"/>
                <w:szCs w:val="21"/>
              </w:rPr>
              <w:t>20、数据标注：</w:t>
            </w:r>
            <w:r>
              <w:rPr>
                <w:color w:val="auto"/>
                <w:kern w:val="0"/>
                <w:sz w:val="20"/>
                <w:shd w:val="clear" w:color="auto" w:fill="FFFFFF"/>
                <w:lang w:bidi="ar"/>
              </w:rPr>
              <w:t>支持数据标注功能，支持个人标注和团队标注，支持标注任务审核。</w:t>
            </w:r>
          </w:p>
          <w:p w14:paraId="4A77DC5F">
            <w:pPr>
              <w:rPr>
                <w:color w:val="auto"/>
                <w:szCs w:val="21"/>
              </w:rPr>
            </w:pPr>
            <w:r>
              <w:rPr>
                <w:rFonts w:hint="eastAsia"/>
                <w:color w:val="auto"/>
                <w:szCs w:val="21"/>
              </w:rPr>
              <w:t>21、通用大模型：提供参数规模≥700亿的国产大模型，本地化部署，提供永久使用授权，配套训练工具链及推理服务；</w:t>
            </w:r>
          </w:p>
          <w:p w14:paraId="73B1DE3B">
            <w:pPr>
              <w:rPr>
                <w:color w:val="auto"/>
                <w:szCs w:val="21"/>
              </w:rPr>
            </w:pPr>
            <w:r>
              <w:rPr>
                <w:rFonts w:hint="eastAsia"/>
                <w:color w:val="auto"/>
                <w:szCs w:val="21"/>
              </w:rPr>
              <w:t>▲22、计量管理：支持对加速卡、显存、内存、存储等资源进行计量管理，支持按时间导出租户下加速卡、内存、显存等资源使用报表。（</w:t>
            </w:r>
            <w:r>
              <w:rPr>
                <w:color w:val="auto"/>
                <w:szCs w:val="21"/>
              </w:rPr>
              <w:t>提供具有CMA或者CNAS认证的第三方检测机构出具的算力调度平台软件检测报告，提供报告复印件、加盖厂商公章并提供该条技术需求的索引</w:t>
            </w:r>
            <w:r>
              <w:rPr>
                <w:rFonts w:hint="eastAsia"/>
                <w:color w:val="auto"/>
                <w:szCs w:val="21"/>
              </w:rPr>
              <w:t>）</w:t>
            </w:r>
          </w:p>
          <w:p w14:paraId="47A62714">
            <w:pPr>
              <w:rPr>
                <w:color w:val="auto"/>
                <w:szCs w:val="21"/>
              </w:rPr>
            </w:pPr>
            <w:r>
              <w:rPr>
                <w:rFonts w:hint="eastAsia"/>
                <w:color w:val="auto"/>
                <w:szCs w:val="21"/>
              </w:rPr>
              <w:t>23、5年服务期内持续更新，</w:t>
            </w:r>
            <w:r>
              <w:rPr>
                <w:rFonts w:hint="eastAsia"/>
                <w:color w:val="auto"/>
              </w:rPr>
              <w:t>根据采购人使用需求免费开放相应功能或特性、软件功能无限制使用、免费扩容节点。</w:t>
            </w:r>
          </w:p>
        </w:tc>
        <w:tc>
          <w:tcPr>
            <w:tcW w:w="299" w:type="pct"/>
            <w:noWrap/>
            <w:vAlign w:val="center"/>
          </w:tcPr>
          <w:p w14:paraId="6D5328BA">
            <w:pPr>
              <w:jc w:val="center"/>
              <w:rPr>
                <w:color w:val="auto"/>
                <w:szCs w:val="21"/>
              </w:rPr>
            </w:pPr>
            <w:r>
              <w:rPr>
                <w:rFonts w:hint="eastAsia"/>
                <w:color w:val="auto"/>
                <w:szCs w:val="21"/>
              </w:rPr>
              <w:t>1套</w:t>
            </w:r>
          </w:p>
        </w:tc>
      </w:tr>
      <w:bookmarkEnd w:id="7"/>
    </w:tbl>
    <w:p w14:paraId="0F62C502">
      <w:pPr>
        <w:tabs>
          <w:tab w:val="left" w:pos="900"/>
        </w:tabs>
        <w:spacing w:before="156" w:beforeLines="50" w:line="360" w:lineRule="auto"/>
        <w:rPr>
          <w:szCs w:val="21"/>
        </w:rPr>
      </w:pPr>
    </w:p>
    <w:p w14:paraId="387D6961">
      <w:pPr>
        <w:tabs>
          <w:tab w:val="left" w:pos="900"/>
        </w:tabs>
        <w:spacing w:before="156" w:beforeLines="50" w:line="360" w:lineRule="auto"/>
        <w:rPr>
          <w:b/>
          <w:szCs w:val="21"/>
        </w:rPr>
      </w:pPr>
      <w:r>
        <w:rPr>
          <w:rFonts w:hint="eastAsia"/>
          <w:b/>
          <w:szCs w:val="21"/>
        </w:rPr>
        <w:t>五、采购标的需满足的服务标准、期限、效率等要求</w:t>
      </w:r>
    </w:p>
    <w:p w14:paraId="3E407B1D">
      <w:pPr>
        <w:numPr>
          <w:ilvl w:val="0"/>
          <w:numId w:val="3"/>
        </w:numPr>
        <w:tabs>
          <w:tab w:val="left" w:pos="900"/>
        </w:tabs>
        <w:spacing w:before="156" w:beforeLines="50" w:line="360" w:lineRule="auto"/>
        <w:rPr>
          <w:szCs w:val="21"/>
        </w:rPr>
      </w:pPr>
      <w:r>
        <w:rPr>
          <w:rFonts w:hint="eastAsia"/>
          <w:szCs w:val="21"/>
        </w:rPr>
        <w:t xml:space="preserve">质保期： </w:t>
      </w:r>
      <w:r>
        <w:rPr>
          <w:szCs w:val="21"/>
          <w:u w:val="single"/>
        </w:rPr>
        <w:t xml:space="preserve"> </w:t>
      </w:r>
      <w:r>
        <w:rPr>
          <w:rFonts w:hint="eastAsia"/>
          <w:szCs w:val="21"/>
          <w:u w:val="single"/>
        </w:rPr>
        <w:t>原厂质保≥</w:t>
      </w:r>
      <w:r>
        <w:rPr>
          <w:rFonts w:hint="eastAsia" w:cs="宋体"/>
          <w:u w:val="single"/>
        </w:rPr>
        <w:t>5</w:t>
      </w:r>
      <w:r>
        <w:rPr>
          <w:szCs w:val="21"/>
          <w:u w:val="single"/>
        </w:rPr>
        <w:t xml:space="preserve"> </w:t>
      </w:r>
      <w:r>
        <w:rPr>
          <w:rFonts w:hint="eastAsia"/>
          <w:szCs w:val="21"/>
        </w:rPr>
        <w:t>年</w:t>
      </w:r>
      <w:r>
        <w:rPr>
          <w:rFonts w:hint="eastAsia" w:cs="宋体"/>
        </w:rPr>
        <w:t>，</w:t>
      </w:r>
      <w:r>
        <w:rPr>
          <w:rFonts w:hint="eastAsia"/>
          <w:szCs w:val="21"/>
        </w:rPr>
        <w:t>设备厂商工程师免费上门服务（</w:t>
      </w:r>
      <w:r>
        <w:rPr>
          <w:szCs w:val="21"/>
        </w:rPr>
        <w:t>免人工服务费</w:t>
      </w:r>
      <w:r>
        <w:rPr>
          <w:rFonts w:hint="eastAsia"/>
          <w:szCs w:val="21"/>
        </w:rPr>
        <w:t>、免费上门服务费、免配件费、免材料费）</w:t>
      </w:r>
      <w:r>
        <w:rPr>
          <w:szCs w:val="21"/>
        </w:rPr>
        <w:t>。</w:t>
      </w:r>
      <w:r>
        <w:rPr>
          <w:rFonts w:hint="eastAsia"/>
          <w:szCs w:val="21"/>
        </w:rPr>
        <w:t>质保期满后，仍需提供专业维修服务，免</w:t>
      </w:r>
      <w:r>
        <w:rPr>
          <w:szCs w:val="21"/>
        </w:rPr>
        <w:t>人工服务费</w:t>
      </w:r>
      <w:r>
        <w:rPr>
          <w:rFonts w:hint="eastAsia"/>
          <w:szCs w:val="21"/>
        </w:rPr>
        <w:t>、免费上门服务费。</w:t>
      </w:r>
    </w:p>
    <w:p w14:paraId="28368FA3">
      <w:pPr>
        <w:pStyle w:val="55"/>
        <w:snapToGrid w:val="0"/>
        <w:spacing w:line="480" w:lineRule="exact"/>
        <w:ind w:firstLine="420" w:firstLineChars="200"/>
        <w:rPr>
          <w:rFonts w:ascii="Times New Roman" w:hAnsi="Times New Roman"/>
          <w:kern w:val="2"/>
        </w:rPr>
      </w:pPr>
      <w:r>
        <w:rPr>
          <w:rFonts w:hint="eastAsia" w:ascii="Times New Roman" w:hAnsi="Times New Roman"/>
          <w:kern w:val="2"/>
        </w:rPr>
        <w:t>（1）供应商送货上门、安装、调试并经采购人验收合格。</w:t>
      </w:r>
    </w:p>
    <w:p w14:paraId="6FE5D1AF">
      <w:pPr>
        <w:pStyle w:val="55"/>
        <w:snapToGrid w:val="0"/>
        <w:spacing w:line="480" w:lineRule="exact"/>
        <w:ind w:firstLine="420" w:firstLineChars="200"/>
        <w:rPr>
          <w:rFonts w:ascii="Times New Roman" w:hAnsi="Times New Roman"/>
          <w:kern w:val="2"/>
        </w:rPr>
      </w:pPr>
      <w:r>
        <w:rPr>
          <w:rFonts w:hint="eastAsia" w:ascii="Times New Roman" w:hAnsi="Times New Roman"/>
          <w:kern w:val="2"/>
        </w:rPr>
        <w:t>（2）验收合格后由原厂提供整机至少5年质保（产品质保期内随机标准易损件、备品备件和维修专用工具的报价应包含在投标总价内）；质保期内，产品的维修、零件更换，人工、差旅等一切费用，由成交供应商承担；质保期内维修形式为整机换新、或零部件以换代修，所用部件须为原厂新品，不接受维修或翻新后良品。</w:t>
      </w:r>
    </w:p>
    <w:p w14:paraId="7D5B498B">
      <w:pPr>
        <w:pStyle w:val="55"/>
        <w:snapToGrid w:val="0"/>
        <w:spacing w:line="480" w:lineRule="exact"/>
        <w:ind w:firstLine="420" w:firstLineChars="200"/>
        <w:rPr>
          <w:rFonts w:ascii="Times New Roman" w:hAnsi="Times New Roman"/>
          <w:kern w:val="2"/>
        </w:rPr>
      </w:pPr>
      <w:r>
        <w:rPr>
          <w:rFonts w:hint="eastAsia" w:ascii="Times New Roman" w:hAnsi="Times New Roman"/>
          <w:kern w:val="2"/>
        </w:rPr>
        <w:t>质保期自本项目调试验收合格之日起计算。</w:t>
      </w:r>
    </w:p>
    <w:p w14:paraId="3C2CC15B">
      <w:pPr>
        <w:pStyle w:val="55"/>
        <w:snapToGrid w:val="0"/>
        <w:spacing w:line="480" w:lineRule="exact"/>
        <w:ind w:firstLine="420" w:firstLineChars="200"/>
        <w:rPr>
          <w:rFonts w:ascii="Times New Roman" w:hAnsi="Times New Roman"/>
          <w:kern w:val="2"/>
        </w:rPr>
      </w:pPr>
      <w:r>
        <w:rPr>
          <w:rFonts w:hint="eastAsia" w:ascii="Times New Roman" w:hAnsi="Times New Roman"/>
          <w:kern w:val="2"/>
        </w:rPr>
        <w:t>（3）供应商需提供完善的售后服务方案，包括售后维护服务、热线支持服务、技术服务、升级服务、应急处置等内容。</w:t>
      </w:r>
    </w:p>
    <w:p w14:paraId="669E6FEB">
      <w:pPr>
        <w:pStyle w:val="55"/>
        <w:snapToGrid w:val="0"/>
        <w:spacing w:line="480" w:lineRule="exact"/>
        <w:ind w:firstLine="420" w:firstLineChars="200"/>
        <w:rPr>
          <w:rFonts w:ascii="Times New Roman" w:hAnsi="Times New Roman"/>
          <w:kern w:val="2"/>
        </w:rPr>
      </w:pPr>
      <w:r>
        <w:rPr>
          <w:rFonts w:hint="eastAsia" w:ascii="Times New Roman" w:hAnsi="Times New Roman"/>
          <w:kern w:val="2"/>
        </w:rPr>
        <w:t>（4）保证产品的成熟可靠性，中标供应商须在中标后提供本产品厂家近两年的IDC市场份额报告。</w:t>
      </w:r>
    </w:p>
    <w:p w14:paraId="7BA3DA7E">
      <w:pPr>
        <w:pStyle w:val="55"/>
        <w:snapToGrid w:val="0"/>
        <w:spacing w:line="480" w:lineRule="exact"/>
        <w:ind w:firstLine="420" w:firstLineChars="200"/>
        <w:rPr>
          <w:rFonts w:ascii="Times New Roman" w:hAnsi="Times New Roman"/>
          <w:kern w:val="2"/>
        </w:rPr>
      </w:pPr>
      <w:r>
        <w:rPr>
          <w:rFonts w:hint="eastAsia" w:ascii="Times New Roman" w:hAnsi="Times New Roman"/>
          <w:kern w:val="2"/>
        </w:rPr>
        <w:t>（5）为保证本项目顺利实施，其他采购人未考虑到的配件或配套软硬件的费用视为包含在投标总价内。</w:t>
      </w:r>
    </w:p>
    <w:p w14:paraId="292834E4">
      <w:pPr>
        <w:pStyle w:val="55"/>
        <w:snapToGrid w:val="0"/>
        <w:spacing w:line="480" w:lineRule="exact"/>
        <w:ind w:firstLine="420" w:firstLineChars="200"/>
        <w:rPr>
          <w:rFonts w:ascii="Times New Roman" w:hAnsi="Times New Roman"/>
          <w:kern w:val="2"/>
        </w:rPr>
      </w:pPr>
      <w:r>
        <w:rPr>
          <w:rFonts w:hint="eastAsia" w:ascii="Times New Roman" w:hAnsi="Times New Roman"/>
          <w:kern w:val="2"/>
        </w:rPr>
        <w:t>（6）设备到货前应及时通知用户，与用户协商到货时间及地点，免费将设备在指定时间运到指定位置。如有其他不利影响，用户不承担仓储或物流等费用。</w:t>
      </w:r>
    </w:p>
    <w:p w14:paraId="47A4503B">
      <w:pPr>
        <w:numPr>
          <w:ilvl w:val="0"/>
          <w:numId w:val="3"/>
        </w:numPr>
        <w:tabs>
          <w:tab w:val="left" w:pos="900"/>
        </w:tabs>
        <w:spacing w:before="156" w:beforeLines="50" w:line="360" w:lineRule="auto"/>
        <w:rPr>
          <w:szCs w:val="21"/>
        </w:rPr>
      </w:pPr>
      <w:r>
        <w:rPr>
          <w:rFonts w:hint="eastAsia"/>
          <w:szCs w:val="21"/>
        </w:rPr>
        <w:t>提供设备制造厂商针对本项目原厂授权函及售后服务承诺函。</w:t>
      </w:r>
    </w:p>
    <w:p w14:paraId="4ABFEF4F">
      <w:pPr>
        <w:numPr>
          <w:ilvl w:val="0"/>
          <w:numId w:val="3"/>
        </w:numPr>
        <w:tabs>
          <w:tab w:val="left" w:pos="900"/>
        </w:tabs>
        <w:spacing w:before="156" w:beforeLines="50" w:line="360" w:lineRule="auto"/>
        <w:rPr>
          <w:szCs w:val="21"/>
        </w:rPr>
      </w:pPr>
      <w:r>
        <w:rPr>
          <w:rFonts w:hint="eastAsia"/>
          <w:szCs w:val="21"/>
        </w:rPr>
        <w:t>服务响应时间：提供7×24小时热线技术服务，接到用户报修电话后1小时内响应，12小时内维修工程师到达维修现场，质保期内无偿提供配套备品备件保障设备正常运行，最长不超过24小时到达现场。维修人员到现场后若问题特殊无法现场修复的，供货方需在24小时内给出合理解决方案。</w:t>
      </w:r>
    </w:p>
    <w:p w14:paraId="5F171251">
      <w:pPr>
        <w:numPr>
          <w:ilvl w:val="0"/>
          <w:numId w:val="3"/>
        </w:numPr>
        <w:tabs>
          <w:tab w:val="left" w:pos="900"/>
        </w:tabs>
        <w:spacing w:before="156" w:beforeLines="50" w:line="360" w:lineRule="auto"/>
        <w:rPr>
          <w:rFonts w:cs="宋体"/>
        </w:rPr>
      </w:pPr>
      <w:r>
        <w:rPr>
          <w:szCs w:val="21"/>
        </w:rPr>
        <w:t>培训</w:t>
      </w:r>
      <w:r>
        <w:rPr>
          <w:rFonts w:hint="eastAsia"/>
          <w:szCs w:val="21"/>
        </w:rPr>
        <w:t>要求</w:t>
      </w:r>
    </w:p>
    <w:p w14:paraId="49A309E7">
      <w:pPr>
        <w:numPr>
          <w:ilvl w:val="0"/>
          <w:numId w:val="4"/>
        </w:numPr>
        <w:tabs>
          <w:tab w:val="left" w:pos="900"/>
        </w:tabs>
        <w:spacing w:before="156" w:beforeLines="50" w:line="360" w:lineRule="auto"/>
        <w:ind w:firstLine="420" w:firstLineChars="200"/>
        <w:rPr>
          <w:rFonts w:cs="宋体"/>
        </w:rPr>
      </w:pPr>
      <w:r>
        <w:rPr>
          <w:rFonts w:hint="eastAsia"/>
          <w:szCs w:val="21"/>
        </w:rPr>
        <w:t>算力调度平台软件使用及硬件平台维护：①供方提供由原厂资深技术人员主讲的现场免费培训服务，为用户培训至少 2 名操作人员、至少 5 天，直至采购人相关操作人员完全熟练掌握有关设备的使用、维护、管理和应用等工作要求；②对相关使用师生人员进行业务、操作培训，使业务人员通过培训掌握对平台使用；</w:t>
      </w:r>
      <w:r>
        <w:rPr>
          <w:rFonts w:hint="eastAsia" w:cs="宋体"/>
        </w:rPr>
        <w:t>③随着软件迭代、应用更新、人员流动，有持续的免费培训方案。</w:t>
      </w:r>
    </w:p>
    <w:p w14:paraId="14B80E36">
      <w:pPr>
        <w:numPr>
          <w:ilvl w:val="0"/>
          <w:numId w:val="4"/>
        </w:numPr>
        <w:tabs>
          <w:tab w:val="left" w:pos="900"/>
        </w:tabs>
        <w:spacing w:before="156" w:beforeLines="50" w:line="360" w:lineRule="auto"/>
        <w:ind w:firstLine="420" w:firstLineChars="200"/>
        <w:rPr>
          <w:rFonts w:cs="宋体"/>
        </w:rPr>
      </w:pPr>
      <w:r>
        <w:rPr>
          <w:rFonts w:hint="eastAsia" w:cs="宋体"/>
        </w:rPr>
        <w:t>智能加速卡及软件栈应用：①供方提供由原厂资深技术人员主讲的现场免费培训服务，培训最新软件栈与基础软件平台的使用、加速卡的性能优化与精度调试，使用户掌握智能加速卡的基本使用；②</w:t>
      </w:r>
      <w:r>
        <w:rPr>
          <w:rFonts w:hint="eastAsia"/>
          <w:szCs w:val="21"/>
        </w:rPr>
        <w:t>提供开发技术培训，使用户掌握深度优化</w:t>
      </w:r>
      <w:r>
        <w:rPr>
          <w:rFonts w:hint="eastAsia" w:cs="宋体"/>
        </w:rPr>
        <w:t>能力；③随着软件迭代、应用更新、人员流动，有持续的免费培训方案。</w:t>
      </w:r>
    </w:p>
    <w:p w14:paraId="7751FAE4">
      <w:pPr>
        <w:tabs>
          <w:tab w:val="left" w:pos="900"/>
        </w:tabs>
        <w:spacing w:before="156" w:beforeLines="50" w:line="360" w:lineRule="auto"/>
        <w:ind w:firstLine="420" w:firstLineChars="200"/>
        <w:rPr>
          <w:rFonts w:cs="宋体"/>
        </w:rPr>
      </w:pPr>
      <w:r>
        <w:rPr>
          <w:rFonts w:hint="eastAsia"/>
          <w:szCs w:val="21"/>
        </w:rPr>
        <w:t>需针对本项目制定详细的培训方案，包括培训计划、培训方式、培训内容、培训目标等内容，并提供培训电子资料及视频。需免费满足采购人不定期的相关设备应用方面的技术咨询；培训地点和具体时间由采购人与供应商协商指定，采购人不承担培训成本。</w:t>
      </w:r>
    </w:p>
    <w:p w14:paraId="61A54959">
      <w:pPr>
        <w:numPr>
          <w:ilvl w:val="0"/>
          <w:numId w:val="3"/>
        </w:numPr>
        <w:tabs>
          <w:tab w:val="left" w:pos="900"/>
        </w:tabs>
        <w:spacing w:before="156" w:beforeLines="50" w:line="360" w:lineRule="auto"/>
        <w:rPr>
          <w:rFonts w:cs="宋体"/>
        </w:rPr>
      </w:pPr>
      <w:r>
        <w:rPr>
          <w:rFonts w:hint="eastAsia" w:cs="宋体"/>
        </w:rPr>
        <w:t>模型适配服务</w:t>
      </w:r>
    </w:p>
    <w:p w14:paraId="190A2B39">
      <w:pPr>
        <w:tabs>
          <w:tab w:val="left" w:pos="900"/>
        </w:tabs>
        <w:spacing w:before="156" w:beforeLines="50" w:line="360" w:lineRule="auto"/>
        <w:ind w:firstLine="420" w:firstLineChars="200"/>
        <w:rPr>
          <w:rFonts w:cs="宋体"/>
        </w:rPr>
      </w:pPr>
      <w:r>
        <w:rPr>
          <w:rFonts w:hint="eastAsia" w:cs="宋体"/>
        </w:rPr>
        <w:t>在5年支持服务期内，有新的主流大模型出现时，采购人提出需求后，需在30个自然日内完成适配工作（如有AI基础框架如PyTorch等的大版本更新可整体宽限到90个自然日）。投标人提供GPU原厂商《适配承诺函》。</w:t>
      </w:r>
    </w:p>
    <w:p w14:paraId="5F4F24BE">
      <w:pPr>
        <w:tabs>
          <w:tab w:val="left" w:pos="900"/>
        </w:tabs>
        <w:spacing w:before="156" w:beforeLines="50" w:line="360" w:lineRule="auto"/>
        <w:ind w:firstLine="420" w:firstLineChars="200"/>
        <w:rPr>
          <w:rFonts w:cs="宋体"/>
        </w:rPr>
      </w:pPr>
      <w:r>
        <w:rPr>
          <w:rFonts w:hint="eastAsia" w:cs="宋体"/>
        </w:rPr>
        <w:t>在5年支持服务期内，针对采购人的各类自研模型，承诺可投入人力进行适配，保障算力充分发挥（例如：达到A100算力的80%或以上（此处提及的A100不带有限制性，仅作为算力水平的描述），且loss精度对齐能满足使用需求（例如：达到A100的同等精度或以上（此处提及的A100不带有限制性，仅作为精度水平的描述））；适配采购人提出的自研模型不少于50个/年，需在30个自然日内完成适配工作（如有AI基础框架如PyTorch等的大版本更新可整体宽限到90个自然日）。投标人提供智能加速卡原厂商《适配承诺函》。</w:t>
      </w:r>
    </w:p>
    <w:p w14:paraId="249F3DFA">
      <w:pPr>
        <w:numPr>
          <w:ilvl w:val="0"/>
          <w:numId w:val="3"/>
        </w:numPr>
        <w:tabs>
          <w:tab w:val="left" w:pos="900"/>
          <w:tab w:val="clear" w:pos="420"/>
        </w:tabs>
        <w:snapToGrid w:val="0"/>
        <w:spacing w:before="156" w:beforeLines="50" w:line="360" w:lineRule="auto"/>
        <w:rPr>
          <w:rFonts w:cs="宋体"/>
        </w:rPr>
      </w:pPr>
      <w:r>
        <w:rPr>
          <w:rFonts w:hint="eastAsia" w:cs="宋体"/>
        </w:rPr>
        <w:t>其他软件服务</w:t>
      </w:r>
    </w:p>
    <w:p w14:paraId="18675088">
      <w:pPr>
        <w:pStyle w:val="55"/>
        <w:snapToGrid w:val="0"/>
        <w:spacing w:line="480" w:lineRule="exact"/>
        <w:ind w:firstLine="420" w:firstLineChars="200"/>
        <w:rPr>
          <w:rFonts w:ascii="Times New Roman" w:hAnsi="Times New Roman"/>
          <w:kern w:val="2"/>
        </w:rPr>
      </w:pPr>
      <w:r>
        <w:rPr>
          <w:rFonts w:hint="eastAsia" w:ascii="Times New Roman" w:hAnsi="Times New Roman"/>
          <w:kern w:val="2"/>
        </w:rPr>
        <w:t>本项目采购范围内算力调度平台软件、存储系统软件、无损网络管理软件、防火墙等软件永久使用许可，5年内免费升级，根据采购人使用需求免费开放相应功能。算力调度系统软件功能无限制使用、免费扩容节点，存储系统免费扩容客户端。</w:t>
      </w:r>
    </w:p>
    <w:p w14:paraId="763005CC">
      <w:pPr>
        <w:tabs>
          <w:tab w:val="left" w:pos="900"/>
        </w:tabs>
        <w:snapToGrid w:val="0"/>
        <w:spacing w:before="156" w:beforeLines="50" w:line="360" w:lineRule="auto"/>
        <w:ind w:firstLine="420" w:firstLineChars="200"/>
      </w:pPr>
      <w:r>
        <w:rPr>
          <w:rFonts w:hint="eastAsia"/>
        </w:rPr>
        <w:t>根据采购人使用需求，</w:t>
      </w:r>
      <w:r>
        <w:rPr>
          <w:rFonts w:hint="eastAsia"/>
          <w:szCs w:val="21"/>
        </w:rPr>
        <w:t>采购人如要求</w:t>
      </w:r>
      <w:r>
        <w:rPr>
          <w:rFonts w:hint="eastAsia"/>
        </w:rPr>
        <w:t>算力调度平台软件、无损网络管理软件等系统改进或增加合理功能，中标人需及时响应，并在接到用户通知后30天内更新到位。</w:t>
      </w:r>
    </w:p>
    <w:p w14:paraId="46778A2A">
      <w:pPr>
        <w:numPr>
          <w:ilvl w:val="0"/>
          <w:numId w:val="3"/>
        </w:numPr>
        <w:tabs>
          <w:tab w:val="left" w:pos="900"/>
          <w:tab w:val="clear" w:pos="420"/>
        </w:tabs>
        <w:snapToGrid w:val="0"/>
        <w:spacing w:before="156" w:beforeLines="50" w:line="360" w:lineRule="auto"/>
        <w:rPr>
          <w:rFonts w:cs="宋体"/>
        </w:rPr>
      </w:pPr>
      <w:r>
        <w:rPr>
          <w:rFonts w:hint="eastAsia" w:cs="宋体"/>
        </w:rPr>
        <w:t>集群和数据安全服务</w:t>
      </w:r>
    </w:p>
    <w:p w14:paraId="4798BB28">
      <w:pPr>
        <w:tabs>
          <w:tab w:val="left" w:pos="900"/>
        </w:tabs>
        <w:spacing w:before="156" w:beforeLines="50" w:line="360" w:lineRule="auto"/>
        <w:ind w:firstLine="420" w:firstLineChars="200"/>
        <w:rPr>
          <w:szCs w:val="21"/>
        </w:rPr>
      </w:pPr>
      <w:r>
        <w:rPr>
          <w:rFonts w:hint="eastAsia"/>
          <w:szCs w:val="21"/>
        </w:rPr>
        <w:t>中标人须提供详尽的方案和策略保障集群运维安全并协助采购人实施到位。如算力集群遭遇安全或生产事故，包括且不限于遭受恶意攻击、病毒感染、软件故障、机房电路故障等，中标人须有处理预案并免费提供集群软硬件系统快速恢复服务（免</w:t>
      </w:r>
      <w:r>
        <w:rPr>
          <w:szCs w:val="21"/>
        </w:rPr>
        <w:t>人工服务费</w:t>
      </w:r>
      <w:r>
        <w:rPr>
          <w:rFonts w:hint="eastAsia"/>
          <w:szCs w:val="21"/>
        </w:rPr>
        <w:t>、免费上门服务费）。</w:t>
      </w:r>
    </w:p>
    <w:p w14:paraId="5D14739C">
      <w:pPr>
        <w:tabs>
          <w:tab w:val="left" w:pos="900"/>
        </w:tabs>
        <w:spacing w:before="156" w:beforeLines="50" w:line="360" w:lineRule="auto"/>
        <w:ind w:firstLine="420" w:firstLineChars="200"/>
        <w:rPr>
          <w:rFonts w:cs="宋体"/>
        </w:rPr>
      </w:pPr>
      <w:r>
        <w:rPr>
          <w:rFonts w:hint="eastAsia"/>
          <w:szCs w:val="21"/>
        </w:rPr>
        <w:t>中标人须提供可靠的方案保障集群内隐私数据安全，包括且不限于隐私数据安全存储、不同业务场景或组织之间可靠传递。</w:t>
      </w:r>
    </w:p>
    <w:p w14:paraId="43B65701">
      <w:pPr>
        <w:numPr>
          <w:ilvl w:val="0"/>
          <w:numId w:val="3"/>
        </w:numPr>
        <w:tabs>
          <w:tab w:val="left" w:pos="900"/>
          <w:tab w:val="clear" w:pos="420"/>
        </w:tabs>
        <w:spacing w:before="156" w:beforeLines="50" w:line="360" w:lineRule="auto"/>
        <w:rPr>
          <w:rFonts w:cs="宋体"/>
        </w:rPr>
      </w:pPr>
      <w:r>
        <w:rPr>
          <w:rFonts w:hint="eastAsia" w:cs="宋体"/>
        </w:rPr>
        <w:t>其他技术要求</w:t>
      </w:r>
    </w:p>
    <w:p w14:paraId="21AF6AA3">
      <w:pPr>
        <w:tabs>
          <w:tab w:val="left" w:pos="900"/>
        </w:tabs>
        <w:spacing w:before="156" w:beforeLines="50" w:line="360" w:lineRule="auto"/>
        <w:ind w:firstLine="420" w:firstLineChars="200"/>
        <w:rPr>
          <w:szCs w:val="21"/>
        </w:rPr>
      </w:pPr>
      <w:r>
        <w:rPr>
          <w:rFonts w:hint="eastAsia"/>
          <w:szCs w:val="21"/>
        </w:rPr>
        <w:t>本项目为交钥匙工程。</w:t>
      </w:r>
    </w:p>
    <w:p w14:paraId="12364DC6">
      <w:pPr>
        <w:tabs>
          <w:tab w:val="left" w:pos="900"/>
        </w:tabs>
        <w:spacing w:before="156" w:beforeLines="50" w:line="360" w:lineRule="auto"/>
        <w:ind w:firstLine="420" w:firstLineChars="200"/>
        <w:rPr>
          <w:szCs w:val="21"/>
        </w:rPr>
      </w:pPr>
      <w:r>
        <w:rPr>
          <w:rFonts w:hint="eastAsia"/>
          <w:szCs w:val="21"/>
        </w:rPr>
        <w:t>集群组网方案至少满足32个8卡计算节点，计算网200G收敛比1:1全线速无阻塞RoCEv2网络、存储网4*100G 收敛比1:1全线速无阻塞RoCEv2网络、业务网25G、监控网1G，四网分离。</w:t>
      </w:r>
    </w:p>
    <w:p w14:paraId="68DA8611">
      <w:pPr>
        <w:tabs>
          <w:tab w:val="left" w:pos="900"/>
        </w:tabs>
        <w:spacing w:before="156" w:beforeLines="50" w:line="360" w:lineRule="auto"/>
        <w:ind w:firstLine="420" w:firstLineChars="200"/>
        <w:rPr>
          <w:szCs w:val="21"/>
        </w:rPr>
      </w:pPr>
      <w:r>
        <w:rPr>
          <w:rFonts w:hint="eastAsia"/>
          <w:szCs w:val="21"/>
        </w:rPr>
        <w:t>算力集群配套存储系统采全闪、混闪多种资源池方案，支持POSIX/NFS多种协议，支持多副本冗余或EC纠删码设计、有快速恢复能力，保证数据安全。</w:t>
      </w:r>
    </w:p>
    <w:p w14:paraId="7B76E599">
      <w:pPr>
        <w:tabs>
          <w:tab w:val="left" w:pos="900"/>
        </w:tabs>
        <w:spacing w:before="156" w:beforeLines="50" w:line="360" w:lineRule="auto"/>
        <w:ind w:firstLine="420" w:firstLineChars="200"/>
        <w:rPr>
          <w:szCs w:val="21"/>
        </w:rPr>
      </w:pPr>
      <w:r>
        <w:rPr>
          <w:rFonts w:hint="eastAsia"/>
          <w:szCs w:val="21"/>
        </w:rPr>
        <w:t>集群所需端口、模块及线缆至少按12台8卡计算节点、16台存储节点配备。如采购人对集群中端口、光模块、互联线缆等配件规格和数量考虑不周，以满足采购人使用需求为准，中标人自行考虑，采购人视为包含在投标总价内。</w:t>
      </w:r>
    </w:p>
    <w:p w14:paraId="5B91E830">
      <w:pPr>
        <w:tabs>
          <w:tab w:val="left" w:pos="420"/>
          <w:tab w:val="left" w:pos="900"/>
        </w:tabs>
        <w:spacing w:before="156" w:beforeLines="50" w:line="360" w:lineRule="auto"/>
        <w:rPr>
          <w:b/>
          <w:szCs w:val="21"/>
        </w:rPr>
      </w:pPr>
      <w:r>
        <w:rPr>
          <w:rFonts w:hint="eastAsia"/>
          <w:b/>
          <w:szCs w:val="21"/>
        </w:rPr>
        <w:t>六、</w:t>
      </w:r>
      <w:r>
        <w:rPr>
          <w:b/>
          <w:szCs w:val="21"/>
        </w:rPr>
        <w:t>采购标的的</w:t>
      </w:r>
      <w:r>
        <w:rPr>
          <w:rFonts w:hint="eastAsia"/>
          <w:b/>
          <w:szCs w:val="21"/>
        </w:rPr>
        <w:t>履约验收标准</w:t>
      </w:r>
    </w:p>
    <w:bookmarkEnd w:id="2"/>
    <w:bookmarkEnd w:id="3"/>
    <w:bookmarkEnd w:id="4"/>
    <w:tbl>
      <w:tblPr>
        <w:tblStyle w:val="15"/>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507"/>
        <w:gridCol w:w="2254"/>
        <w:gridCol w:w="2114"/>
      </w:tblGrid>
      <w:tr w14:paraId="240E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rPr>
        <w:tc>
          <w:tcPr>
            <w:tcW w:w="8601" w:type="dxa"/>
            <w:gridSpan w:val="4"/>
            <w:vAlign w:val="center"/>
          </w:tcPr>
          <w:p w14:paraId="078568B6">
            <w:pPr>
              <w:widowControl/>
              <w:jc w:val="center"/>
              <w:textAlignment w:val="baseline"/>
              <w:rPr>
                <w:color w:val="000000"/>
                <w:kern w:val="0"/>
                <w:sz w:val="20"/>
                <w:szCs w:val="21"/>
              </w:rPr>
            </w:pPr>
            <w:r>
              <w:rPr>
                <w:color w:val="000000"/>
                <w:kern w:val="0"/>
                <w:sz w:val="20"/>
                <w:szCs w:val="21"/>
              </w:rPr>
              <w:t>现场的检验指标及方法</w:t>
            </w:r>
          </w:p>
        </w:tc>
      </w:tr>
      <w:tr w14:paraId="4072F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trPr>
        <w:tc>
          <w:tcPr>
            <w:tcW w:w="726" w:type="dxa"/>
            <w:vAlign w:val="center"/>
          </w:tcPr>
          <w:p w14:paraId="63A1A759">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4B9DEDFA">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04BF7833">
            <w:pPr>
              <w:widowControl/>
              <w:jc w:val="center"/>
              <w:textAlignment w:val="baseline"/>
              <w:rPr>
                <w:color w:val="000000"/>
                <w:kern w:val="0"/>
                <w:sz w:val="20"/>
                <w:szCs w:val="21"/>
              </w:rPr>
            </w:pPr>
            <w:r>
              <w:rPr>
                <w:color w:val="000000"/>
                <w:kern w:val="0"/>
                <w:sz w:val="20"/>
                <w:szCs w:val="21"/>
              </w:rPr>
              <w:t>验收或测试方法</w:t>
            </w:r>
          </w:p>
        </w:tc>
      </w:tr>
      <w:tr w14:paraId="7A96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01" w:type="dxa"/>
            <w:gridSpan w:val="4"/>
          </w:tcPr>
          <w:p w14:paraId="1493865B">
            <w:pPr>
              <w:widowControl/>
              <w:jc w:val="left"/>
              <w:textAlignment w:val="baseline"/>
              <w:rPr>
                <w:b/>
                <w:color w:val="000000"/>
                <w:kern w:val="0"/>
                <w:sz w:val="18"/>
                <w:szCs w:val="18"/>
              </w:rPr>
            </w:pPr>
            <w:r>
              <w:rPr>
                <w:rFonts w:hint="eastAsia"/>
                <w:b/>
                <w:color w:val="000000"/>
                <w:kern w:val="0"/>
                <w:sz w:val="18"/>
                <w:szCs w:val="18"/>
              </w:rPr>
              <w:t>项目建设单位验收要求：</w:t>
            </w:r>
          </w:p>
        </w:tc>
      </w:tr>
      <w:tr w14:paraId="04E95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6" w:type="dxa"/>
          </w:tcPr>
          <w:p w14:paraId="6B9FC641">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6B859662">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7EE727A8">
            <w:pPr>
              <w:widowControl/>
              <w:jc w:val="left"/>
              <w:textAlignment w:val="baseline"/>
              <w:rPr>
                <w:color w:val="000000"/>
                <w:kern w:val="0"/>
                <w:sz w:val="18"/>
                <w:szCs w:val="18"/>
              </w:rPr>
            </w:pPr>
            <w:r>
              <w:rPr>
                <w:color w:val="000000"/>
                <w:kern w:val="0"/>
                <w:sz w:val="18"/>
                <w:szCs w:val="18"/>
              </w:rPr>
              <w:t>现场核查</w:t>
            </w:r>
          </w:p>
        </w:tc>
      </w:tr>
      <w:tr w14:paraId="6834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6" w:type="dxa"/>
          </w:tcPr>
          <w:p w14:paraId="064F8E88">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351BA9C2">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014C53B8">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14:paraId="67A65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6" w:type="dxa"/>
          </w:tcPr>
          <w:p w14:paraId="3C056EF9">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377F2C23">
            <w:pPr>
              <w:widowControl/>
              <w:textAlignment w:val="baseline"/>
              <w:rPr>
                <w:color w:val="000000" w:themeColor="text1"/>
                <w:kern w:val="0"/>
                <w:sz w:val="18"/>
                <w:szCs w:val="18"/>
                <w14:textFill>
                  <w14:solidFill>
                    <w14:schemeClr w14:val="tx1"/>
                  </w14:solidFill>
                </w14:textFill>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24CD00DA">
            <w:pPr>
              <w:rPr>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14:paraId="2FC86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6" w:type="dxa"/>
          </w:tcPr>
          <w:p w14:paraId="74A1BD1E">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7BE12D0B">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0889F6A9">
            <w:pPr>
              <w:widowControl/>
              <w:textAlignment w:val="baseline"/>
              <w:rPr>
                <w:color w:val="000000"/>
                <w:kern w:val="0"/>
                <w:sz w:val="18"/>
                <w:szCs w:val="18"/>
              </w:rPr>
            </w:pPr>
            <w:r>
              <w:rPr>
                <w:color w:val="000000"/>
                <w:kern w:val="0"/>
                <w:sz w:val="18"/>
                <w:szCs w:val="18"/>
              </w:rPr>
              <w:t>现场核查</w:t>
            </w:r>
          </w:p>
        </w:tc>
      </w:tr>
      <w:tr w14:paraId="4D47B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6" w:type="dxa"/>
          </w:tcPr>
          <w:p w14:paraId="364B4B41">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0192C260">
            <w:pPr>
              <w:widowControl/>
              <w:textAlignment w:val="baseline"/>
              <w:rPr>
                <w:color w:val="000000" w:themeColor="text1"/>
                <w:kern w:val="0"/>
                <w:sz w:val="18"/>
                <w:szCs w:val="18"/>
                <w14:textFill>
                  <w14:solidFill>
                    <w14:schemeClr w14:val="tx1"/>
                  </w14:solidFill>
                </w14:textFill>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76379478">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提供《性能测试报告》，实际测试指标应包括且不限于计算节点或存储节点单机（算力、网络、存储等指标）、集群（算力、网络、存储等指标）等，并对比理想理论值与实际值、定位瓶颈。</w:t>
            </w:r>
          </w:p>
        </w:tc>
      </w:tr>
      <w:tr w14:paraId="5835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6" w:type="dxa"/>
          </w:tcPr>
          <w:p w14:paraId="534E2123">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775A2476">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14:paraId="0825C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01" w:type="dxa"/>
            <w:gridSpan w:val="4"/>
          </w:tcPr>
          <w:p w14:paraId="21279FAF">
            <w:pPr>
              <w:widowControl/>
              <w:jc w:val="left"/>
              <w:textAlignment w:val="baseline"/>
              <w:rPr>
                <w:color w:val="000000"/>
                <w:kern w:val="0"/>
                <w:sz w:val="18"/>
                <w:szCs w:val="18"/>
              </w:rPr>
            </w:pPr>
            <w:r>
              <w:rPr>
                <w:rFonts w:hint="eastAsia"/>
                <w:b/>
                <w:color w:val="000000"/>
                <w:kern w:val="0"/>
                <w:sz w:val="18"/>
                <w:szCs w:val="18"/>
              </w:rPr>
              <w:t>学校验收复核要求：</w:t>
            </w:r>
          </w:p>
        </w:tc>
      </w:tr>
      <w:tr w14:paraId="13AAB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6" w:type="dxa"/>
          </w:tcPr>
          <w:p w14:paraId="2D99DDF3">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02E4840E">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14:paraId="55DF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6" w:type="dxa"/>
          </w:tcPr>
          <w:p w14:paraId="179072AA">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1B8B9BA8">
            <w:pPr>
              <w:widowControl/>
              <w:textAlignment w:val="baseline"/>
              <w:rPr>
                <w:color w:val="000000"/>
                <w:kern w:val="0"/>
                <w:sz w:val="18"/>
                <w:szCs w:val="18"/>
              </w:rPr>
            </w:pPr>
            <w:r>
              <w:rPr>
                <w:rFonts w:hint="eastAsia"/>
                <w:color w:val="000000"/>
                <w:kern w:val="0"/>
                <w:sz w:val="18"/>
                <w:szCs w:val="18"/>
              </w:rPr>
              <w:t>提供《供应商货物类项目完工报告》</w:t>
            </w:r>
          </w:p>
        </w:tc>
      </w:tr>
      <w:tr w14:paraId="73B5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6" w:type="dxa"/>
          </w:tcPr>
          <w:p w14:paraId="7113FE88">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27188BBD">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14:paraId="39FE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6" w:type="dxa"/>
          </w:tcPr>
          <w:p w14:paraId="170352E8">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75904041">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14:paraId="76AA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4233" w:type="dxa"/>
            <w:gridSpan w:val="2"/>
            <w:vAlign w:val="center"/>
          </w:tcPr>
          <w:p w14:paraId="60E22287">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5E539013">
            <w:pPr>
              <w:widowControl/>
              <w:textAlignment w:val="baseline"/>
              <w:rPr>
                <w:color w:val="000000"/>
                <w:kern w:val="0"/>
                <w:sz w:val="20"/>
                <w:szCs w:val="21"/>
              </w:rPr>
            </w:pPr>
            <w:r>
              <w:rPr>
                <w:color w:val="000000"/>
                <w:kern w:val="0"/>
                <w:sz w:val="20"/>
                <w:szCs w:val="21"/>
              </w:rPr>
              <w:t>是</w:t>
            </w:r>
            <w:r>
              <w:rPr>
                <w:rFonts w:hint="eastAsia" w:cs="宋体"/>
                <w:color w:val="000000"/>
                <w:kern w:val="0"/>
                <w:sz w:val="20"/>
                <w:szCs w:val="21"/>
              </w:rPr>
              <w:t>□</w:t>
            </w:r>
          </w:p>
        </w:tc>
        <w:tc>
          <w:tcPr>
            <w:tcW w:w="2114" w:type="dxa"/>
            <w:vAlign w:val="center"/>
          </w:tcPr>
          <w:p w14:paraId="46CB0C7B">
            <w:pPr>
              <w:widowControl/>
              <w:textAlignment w:val="baseline"/>
              <w:rPr>
                <w:color w:val="000000"/>
                <w:kern w:val="0"/>
                <w:sz w:val="20"/>
                <w:szCs w:val="21"/>
              </w:rPr>
            </w:pPr>
            <w:r>
              <w:rPr>
                <w:color w:val="000000"/>
                <w:kern w:val="0"/>
                <w:sz w:val="20"/>
                <w:szCs w:val="21"/>
              </w:rPr>
              <w:t>否</w:t>
            </w:r>
            <w:r>
              <w:rPr>
                <w:rFonts w:hint="eastAsia" w:cs="宋体"/>
                <w:color w:val="000000"/>
                <w:kern w:val="0"/>
                <w:sz w:val="24"/>
                <w:szCs w:val="24"/>
              </w:rPr>
              <w:sym w:font="Wingdings 2" w:char="F052"/>
            </w:r>
          </w:p>
        </w:tc>
      </w:tr>
      <w:tr w14:paraId="4AA9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4233" w:type="dxa"/>
            <w:gridSpan w:val="2"/>
            <w:vAlign w:val="center"/>
          </w:tcPr>
          <w:p w14:paraId="0DC3BFD8">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29A373BF">
            <w:pPr>
              <w:widowControl/>
              <w:textAlignment w:val="baseline"/>
              <w:rPr>
                <w:color w:val="000000"/>
                <w:kern w:val="0"/>
                <w:sz w:val="20"/>
                <w:szCs w:val="21"/>
              </w:rPr>
            </w:pPr>
            <w:r>
              <w:rPr>
                <w:color w:val="000000"/>
                <w:kern w:val="0"/>
                <w:sz w:val="20"/>
                <w:szCs w:val="21"/>
              </w:rPr>
              <w:t>是</w:t>
            </w:r>
            <w:r>
              <w:rPr>
                <w:rFonts w:hint="eastAsia" w:cs="宋体"/>
                <w:color w:val="000000"/>
                <w:kern w:val="0"/>
                <w:sz w:val="20"/>
                <w:szCs w:val="21"/>
              </w:rPr>
              <w:t>□</w:t>
            </w:r>
          </w:p>
        </w:tc>
        <w:tc>
          <w:tcPr>
            <w:tcW w:w="2114" w:type="dxa"/>
            <w:vAlign w:val="center"/>
          </w:tcPr>
          <w:p w14:paraId="7E9C3BA7">
            <w:pPr>
              <w:widowControl/>
              <w:textAlignment w:val="baseline"/>
              <w:rPr>
                <w:color w:val="000000"/>
                <w:kern w:val="0"/>
                <w:sz w:val="20"/>
                <w:szCs w:val="21"/>
              </w:rPr>
            </w:pPr>
            <w:r>
              <w:rPr>
                <w:color w:val="000000"/>
                <w:kern w:val="0"/>
                <w:sz w:val="20"/>
                <w:szCs w:val="21"/>
              </w:rPr>
              <w:t>否</w:t>
            </w:r>
            <w:r>
              <w:rPr>
                <w:rFonts w:hint="eastAsia" w:cs="宋体"/>
                <w:color w:val="000000"/>
                <w:kern w:val="0"/>
                <w:sz w:val="24"/>
                <w:szCs w:val="24"/>
              </w:rPr>
              <w:sym w:font="Wingdings 2" w:char="F052"/>
            </w:r>
          </w:p>
        </w:tc>
      </w:tr>
      <w:tr w14:paraId="40099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8601" w:type="dxa"/>
            <w:gridSpan w:val="4"/>
            <w:vAlign w:val="center"/>
          </w:tcPr>
          <w:p w14:paraId="606C9128">
            <w:pPr>
              <w:widowControl/>
              <w:textAlignment w:val="baseline"/>
              <w:rPr>
                <w:color w:val="000000"/>
                <w:kern w:val="0"/>
                <w:sz w:val="20"/>
                <w:szCs w:val="21"/>
              </w:rPr>
            </w:pPr>
            <w:r>
              <w:rPr>
                <w:color w:val="000000"/>
                <w:kern w:val="0"/>
                <w:sz w:val="20"/>
                <w:szCs w:val="21"/>
              </w:rPr>
              <w:t>除现场验收外，需提供的其他验收要求</w:t>
            </w:r>
          </w:p>
        </w:tc>
      </w:tr>
      <w:tr w14:paraId="6B9EF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4233" w:type="dxa"/>
            <w:gridSpan w:val="2"/>
            <w:vAlign w:val="center"/>
          </w:tcPr>
          <w:p w14:paraId="7788619B">
            <w:pPr>
              <w:widowControl/>
              <w:spacing w:line="450" w:lineRule="atLeast"/>
              <w:textAlignment w:val="baseline"/>
              <w:rPr>
                <w:color w:val="000000"/>
                <w:kern w:val="0"/>
                <w:sz w:val="20"/>
                <w:szCs w:val="21"/>
              </w:rPr>
            </w:pPr>
            <w:r>
              <w:rPr>
                <w:color w:val="000000"/>
                <w:kern w:val="0"/>
                <w:sz w:val="20"/>
                <w:szCs w:val="21"/>
              </w:rPr>
              <w:t>除现场验收外，是</w:t>
            </w:r>
            <w:r>
              <w:rPr>
                <w:rFonts w:hint="eastAsia" w:cs="宋体"/>
                <w:color w:val="000000"/>
                <w:kern w:val="0"/>
                <w:sz w:val="20"/>
                <w:szCs w:val="21"/>
              </w:rPr>
              <w:t>□</w:t>
            </w:r>
            <w:r>
              <w:rPr>
                <w:color w:val="000000"/>
                <w:kern w:val="0"/>
                <w:sz w:val="20"/>
                <w:szCs w:val="21"/>
              </w:rPr>
              <w:t>否</w:t>
            </w:r>
            <w:r>
              <w:rPr>
                <w:rFonts w:hint="eastAsia" w:cs="宋体"/>
                <w:color w:val="000000"/>
                <w:kern w:val="0"/>
                <w:sz w:val="24"/>
                <w:szCs w:val="24"/>
              </w:rPr>
              <w:sym w:font="Wingdings 2" w:char="F052"/>
            </w:r>
            <w:r>
              <w:rPr>
                <w:color w:val="000000"/>
                <w:kern w:val="0"/>
                <w:sz w:val="20"/>
                <w:szCs w:val="21"/>
              </w:rPr>
              <w:t>需提供第三方检测报告</w:t>
            </w:r>
          </w:p>
        </w:tc>
        <w:tc>
          <w:tcPr>
            <w:tcW w:w="4368" w:type="dxa"/>
            <w:gridSpan w:val="2"/>
            <w:vAlign w:val="center"/>
          </w:tcPr>
          <w:p w14:paraId="413D66D6">
            <w:pPr>
              <w:widowControl/>
              <w:spacing w:line="450" w:lineRule="atLeast"/>
              <w:textAlignment w:val="baseline"/>
              <w:rPr>
                <w:color w:val="000000"/>
                <w:kern w:val="0"/>
                <w:sz w:val="20"/>
                <w:szCs w:val="21"/>
              </w:rPr>
            </w:pPr>
          </w:p>
        </w:tc>
      </w:tr>
    </w:tbl>
    <w:p w14:paraId="4C807ECF"/>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ourier New">
    <w:panose1 w:val="02070609020205090404"/>
    <w:charset w:val="00"/>
    <w:family w:val="modern"/>
    <w:pitch w:val="default"/>
    <w:sig w:usb0="E0000AFF" w:usb1="40007843" w:usb2="00000001" w:usb3="00000000" w:csb0="400001BF" w:csb1="DFF70000"/>
  </w:font>
  <w:font w:name="Arial">
    <w:panose1 w:val="020B0604020202090204"/>
    <w:charset w:val="00"/>
    <w:family w:val="swiss"/>
    <w:pitch w:val="default"/>
    <w:sig w:usb0="E0000AFF" w:usb1="00007843" w:usb2="00000001" w:usb3="00000000" w:csb0="400001BF" w:csb1="DFF70000"/>
  </w:font>
  <w:font w:name="Cambria">
    <w:altName w:val="苹方-简"/>
    <w:panose1 w:val="02040503050406030204"/>
    <w:charset w:val="00"/>
    <w:family w:val="roman"/>
    <w:pitch w:val="default"/>
    <w:sig w:usb0="00000000" w:usb1="00000000" w:usb2="02000000"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PingFang SC">
    <w:panose1 w:val="020B0400000000000000"/>
    <w:charset w:val="86"/>
    <w:family w:val="swiss"/>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微软雅黑">
    <w:altName w:val="汉仪旗黑"/>
    <w:panose1 w:val="020B0503020204020204"/>
    <w:charset w:val="86"/>
    <w:family w:val="swiss"/>
    <w:pitch w:val="default"/>
    <w:sig w:usb0="00000000" w:usb1="0000000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汉仪书宋二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59A2E">
    <w:pPr>
      <w:pStyle w:val="8"/>
      <w:jc w:val="center"/>
    </w:pPr>
    <w:r>
      <w:fldChar w:fldCharType="begin"/>
    </w:r>
    <w:r>
      <w:instrText xml:space="preserve">PAGE   \* MERGEFORMAT</w:instrText>
    </w:r>
    <w:r>
      <w:fldChar w:fldCharType="separate"/>
    </w:r>
    <w:r>
      <w:rPr>
        <w:lang w:val="zh-CN"/>
      </w:rPr>
      <w:t>13</w:t>
    </w:r>
    <w:r>
      <w:fldChar w:fldCharType="end"/>
    </w:r>
  </w:p>
  <w:p w14:paraId="5578A143">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EE055F"/>
    <w:multiLevelType w:val="singleLevel"/>
    <w:tmpl w:val="BCEE055F"/>
    <w:lvl w:ilvl="0" w:tentative="0">
      <w:start w:val="1"/>
      <w:numFmt w:val="decimal"/>
      <w:suff w:val="nothing"/>
      <w:lvlText w:val="（%1）"/>
      <w:lvlJc w:val="left"/>
    </w:lvl>
  </w:abstractNum>
  <w:abstractNum w:abstractNumId="1">
    <w:nsid w:val="DF7A0DB5"/>
    <w:multiLevelType w:val="singleLevel"/>
    <w:tmpl w:val="DF7A0DB5"/>
    <w:lvl w:ilvl="0" w:tentative="0">
      <w:start w:val="4"/>
      <w:numFmt w:val="chineseCounting"/>
      <w:suff w:val="nothing"/>
      <w:lvlText w:val="%1、"/>
      <w:lvlJc w:val="left"/>
      <w:rPr>
        <w:rFonts w:hint="eastAsia"/>
      </w:rPr>
    </w:lvl>
  </w:abstractNum>
  <w:abstractNum w:abstractNumId="2">
    <w:nsid w:val="EE2F8E83"/>
    <w:multiLevelType w:val="singleLevel"/>
    <w:tmpl w:val="EE2F8E83"/>
    <w:lvl w:ilvl="0" w:tentative="0">
      <w:start w:val="7"/>
      <w:numFmt w:val="decimal"/>
      <w:suff w:val="nothing"/>
      <w:lvlText w:val="%1、"/>
      <w:lvlJc w:val="left"/>
    </w:lvl>
  </w:abstractNum>
  <w:abstractNum w:abstractNumId="3">
    <w:nsid w:val="1AD475B4"/>
    <w:multiLevelType w:val="multilevel"/>
    <w:tmpl w:val="1AD475B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4"/>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45B7"/>
    <w:rsid w:val="0001600B"/>
    <w:rsid w:val="000170BA"/>
    <w:rsid w:val="00017C9A"/>
    <w:rsid w:val="00037983"/>
    <w:rsid w:val="00046EF0"/>
    <w:rsid w:val="00057364"/>
    <w:rsid w:val="0006288A"/>
    <w:rsid w:val="000739EE"/>
    <w:rsid w:val="000766CB"/>
    <w:rsid w:val="00084C47"/>
    <w:rsid w:val="00085D00"/>
    <w:rsid w:val="00090056"/>
    <w:rsid w:val="000A209A"/>
    <w:rsid w:val="000A3E3E"/>
    <w:rsid w:val="000B0FDA"/>
    <w:rsid w:val="000B40A9"/>
    <w:rsid w:val="000C588B"/>
    <w:rsid w:val="000C72BA"/>
    <w:rsid w:val="000E3DCD"/>
    <w:rsid w:val="000E7FE1"/>
    <w:rsid w:val="000F3A0D"/>
    <w:rsid w:val="00105428"/>
    <w:rsid w:val="00112E20"/>
    <w:rsid w:val="00126EF6"/>
    <w:rsid w:val="0012727F"/>
    <w:rsid w:val="001319AE"/>
    <w:rsid w:val="00140AF0"/>
    <w:rsid w:val="00140E0A"/>
    <w:rsid w:val="001507CE"/>
    <w:rsid w:val="00157667"/>
    <w:rsid w:val="001609FC"/>
    <w:rsid w:val="001628C3"/>
    <w:rsid w:val="00162A76"/>
    <w:rsid w:val="00167208"/>
    <w:rsid w:val="00176534"/>
    <w:rsid w:val="0018461B"/>
    <w:rsid w:val="00192106"/>
    <w:rsid w:val="00192B6A"/>
    <w:rsid w:val="001B03C0"/>
    <w:rsid w:val="001B712C"/>
    <w:rsid w:val="001B7D14"/>
    <w:rsid w:val="001C0880"/>
    <w:rsid w:val="001C41C3"/>
    <w:rsid w:val="001C6081"/>
    <w:rsid w:val="001C7C84"/>
    <w:rsid w:val="001E44BB"/>
    <w:rsid w:val="001F678D"/>
    <w:rsid w:val="001F74AF"/>
    <w:rsid w:val="0020538B"/>
    <w:rsid w:val="002204EA"/>
    <w:rsid w:val="002242C4"/>
    <w:rsid w:val="00237253"/>
    <w:rsid w:val="00254A9E"/>
    <w:rsid w:val="002577C4"/>
    <w:rsid w:val="002815C8"/>
    <w:rsid w:val="00290D5A"/>
    <w:rsid w:val="00292C2D"/>
    <w:rsid w:val="002A4902"/>
    <w:rsid w:val="002A540F"/>
    <w:rsid w:val="002A6571"/>
    <w:rsid w:val="002B3A1B"/>
    <w:rsid w:val="002B6192"/>
    <w:rsid w:val="002D6372"/>
    <w:rsid w:val="002D68DE"/>
    <w:rsid w:val="003027D7"/>
    <w:rsid w:val="00310E17"/>
    <w:rsid w:val="003113D4"/>
    <w:rsid w:val="00326F57"/>
    <w:rsid w:val="003458D7"/>
    <w:rsid w:val="00345D8D"/>
    <w:rsid w:val="0035392B"/>
    <w:rsid w:val="00353EC3"/>
    <w:rsid w:val="0036352F"/>
    <w:rsid w:val="003649AF"/>
    <w:rsid w:val="00365DD4"/>
    <w:rsid w:val="00370303"/>
    <w:rsid w:val="00374182"/>
    <w:rsid w:val="003A41D5"/>
    <w:rsid w:val="003A4374"/>
    <w:rsid w:val="003B067C"/>
    <w:rsid w:val="003B1B61"/>
    <w:rsid w:val="003D06DB"/>
    <w:rsid w:val="003D11AB"/>
    <w:rsid w:val="003D6D71"/>
    <w:rsid w:val="003E3690"/>
    <w:rsid w:val="003E4113"/>
    <w:rsid w:val="003E4FDA"/>
    <w:rsid w:val="004075DE"/>
    <w:rsid w:val="00426CB3"/>
    <w:rsid w:val="004306D1"/>
    <w:rsid w:val="00432C91"/>
    <w:rsid w:val="00433C5C"/>
    <w:rsid w:val="004502A2"/>
    <w:rsid w:val="00453832"/>
    <w:rsid w:val="00454435"/>
    <w:rsid w:val="00456DF2"/>
    <w:rsid w:val="00457D07"/>
    <w:rsid w:val="00465BF3"/>
    <w:rsid w:val="00482D40"/>
    <w:rsid w:val="00484AEF"/>
    <w:rsid w:val="004951D7"/>
    <w:rsid w:val="00496E59"/>
    <w:rsid w:val="004A43F0"/>
    <w:rsid w:val="004B3DFE"/>
    <w:rsid w:val="004B44DB"/>
    <w:rsid w:val="004B5B69"/>
    <w:rsid w:val="004B6C75"/>
    <w:rsid w:val="004C7FA9"/>
    <w:rsid w:val="004E36C2"/>
    <w:rsid w:val="004E427A"/>
    <w:rsid w:val="004E4B14"/>
    <w:rsid w:val="004E5B45"/>
    <w:rsid w:val="004E62A8"/>
    <w:rsid w:val="004F37D3"/>
    <w:rsid w:val="00501176"/>
    <w:rsid w:val="0051081D"/>
    <w:rsid w:val="00510891"/>
    <w:rsid w:val="005175CA"/>
    <w:rsid w:val="0052535A"/>
    <w:rsid w:val="00525AE3"/>
    <w:rsid w:val="0053111A"/>
    <w:rsid w:val="005423B6"/>
    <w:rsid w:val="0054755C"/>
    <w:rsid w:val="00562C62"/>
    <w:rsid w:val="005633CE"/>
    <w:rsid w:val="00571ADE"/>
    <w:rsid w:val="0058007F"/>
    <w:rsid w:val="00581990"/>
    <w:rsid w:val="005853E9"/>
    <w:rsid w:val="0059304A"/>
    <w:rsid w:val="00594665"/>
    <w:rsid w:val="005951EF"/>
    <w:rsid w:val="005B62C9"/>
    <w:rsid w:val="005C3DA0"/>
    <w:rsid w:val="005D15A0"/>
    <w:rsid w:val="005E1543"/>
    <w:rsid w:val="005E6A0A"/>
    <w:rsid w:val="005F1571"/>
    <w:rsid w:val="005F401F"/>
    <w:rsid w:val="005F54D0"/>
    <w:rsid w:val="00611202"/>
    <w:rsid w:val="00620021"/>
    <w:rsid w:val="006237BE"/>
    <w:rsid w:val="006341E6"/>
    <w:rsid w:val="00636F27"/>
    <w:rsid w:val="00637678"/>
    <w:rsid w:val="00640733"/>
    <w:rsid w:val="00647C6F"/>
    <w:rsid w:val="00652C5C"/>
    <w:rsid w:val="00657745"/>
    <w:rsid w:val="00660BC0"/>
    <w:rsid w:val="006878E9"/>
    <w:rsid w:val="0068792F"/>
    <w:rsid w:val="006A7E24"/>
    <w:rsid w:val="006B0D86"/>
    <w:rsid w:val="006B1625"/>
    <w:rsid w:val="006C1CAE"/>
    <w:rsid w:val="006C2918"/>
    <w:rsid w:val="006C6FBC"/>
    <w:rsid w:val="006C782C"/>
    <w:rsid w:val="006D03D6"/>
    <w:rsid w:val="006D095D"/>
    <w:rsid w:val="006E42E2"/>
    <w:rsid w:val="006E727D"/>
    <w:rsid w:val="00703AC6"/>
    <w:rsid w:val="00710AA5"/>
    <w:rsid w:val="00715B3F"/>
    <w:rsid w:val="00730A73"/>
    <w:rsid w:val="007554BB"/>
    <w:rsid w:val="00760084"/>
    <w:rsid w:val="007614BD"/>
    <w:rsid w:val="0076501A"/>
    <w:rsid w:val="007670FA"/>
    <w:rsid w:val="00781C82"/>
    <w:rsid w:val="007839AE"/>
    <w:rsid w:val="00785146"/>
    <w:rsid w:val="0078747D"/>
    <w:rsid w:val="007A5DE1"/>
    <w:rsid w:val="007A62C7"/>
    <w:rsid w:val="007A6F5C"/>
    <w:rsid w:val="007C7F58"/>
    <w:rsid w:val="007D4E82"/>
    <w:rsid w:val="007F4BD9"/>
    <w:rsid w:val="007F5A89"/>
    <w:rsid w:val="00800E12"/>
    <w:rsid w:val="00801053"/>
    <w:rsid w:val="0080610F"/>
    <w:rsid w:val="008153D5"/>
    <w:rsid w:val="00815C07"/>
    <w:rsid w:val="00823CA9"/>
    <w:rsid w:val="00827F79"/>
    <w:rsid w:val="008403A0"/>
    <w:rsid w:val="0084652E"/>
    <w:rsid w:val="00860346"/>
    <w:rsid w:val="00870113"/>
    <w:rsid w:val="00873CAB"/>
    <w:rsid w:val="00873D19"/>
    <w:rsid w:val="00873F09"/>
    <w:rsid w:val="0088040F"/>
    <w:rsid w:val="008867CB"/>
    <w:rsid w:val="0089621F"/>
    <w:rsid w:val="008B3380"/>
    <w:rsid w:val="008B5C49"/>
    <w:rsid w:val="008C0BE7"/>
    <w:rsid w:val="008C39CF"/>
    <w:rsid w:val="008C53FC"/>
    <w:rsid w:val="008D094B"/>
    <w:rsid w:val="008D13C5"/>
    <w:rsid w:val="008D1933"/>
    <w:rsid w:val="008E0083"/>
    <w:rsid w:val="008F2ED3"/>
    <w:rsid w:val="008F7120"/>
    <w:rsid w:val="008F7B63"/>
    <w:rsid w:val="00902581"/>
    <w:rsid w:val="00912013"/>
    <w:rsid w:val="00913A87"/>
    <w:rsid w:val="0091645D"/>
    <w:rsid w:val="00925E61"/>
    <w:rsid w:val="00931D08"/>
    <w:rsid w:val="00946EF5"/>
    <w:rsid w:val="00954FF9"/>
    <w:rsid w:val="0098113E"/>
    <w:rsid w:val="00987D11"/>
    <w:rsid w:val="0099177F"/>
    <w:rsid w:val="00995789"/>
    <w:rsid w:val="0099608F"/>
    <w:rsid w:val="00997883"/>
    <w:rsid w:val="009B2EF0"/>
    <w:rsid w:val="009D3518"/>
    <w:rsid w:val="009D76E2"/>
    <w:rsid w:val="009E02F8"/>
    <w:rsid w:val="009F4FB9"/>
    <w:rsid w:val="009F6CAB"/>
    <w:rsid w:val="009F76F1"/>
    <w:rsid w:val="009F7A2C"/>
    <w:rsid w:val="00A047F0"/>
    <w:rsid w:val="00A0762A"/>
    <w:rsid w:val="00A133B8"/>
    <w:rsid w:val="00A161FC"/>
    <w:rsid w:val="00A24B8A"/>
    <w:rsid w:val="00A42CB6"/>
    <w:rsid w:val="00A477D9"/>
    <w:rsid w:val="00A61746"/>
    <w:rsid w:val="00A6318C"/>
    <w:rsid w:val="00A765E9"/>
    <w:rsid w:val="00A865ED"/>
    <w:rsid w:val="00A93CC3"/>
    <w:rsid w:val="00AB063A"/>
    <w:rsid w:val="00AB0DA7"/>
    <w:rsid w:val="00AB48E9"/>
    <w:rsid w:val="00AC005D"/>
    <w:rsid w:val="00AC2371"/>
    <w:rsid w:val="00AC6F95"/>
    <w:rsid w:val="00AD4E58"/>
    <w:rsid w:val="00AE1A23"/>
    <w:rsid w:val="00AE1AFA"/>
    <w:rsid w:val="00AE5B14"/>
    <w:rsid w:val="00AE6615"/>
    <w:rsid w:val="00AE67A6"/>
    <w:rsid w:val="00AF123F"/>
    <w:rsid w:val="00AF7468"/>
    <w:rsid w:val="00B015CE"/>
    <w:rsid w:val="00B0660E"/>
    <w:rsid w:val="00B151BE"/>
    <w:rsid w:val="00B32165"/>
    <w:rsid w:val="00B43698"/>
    <w:rsid w:val="00B4481B"/>
    <w:rsid w:val="00B47D50"/>
    <w:rsid w:val="00B72BD6"/>
    <w:rsid w:val="00B802AC"/>
    <w:rsid w:val="00B91989"/>
    <w:rsid w:val="00B94220"/>
    <w:rsid w:val="00B94A57"/>
    <w:rsid w:val="00B958B3"/>
    <w:rsid w:val="00BA17C1"/>
    <w:rsid w:val="00BA359E"/>
    <w:rsid w:val="00BA6B89"/>
    <w:rsid w:val="00BB2053"/>
    <w:rsid w:val="00BB469B"/>
    <w:rsid w:val="00BB754A"/>
    <w:rsid w:val="00BB7A38"/>
    <w:rsid w:val="00BC3D86"/>
    <w:rsid w:val="00BC7870"/>
    <w:rsid w:val="00BD0727"/>
    <w:rsid w:val="00BE12E8"/>
    <w:rsid w:val="00BE145C"/>
    <w:rsid w:val="00BE5444"/>
    <w:rsid w:val="00BE7851"/>
    <w:rsid w:val="00BE7D2A"/>
    <w:rsid w:val="00C06D72"/>
    <w:rsid w:val="00C1098B"/>
    <w:rsid w:val="00C15054"/>
    <w:rsid w:val="00C36A51"/>
    <w:rsid w:val="00C46217"/>
    <w:rsid w:val="00C6023E"/>
    <w:rsid w:val="00C63818"/>
    <w:rsid w:val="00C64F92"/>
    <w:rsid w:val="00C6657B"/>
    <w:rsid w:val="00C82348"/>
    <w:rsid w:val="00C948F7"/>
    <w:rsid w:val="00CA64F8"/>
    <w:rsid w:val="00CB18F6"/>
    <w:rsid w:val="00CB5943"/>
    <w:rsid w:val="00CC1571"/>
    <w:rsid w:val="00CD09FA"/>
    <w:rsid w:val="00CD153F"/>
    <w:rsid w:val="00CD2230"/>
    <w:rsid w:val="00CD50E0"/>
    <w:rsid w:val="00CF2854"/>
    <w:rsid w:val="00D04B4C"/>
    <w:rsid w:val="00D101B8"/>
    <w:rsid w:val="00D262A0"/>
    <w:rsid w:val="00D324D9"/>
    <w:rsid w:val="00D3464E"/>
    <w:rsid w:val="00D41788"/>
    <w:rsid w:val="00D45ED1"/>
    <w:rsid w:val="00D557E9"/>
    <w:rsid w:val="00D55AE3"/>
    <w:rsid w:val="00D56E82"/>
    <w:rsid w:val="00D61989"/>
    <w:rsid w:val="00D70EA8"/>
    <w:rsid w:val="00D74347"/>
    <w:rsid w:val="00D906F6"/>
    <w:rsid w:val="00D94396"/>
    <w:rsid w:val="00D97A39"/>
    <w:rsid w:val="00D97FEA"/>
    <w:rsid w:val="00DA6C5C"/>
    <w:rsid w:val="00DB2F92"/>
    <w:rsid w:val="00DB6ED1"/>
    <w:rsid w:val="00DC1928"/>
    <w:rsid w:val="00DC3D5F"/>
    <w:rsid w:val="00DD5856"/>
    <w:rsid w:val="00DE3FA0"/>
    <w:rsid w:val="00DF1EA0"/>
    <w:rsid w:val="00DF2F54"/>
    <w:rsid w:val="00DF5062"/>
    <w:rsid w:val="00E02FC1"/>
    <w:rsid w:val="00E0581E"/>
    <w:rsid w:val="00E1130A"/>
    <w:rsid w:val="00E22081"/>
    <w:rsid w:val="00E327CE"/>
    <w:rsid w:val="00E335E2"/>
    <w:rsid w:val="00E41603"/>
    <w:rsid w:val="00E4264C"/>
    <w:rsid w:val="00E73399"/>
    <w:rsid w:val="00E74CB1"/>
    <w:rsid w:val="00E7573D"/>
    <w:rsid w:val="00E821CF"/>
    <w:rsid w:val="00E823FD"/>
    <w:rsid w:val="00E85911"/>
    <w:rsid w:val="00E931F1"/>
    <w:rsid w:val="00E95386"/>
    <w:rsid w:val="00EA720E"/>
    <w:rsid w:val="00EB4ECC"/>
    <w:rsid w:val="00EB76A8"/>
    <w:rsid w:val="00EC4C16"/>
    <w:rsid w:val="00EE0D18"/>
    <w:rsid w:val="00EF0B2E"/>
    <w:rsid w:val="00F0659C"/>
    <w:rsid w:val="00F072C1"/>
    <w:rsid w:val="00F07693"/>
    <w:rsid w:val="00F10369"/>
    <w:rsid w:val="00F17DEA"/>
    <w:rsid w:val="00F2248E"/>
    <w:rsid w:val="00F35137"/>
    <w:rsid w:val="00F43286"/>
    <w:rsid w:val="00F45896"/>
    <w:rsid w:val="00F57DCD"/>
    <w:rsid w:val="00F64432"/>
    <w:rsid w:val="00F91299"/>
    <w:rsid w:val="00F94644"/>
    <w:rsid w:val="00F9789E"/>
    <w:rsid w:val="00FA3005"/>
    <w:rsid w:val="00FB00E1"/>
    <w:rsid w:val="00FB09D0"/>
    <w:rsid w:val="00FB35B8"/>
    <w:rsid w:val="00FC1111"/>
    <w:rsid w:val="00FC3BB8"/>
    <w:rsid w:val="00FC6FE1"/>
    <w:rsid w:val="00FD0CED"/>
    <w:rsid w:val="00FE1B41"/>
    <w:rsid w:val="00FE237B"/>
    <w:rsid w:val="00FE7529"/>
    <w:rsid w:val="00FF21F2"/>
    <w:rsid w:val="00FF339E"/>
    <w:rsid w:val="00FF45C4"/>
    <w:rsid w:val="00FF47AD"/>
    <w:rsid w:val="00FF698C"/>
    <w:rsid w:val="06FFFEEF"/>
    <w:rsid w:val="0CFC891A"/>
    <w:rsid w:val="0F3BCEAE"/>
    <w:rsid w:val="0F76F9CD"/>
    <w:rsid w:val="0FEDDC9E"/>
    <w:rsid w:val="1193993F"/>
    <w:rsid w:val="14DB1BFB"/>
    <w:rsid w:val="17FF0E69"/>
    <w:rsid w:val="1BC72B84"/>
    <w:rsid w:val="1DFF7EA3"/>
    <w:rsid w:val="1EFEC636"/>
    <w:rsid w:val="1F3F3892"/>
    <w:rsid w:val="1FBBA6B6"/>
    <w:rsid w:val="206EAE39"/>
    <w:rsid w:val="251ED93C"/>
    <w:rsid w:val="27F7BD5D"/>
    <w:rsid w:val="27FCC7FA"/>
    <w:rsid w:val="29F783BA"/>
    <w:rsid w:val="2BCF7FFA"/>
    <w:rsid w:val="2C6947F5"/>
    <w:rsid w:val="2DED5065"/>
    <w:rsid w:val="2E1B28F2"/>
    <w:rsid w:val="2E56070E"/>
    <w:rsid w:val="2E7F7E2A"/>
    <w:rsid w:val="2EEF9467"/>
    <w:rsid w:val="2F970B71"/>
    <w:rsid w:val="2FB745DE"/>
    <w:rsid w:val="2FBF287D"/>
    <w:rsid w:val="317F8E73"/>
    <w:rsid w:val="33BA909D"/>
    <w:rsid w:val="359FC86C"/>
    <w:rsid w:val="3ADD5E59"/>
    <w:rsid w:val="3B3F88EF"/>
    <w:rsid w:val="3B7F55C2"/>
    <w:rsid w:val="3BFF61F9"/>
    <w:rsid w:val="3C0BBEC4"/>
    <w:rsid w:val="3CB799B0"/>
    <w:rsid w:val="3DBF3C7D"/>
    <w:rsid w:val="3DDF6E6A"/>
    <w:rsid w:val="3DFFF1F9"/>
    <w:rsid w:val="3E4F54BC"/>
    <w:rsid w:val="3EF7B0CC"/>
    <w:rsid w:val="3F3A3B87"/>
    <w:rsid w:val="3F56ED2D"/>
    <w:rsid w:val="3F7DCAB9"/>
    <w:rsid w:val="3F7F0BD2"/>
    <w:rsid w:val="3FAFE448"/>
    <w:rsid w:val="3FBD2581"/>
    <w:rsid w:val="3FDFFDB7"/>
    <w:rsid w:val="3FEEFD89"/>
    <w:rsid w:val="3FEF4869"/>
    <w:rsid w:val="3FFB607F"/>
    <w:rsid w:val="3FFE9B42"/>
    <w:rsid w:val="3FFF0BA0"/>
    <w:rsid w:val="3FFF3956"/>
    <w:rsid w:val="3FFF6BB1"/>
    <w:rsid w:val="3FFFC6BB"/>
    <w:rsid w:val="40FC95B6"/>
    <w:rsid w:val="41FF55DD"/>
    <w:rsid w:val="42FD8696"/>
    <w:rsid w:val="436A5216"/>
    <w:rsid w:val="45DB088F"/>
    <w:rsid w:val="47EBC1FB"/>
    <w:rsid w:val="4A7BCF4B"/>
    <w:rsid w:val="4AD17FB1"/>
    <w:rsid w:val="4B7FEA3D"/>
    <w:rsid w:val="4BEF2832"/>
    <w:rsid w:val="4CF95E4A"/>
    <w:rsid w:val="4DA5DB4E"/>
    <w:rsid w:val="4FAF6015"/>
    <w:rsid w:val="4FEF2FFC"/>
    <w:rsid w:val="4FFD63C8"/>
    <w:rsid w:val="53D1F6E4"/>
    <w:rsid w:val="56AD0716"/>
    <w:rsid w:val="56EE846A"/>
    <w:rsid w:val="577F2412"/>
    <w:rsid w:val="57B711D2"/>
    <w:rsid w:val="57DF0239"/>
    <w:rsid w:val="57EF49F4"/>
    <w:rsid w:val="57FEEBC3"/>
    <w:rsid w:val="57FFD76D"/>
    <w:rsid w:val="5A7E4451"/>
    <w:rsid w:val="5AB73803"/>
    <w:rsid w:val="5AFF0D97"/>
    <w:rsid w:val="5BE9B2BF"/>
    <w:rsid w:val="5BFBCEE1"/>
    <w:rsid w:val="5BFD9DBE"/>
    <w:rsid w:val="5D7714CF"/>
    <w:rsid w:val="5DDF4121"/>
    <w:rsid w:val="5DFB56E3"/>
    <w:rsid w:val="5DFD226D"/>
    <w:rsid w:val="5EAE49CD"/>
    <w:rsid w:val="5EE8CEE8"/>
    <w:rsid w:val="5EF73B92"/>
    <w:rsid w:val="5FDDDC67"/>
    <w:rsid w:val="5FDFF873"/>
    <w:rsid w:val="5FFBDCDD"/>
    <w:rsid w:val="5FFC5637"/>
    <w:rsid w:val="631978DA"/>
    <w:rsid w:val="63DF8AA1"/>
    <w:rsid w:val="63FECB9E"/>
    <w:rsid w:val="66F4DBDE"/>
    <w:rsid w:val="67381365"/>
    <w:rsid w:val="677F3FCF"/>
    <w:rsid w:val="6AFF16EE"/>
    <w:rsid w:val="6BFF0269"/>
    <w:rsid w:val="6CFF8F61"/>
    <w:rsid w:val="6E6FB843"/>
    <w:rsid w:val="6E7E7BAC"/>
    <w:rsid w:val="6EBA7B45"/>
    <w:rsid w:val="6EDEF1F5"/>
    <w:rsid w:val="6EEF95ED"/>
    <w:rsid w:val="6F1B364D"/>
    <w:rsid w:val="6F7D24E0"/>
    <w:rsid w:val="6F7F1D2F"/>
    <w:rsid w:val="6F9F8360"/>
    <w:rsid w:val="6FA69600"/>
    <w:rsid w:val="6FEC8632"/>
    <w:rsid w:val="6FFB8548"/>
    <w:rsid w:val="6FFD4218"/>
    <w:rsid w:val="6FFE673F"/>
    <w:rsid w:val="71FFAE3D"/>
    <w:rsid w:val="72FDB38F"/>
    <w:rsid w:val="7377921A"/>
    <w:rsid w:val="73B56E50"/>
    <w:rsid w:val="73D7C0E2"/>
    <w:rsid w:val="73FD11C7"/>
    <w:rsid w:val="7552EEE5"/>
    <w:rsid w:val="7578DEF0"/>
    <w:rsid w:val="75BF8BAD"/>
    <w:rsid w:val="76A63117"/>
    <w:rsid w:val="76DFD171"/>
    <w:rsid w:val="76EE52A3"/>
    <w:rsid w:val="76F81FF0"/>
    <w:rsid w:val="772BFC32"/>
    <w:rsid w:val="774ACFE7"/>
    <w:rsid w:val="777AA86C"/>
    <w:rsid w:val="777BB5A9"/>
    <w:rsid w:val="777D78F2"/>
    <w:rsid w:val="777F03C8"/>
    <w:rsid w:val="77BE2A4D"/>
    <w:rsid w:val="77BF1904"/>
    <w:rsid w:val="77DE0CB9"/>
    <w:rsid w:val="77EF143C"/>
    <w:rsid w:val="77EFDADA"/>
    <w:rsid w:val="77F77388"/>
    <w:rsid w:val="77FA0F53"/>
    <w:rsid w:val="77FA11EB"/>
    <w:rsid w:val="792DCE50"/>
    <w:rsid w:val="793BFFAB"/>
    <w:rsid w:val="799A787F"/>
    <w:rsid w:val="79F7FE4C"/>
    <w:rsid w:val="7A0F0D5D"/>
    <w:rsid w:val="7BAE7FB4"/>
    <w:rsid w:val="7BBFE29A"/>
    <w:rsid w:val="7BFFACEE"/>
    <w:rsid w:val="7CFB5F23"/>
    <w:rsid w:val="7D73C143"/>
    <w:rsid w:val="7D7FDBD3"/>
    <w:rsid w:val="7D8FA8BE"/>
    <w:rsid w:val="7D985189"/>
    <w:rsid w:val="7DA78782"/>
    <w:rsid w:val="7DB33A33"/>
    <w:rsid w:val="7DCE9354"/>
    <w:rsid w:val="7DE58FD6"/>
    <w:rsid w:val="7DFB7284"/>
    <w:rsid w:val="7DFB7AF1"/>
    <w:rsid w:val="7DFF42DF"/>
    <w:rsid w:val="7DFF8059"/>
    <w:rsid w:val="7DFFC09B"/>
    <w:rsid w:val="7DFFE232"/>
    <w:rsid w:val="7E5448DF"/>
    <w:rsid w:val="7E77AB54"/>
    <w:rsid w:val="7E7CE6B8"/>
    <w:rsid w:val="7E86E203"/>
    <w:rsid w:val="7EB3ACD2"/>
    <w:rsid w:val="7EBDF4D6"/>
    <w:rsid w:val="7ECF9BEF"/>
    <w:rsid w:val="7ED7BF2A"/>
    <w:rsid w:val="7EE7D8CB"/>
    <w:rsid w:val="7EEC8F36"/>
    <w:rsid w:val="7EEF2CD0"/>
    <w:rsid w:val="7EF3FFD2"/>
    <w:rsid w:val="7EF78A7E"/>
    <w:rsid w:val="7F1F69BD"/>
    <w:rsid w:val="7F2F76BB"/>
    <w:rsid w:val="7F3D230C"/>
    <w:rsid w:val="7F4F04F4"/>
    <w:rsid w:val="7F4F8D43"/>
    <w:rsid w:val="7F5D00F1"/>
    <w:rsid w:val="7F772AF0"/>
    <w:rsid w:val="7F7FA560"/>
    <w:rsid w:val="7F9D54F2"/>
    <w:rsid w:val="7FB30461"/>
    <w:rsid w:val="7FBD00E3"/>
    <w:rsid w:val="7FD4FBA2"/>
    <w:rsid w:val="7FD78A53"/>
    <w:rsid w:val="7FD7B32C"/>
    <w:rsid w:val="7FDE001C"/>
    <w:rsid w:val="7FE37729"/>
    <w:rsid w:val="7FEDE185"/>
    <w:rsid w:val="7FEDF6D1"/>
    <w:rsid w:val="7FEE0C1D"/>
    <w:rsid w:val="7FF48669"/>
    <w:rsid w:val="7FF7F4BB"/>
    <w:rsid w:val="7FFBB912"/>
    <w:rsid w:val="7FFD3EC1"/>
    <w:rsid w:val="7FFD9262"/>
    <w:rsid w:val="7FFDBB55"/>
    <w:rsid w:val="7FFE7B7C"/>
    <w:rsid w:val="7FFF3709"/>
    <w:rsid w:val="7FFF5A92"/>
    <w:rsid w:val="7FFF748B"/>
    <w:rsid w:val="7FFF7722"/>
    <w:rsid w:val="7FFF8252"/>
    <w:rsid w:val="7FFFAE77"/>
    <w:rsid w:val="7FFFEEA7"/>
    <w:rsid w:val="7FFFFBF0"/>
    <w:rsid w:val="8173E42A"/>
    <w:rsid w:val="85DFBEF4"/>
    <w:rsid w:val="8787D00B"/>
    <w:rsid w:val="87FB323E"/>
    <w:rsid w:val="8CBFCC40"/>
    <w:rsid w:val="8FDE3594"/>
    <w:rsid w:val="945FA565"/>
    <w:rsid w:val="94EBF574"/>
    <w:rsid w:val="99BF2EC1"/>
    <w:rsid w:val="9BAF9FF5"/>
    <w:rsid w:val="9DEF48CD"/>
    <w:rsid w:val="9EBF2ABC"/>
    <w:rsid w:val="9F9BB6AB"/>
    <w:rsid w:val="9FFBE20C"/>
    <w:rsid w:val="9FFD9622"/>
    <w:rsid w:val="A2FF9819"/>
    <w:rsid w:val="A8F234A2"/>
    <w:rsid w:val="A9AEE08E"/>
    <w:rsid w:val="A9DE45F8"/>
    <w:rsid w:val="AAD76E41"/>
    <w:rsid w:val="AAFE2718"/>
    <w:rsid w:val="ABAFC0E3"/>
    <w:rsid w:val="ABED0708"/>
    <w:rsid w:val="ABFFBB35"/>
    <w:rsid w:val="AFB6F71D"/>
    <w:rsid w:val="AFBF63AB"/>
    <w:rsid w:val="AFD35EE3"/>
    <w:rsid w:val="AFF6F750"/>
    <w:rsid w:val="B1F4AABA"/>
    <w:rsid w:val="B2F7ECF0"/>
    <w:rsid w:val="B30F267C"/>
    <w:rsid w:val="B37D15E2"/>
    <w:rsid w:val="B3EFACFF"/>
    <w:rsid w:val="B7FE3B4E"/>
    <w:rsid w:val="B7FFDA5B"/>
    <w:rsid w:val="B9BB4E80"/>
    <w:rsid w:val="BB1EC973"/>
    <w:rsid w:val="BB1F4D4F"/>
    <w:rsid w:val="BB6B43CA"/>
    <w:rsid w:val="BB8B0B05"/>
    <w:rsid w:val="BBBF3925"/>
    <w:rsid w:val="BBFFA085"/>
    <w:rsid w:val="BCB76884"/>
    <w:rsid w:val="BDF79AC7"/>
    <w:rsid w:val="BEBED33A"/>
    <w:rsid w:val="BEDFCBA1"/>
    <w:rsid w:val="BF6CA3D0"/>
    <w:rsid w:val="BF793EB8"/>
    <w:rsid w:val="BF7B9B9A"/>
    <w:rsid w:val="BFA10A33"/>
    <w:rsid w:val="BFA3E891"/>
    <w:rsid w:val="BFBB9F7C"/>
    <w:rsid w:val="BFE2AC1D"/>
    <w:rsid w:val="BFEF28D1"/>
    <w:rsid w:val="BFEF5E62"/>
    <w:rsid w:val="BFF73294"/>
    <w:rsid w:val="BFF7C504"/>
    <w:rsid w:val="BFFF982C"/>
    <w:rsid w:val="C1FF4D9E"/>
    <w:rsid w:val="CC2FF384"/>
    <w:rsid w:val="CC97DAD7"/>
    <w:rsid w:val="D37FDE3E"/>
    <w:rsid w:val="D3D74600"/>
    <w:rsid w:val="D46FF19E"/>
    <w:rsid w:val="D4FE8783"/>
    <w:rsid w:val="D57F19FE"/>
    <w:rsid w:val="D73C97EB"/>
    <w:rsid w:val="D7BFFD15"/>
    <w:rsid w:val="D7F50456"/>
    <w:rsid w:val="D7FBD6E3"/>
    <w:rsid w:val="D7FF886D"/>
    <w:rsid w:val="D97FAF48"/>
    <w:rsid w:val="D9FF2166"/>
    <w:rsid w:val="DA9713A5"/>
    <w:rsid w:val="DAC85F93"/>
    <w:rsid w:val="DBBD9EFB"/>
    <w:rsid w:val="DBEE1EE7"/>
    <w:rsid w:val="DBFE601C"/>
    <w:rsid w:val="DCAF780D"/>
    <w:rsid w:val="DCFE2835"/>
    <w:rsid w:val="DDF8647B"/>
    <w:rsid w:val="DE3DC350"/>
    <w:rsid w:val="DEFDF213"/>
    <w:rsid w:val="DF3BDA24"/>
    <w:rsid w:val="DF5EE160"/>
    <w:rsid w:val="DF7FE24E"/>
    <w:rsid w:val="DF834511"/>
    <w:rsid w:val="DFB7A11D"/>
    <w:rsid w:val="DFCB2595"/>
    <w:rsid w:val="DFDF66A8"/>
    <w:rsid w:val="DFF5D251"/>
    <w:rsid w:val="DFF7E45A"/>
    <w:rsid w:val="DFFB0063"/>
    <w:rsid w:val="DFFB337B"/>
    <w:rsid w:val="DFFC5FE0"/>
    <w:rsid w:val="E2CB07F3"/>
    <w:rsid w:val="E367E42A"/>
    <w:rsid w:val="E37F48D1"/>
    <w:rsid w:val="E3BD88EE"/>
    <w:rsid w:val="E52DAB91"/>
    <w:rsid w:val="E5AFA711"/>
    <w:rsid w:val="E76729CE"/>
    <w:rsid w:val="E7BDAC0A"/>
    <w:rsid w:val="E7D78962"/>
    <w:rsid w:val="E7DC1467"/>
    <w:rsid w:val="E7EE60DF"/>
    <w:rsid w:val="E7FACCD0"/>
    <w:rsid w:val="E97F0B8E"/>
    <w:rsid w:val="EB922933"/>
    <w:rsid w:val="EBFCD92C"/>
    <w:rsid w:val="ECF474A4"/>
    <w:rsid w:val="EDB7D1B0"/>
    <w:rsid w:val="EDEE5563"/>
    <w:rsid w:val="EE7FFC33"/>
    <w:rsid w:val="EE9FC159"/>
    <w:rsid w:val="EECDCDF2"/>
    <w:rsid w:val="EEEFEBE8"/>
    <w:rsid w:val="EEFB4949"/>
    <w:rsid w:val="EEFC3319"/>
    <w:rsid w:val="EEFE74A4"/>
    <w:rsid w:val="EEFEDD1E"/>
    <w:rsid w:val="EEFF83AF"/>
    <w:rsid w:val="EF5CDA28"/>
    <w:rsid w:val="EFAFDA4F"/>
    <w:rsid w:val="EFB74990"/>
    <w:rsid w:val="EFCDED59"/>
    <w:rsid w:val="EFEF13EF"/>
    <w:rsid w:val="F0EBA37A"/>
    <w:rsid w:val="F1BDFC15"/>
    <w:rsid w:val="F1BFA8F2"/>
    <w:rsid w:val="F2CC847C"/>
    <w:rsid w:val="F3575B3C"/>
    <w:rsid w:val="F4FE9B29"/>
    <w:rsid w:val="F5FD89F6"/>
    <w:rsid w:val="F5FE043E"/>
    <w:rsid w:val="F6FEE8CB"/>
    <w:rsid w:val="F6FF9B60"/>
    <w:rsid w:val="F73FC2A0"/>
    <w:rsid w:val="F765E47C"/>
    <w:rsid w:val="F77FB035"/>
    <w:rsid w:val="F78D6979"/>
    <w:rsid w:val="F7D4AA56"/>
    <w:rsid w:val="F7ED2DF0"/>
    <w:rsid w:val="F7FBBF4A"/>
    <w:rsid w:val="F7FF3FDF"/>
    <w:rsid w:val="F7FFA53D"/>
    <w:rsid w:val="F80FB848"/>
    <w:rsid w:val="F83692D3"/>
    <w:rsid w:val="F8FF9443"/>
    <w:rsid w:val="F98CF893"/>
    <w:rsid w:val="F9BF161C"/>
    <w:rsid w:val="F9FD3833"/>
    <w:rsid w:val="FA3FE91E"/>
    <w:rsid w:val="FA55E4FC"/>
    <w:rsid w:val="FADBC820"/>
    <w:rsid w:val="FAEDD7E1"/>
    <w:rsid w:val="FAEF42F4"/>
    <w:rsid w:val="FAF7E484"/>
    <w:rsid w:val="FB33AD3E"/>
    <w:rsid w:val="FB3DDF94"/>
    <w:rsid w:val="FB3FB9B0"/>
    <w:rsid w:val="FB572D62"/>
    <w:rsid w:val="FB6FF3D6"/>
    <w:rsid w:val="FB73CBA5"/>
    <w:rsid w:val="FB77EEBA"/>
    <w:rsid w:val="FBDE439F"/>
    <w:rsid w:val="FBF7F574"/>
    <w:rsid w:val="FCEF482A"/>
    <w:rsid w:val="FD7CE703"/>
    <w:rsid w:val="FD8C74DD"/>
    <w:rsid w:val="FDBB9D52"/>
    <w:rsid w:val="FDBEBDBC"/>
    <w:rsid w:val="FDD75DBF"/>
    <w:rsid w:val="FDF6C43E"/>
    <w:rsid w:val="FDFF43CD"/>
    <w:rsid w:val="FE5F03BD"/>
    <w:rsid w:val="FE7BC765"/>
    <w:rsid w:val="FE7F1FB5"/>
    <w:rsid w:val="FEBE7054"/>
    <w:rsid w:val="FEBF6F53"/>
    <w:rsid w:val="FEFE1BAF"/>
    <w:rsid w:val="FEFF5FC9"/>
    <w:rsid w:val="FEFF6C0D"/>
    <w:rsid w:val="FF2AFA21"/>
    <w:rsid w:val="FF30D310"/>
    <w:rsid w:val="FF732C78"/>
    <w:rsid w:val="FF7E5D9D"/>
    <w:rsid w:val="FF7F3442"/>
    <w:rsid w:val="FF7F43C3"/>
    <w:rsid w:val="FF7FE1C2"/>
    <w:rsid w:val="FFB60BCD"/>
    <w:rsid w:val="FFBC67C9"/>
    <w:rsid w:val="FFBFD121"/>
    <w:rsid w:val="FFDD3B00"/>
    <w:rsid w:val="FFDEFE89"/>
    <w:rsid w:val="FFDFB68F"/>
    <w:rsid w:val="FFE75B95"/>
    <w:rsid w:val="FFE974D7"/>
    <w:rsid w:val="FFEE7FA7"/>
    <w:rsid w:val="FFEF1620"/>
    <w:rsid w:val="FFEF523A"/>
    <w:rsid w:val="FFEF5B91"/>
    <w:rsid w:val="FFEF8F18"/>
    <w:rsid w:val="FFF625C2"/>
    <w:rsid w:val="FFF7F89C"/>
    <w:rsid w:val="FFFBCB25"/>
    <w:rsid w:val="FFFBE060"/>
    <w:rsid w:val="FFFC982D"/>
    <w:rsid w:val="FFFDAE2C"/>
    <w:rsid w:val="FFFDB7E8"/>
    <w:rsid w:val="FFFDBEFB"/>
    <w:rsid w:val="FFFFD260"/>
    <w:rsid w:val="FFFFD66E"/>
    <w:rsid w:val="FFFFE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link w:val="47"/>
    <w:qFormat/>
    <w:uiPriority w:val="9"/>
    <w:pPr>
      <w:widowControl/>
      <w:spacing w:before="100" w:beforeAutospacing="1" w:after="100" w:afterAutospacing="1"/>
      <w:jc w:val="left"/>
      <w:outlineLvl w:val="3"/>
    </w:pPr>
    <w:rPr>
      <w:rFonts w:ascii="宋体" w:hAnsi="宋体" w:cs="宋体"/>
      <w:b/>
      <w:bCs/>
      <w:kern w:val="0"/>
      <w:sz w:val="24"/>
      <w:szCs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8"/>
    <w:qFormat/>
    <w:uiPriority w:val="99"/>
    <w:pPr>
      <w:widowControl/>
      <w:jc w:val="left"/>
    </w:pPr>
    <w:rPr>
      <w:rFonts w:ascii="宋体" w:hAnsi="宋体" w:cs="宋体"/>
      <w:kern w:val="0"/>
      <w:sz w:val="24"/>
      <w:szCs w:val="24"/>
    </w:rPr>
  </w:style>
  <w:style w:type="paragraph" w:styleId="4">
    <w:name w:val="Body Text Indent"/>
    <w:basedOn w:val="1"/>
    <w:link w:val="34"/>
    <w:unhideWhenUsed/>
    <w:qFormat/>
    <w:uiPriority w:val="0"/>
    <w:pPr>
      <w:spacing w:after="120"/>
      <w:ind w:left="420" w:leftChars="200"/>
    </w:pPr>
  </w:style>
  <w:style w:type="paragraph" w:styleId="5">
    <w:name w:val="Block Text"/>
    <w:basedOn w:val="1"/>
    <w:qFormat/>
    <w:uiPriority w:val="99"/>
    <w:pPr>
      <w:ind w:left="1440" w:leftChars="700" w:right="1440" w:rightChars="700"/>
    </w:pPr>
  </w:style>
  <w:style w:type="paragraph" w:styleId="6">
    <w:name w:val="Plain Text"/>
    <w:basedOn w:val="1"/>
    <w:link w:val="22"/>
    <w:qFormat/>
    <w:uiPriority w:val="0"/>
    <w:rPr>
      <w:rFonts w:ascii="宋体" w:hAnsi="Courier New" w:cstheme="minorBidi"/>
      <w:szCs w:val="22"/>
    </w:rPr>
  </w:style>
  <w:style w:type="paragraph" w:styleId="7">
    <w:name w:val="Balloon Text"/>
    <w:basedOn w:val="1"/>
    <w:link w:val="30"/>
    <w:unhideWhenUsed/>
    <w:qFormat/>
    <w:uiPriority w:val="0"/>
    <w:rPr>
      <w:sz w:val="18"/>
      <w:szCs w:val="18"/>
    </w:rPr>
  </w:style>
  <w:style w:type="paragraph" w:styleId="8">
    <w:name w:val="footer"/>
    <w:basedOn w:val="1"/>
    <w:link w:val="23"/>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9">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link w:val="24"/>
    <w:qFormat/>
    <w:uiPriority w:val="0"/>
    <w:pPr>
      <w:spacing w:before="240" w:after="60"/>
      <w:jc w:val="center"/>
      <w:outlineLvl w:val="0"/>
    </w:pPr>
    <w:rPr>
      <w:rFonts w:ascii="Arial" w:hAnsi="Arial" w:cs="Arial"/>
      <w:b/>
      <w:bCs/>
      <w:sz w:val="32"/>
      <w:szCs w:val="32"/>
    </w:rPr>
  </w:style>
  <w:style w:type="paragraph" w:styleId="12">
    <w:name w:val="annotation subject"/>
    <w:basedOn w:val="3"/>
    <w:next w:val="3"/>
    <w:link w:val="43"/>
    <w:qFormat/>
    <w:uiPriority w:val="0"/>
    <w:rPr>
      <w:b/>
      <w:bCs/>
    </w:rPr>
  </w:style>
  <w:style w:type="paragraph" w:styleId="13">
    <w:name w:val="Body Text First Indent 2"/>
    <w:basedOn w:val="4"/>
    <w:link w:val="35"/>
    <w:unhideWhenUsed/>
    <w:qFormat/>
    <w:uiPriority w:val="0"/>
    <w:pPr>
      <w:ind w:firstLine="420" w:firstLineChars="200"/>
    </w:p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22"/>
    <w:rPr>
      <w:b/>
      <w:bCs/>
    </w:rPr>
  </w:style>
  <w:style w:type="character" w:styleId="18">
    <w:name w:val="page number"/>
    <w:qFormat/>
    <w:uiPriority w:val="0"/>
  </w:style>
  <w:style w:type="character" w:styleId="19">
    <w:name w:val="FollowedHyperlink"/>
    <w:basedOn w:val="16"/>
    <w:semiHidden/>
    <w:unhideWhenUsed/>
    <w:qFormat/>
    <w:uiPriority w:val="99"/>
    <w:rPr>
      <w:color w:val="800080" w:themeColor="followedHyperlink"/>
      <w:u w:val="single"/>
      <w14:textFill>
        <w14:solidFill>
          <w14:schemeClr w14:val="folHlink"/>
        </w14:solidFill>
      </w14:textFill>
    </w:rPr>
  </w:style>
  <w:style w:type="character" w:styleId="20">
    <w:name w:val="Hyperlink"/>
    <w:unhideWhenUsed/>
    <w:qFormat/>
    <w:uiPriority w:val="99"/>
    <w:rPr>
      <w:color w:val="0000FF"/>
      <w:u w:val="single"/>
    </w:rPr>
  </w:style>
  <w:style w:type="character" w:styleId="21">
    <w:name w:val="annotation reference"/>
    <w:qFormat/>
    <w:uiPriority w:val="99"/>
    <w:rPr>
      <w:sz w:val="21"/>
      <w:szCs w:val="21"/>
    </w:rPr>
  </w:style>
  <w:style w:type="character" w:customStyle="1" w:styleId="22">
    <w:name w:val="纯文本 字符"/>
    <w:link w:val="6"/>
    <w:qFormat/>
    <w:uiPriority w:val="0"/>
    <w:rPr>
      <w:rFonts w:ascii="宋体" w:hAnsi="Courier New" w:eastAsia="宋体"/>
    </w:rPr>
  </w:style>
  <w:style w:type="character" w:customStyle="1" w:styleId="23">
    <w:name w:val="页脚 字符1"/>
    <w:link w:val="8"/>
    <w:qFormat/>
    <w:uiPriority w:val="99"/>
    <w:rPr>
      <w:sz w:val="18"/>
    </w:rPr>
  </w:style>
  <w:style w:type="character" w:customStyle="1" w:styleId="24">
    <w:name w:val="标题 字符"/>
    <w:link w:val="11"/>
    <w:qFormat/>
    <w:uiPriority w:val="0"/>
    <w:rPr>
      <w:rFonts w:ascii="Arial" w:hAnsi="Arial" w:eastAsia="宋体" w:cs="Arial"/>
      <w:b/>
      <w:bCs/>
      <w:sz w:val="32"/>
      <w:szCs w:val="32"/>
    </w:rPr>
  </w:style>
  <w:style w:type="character" w:customStyle="1" w:styleId="25">
    <w:name w:val="页脚 Char"/>
    <w:basedOn w:val="16"/>
    <w:semiHidden/>
    <w:qFormat/>
    <w:uiPriority w:val="99"/>
    <w:rPr>
      <w:rFonts w:ascii="Times New Roman" w:hAnsi="Times New Roman" w:eastAsia="宋体" w:cs="Times New Roman"/>
      <w:sz w:val="18"/>
      <w:szCs w:val="18"/>
    </w:rPr>
  </w:style>
  <w:style w:type="character" w:customStyle="1" w:styleId="26">
    <w:name w:val="标题 Char"/>
    <w:basedOn w:val="16"/>
    <w:qFormat/>
    <w:uiPriority w:val="10"/>
    <w:rPr>
      <w:rFonts w:eastAsia="宋体" w:asciiTheme="majorHAnsi" w:hAnsiTheme="majorHAnsi" w:cstheme="majorBidi"/>
      <w:b/>
      <w:bCs/>
      <w:sz w:val="32"/>
      <w:szCs w:val="32"/>
    </w:rPr>
  </w:style>
  <w:style w:type="character" w:customStyle="1" w:styleId="27">
    <w:name w:val="纯文本 Char"/>
    <w:basedOn w:val="16"/>
    <w:semiHidden/>
    <w:qFormat/>
    <w:uiPriority w:val="99"/>
    <w:rPr>
      <w:rFonts w:ascii="宋体" w:hAnsi="Courier New" w:eastAsia="宋体" w:cs="Courier New"/>
      <w:szCs w:val="21"/>
    </w:rPr>
  </w:style>
  <w:style w:type="character" w:customStyle="1" w:styleId="28">
    <w:name w:val="页眉 字符1"/>
    <w:basedOn w:val="16"/>
    <w:link w:val="9"/>
    <w:qFormat/>
    <w:uiPriority w:val="99"/>
    <w:rPr>
      <w:rFonts w:ascii="Times New Roman" w:hAnsi="Times New Roman" w:eastAsia="宋体" w:cs="Times New Roman"/>
      <w:sz w:val="18"/>
      <w:szCs w:val="18"/>
    </w:rPr>
  </w:style>
  <w:style w:type="paragraph" w:styleId="29">
    <w:name w:val="List Paragraph"/>
    <w:basedOn w:val="1"/>
    <w:link w:val="49"/>
    <w:qFormat/>
    <w:uiPriority w:val="34"/>
    <w:pPr>
      <w:ind w:firstLine="420" w:firstLineChars="200"/>
    </w:pPr>
  </w:style>
  <w:style w:type="character" w:customStyle="1" w:styleId="30">
    <w:name w:val="批注框文本 字符1"/>
    <w:basedOn w:val="16"/>
    <w:link w:val="7"/>
    <w:semiHidden/>
    <w:qFormat/>
    <w:uiPriority w:val="99"/>
    <w:rPr>
      <w:rFonts w:ascii="Times New Roman" w:hAnsi="Times New Roman" w:eastAsia="宋体" w:cs="Times New Roman"/>
      <w:sz w:val="18"/>
      <w:szCs w:val="18"/>
    </w:rPr>
  </w:style>
  <w:style w:type="paragraph" w:customStyle="1" w:styleId="31">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 w:type="character" w:customStyle="1" w:styleId="32">
    <w:name w:val="ZB正文 字符"/>
    <w:link w:val="33"/>
    <w:qFormat/>
    <w:locked/>
    <w:uiPriority w:val="0"/>
    <w:rPr>
      <w:sz w:val="24"/>
    </w:rPr>
  </w:style>
  <w:style w:type="paragraph" w:customStyle="1" w:styleId="33">
    <w:name w:val="ZB正文"/>
    <w:basedOn w:val="13"/>
    <w:link w:val="32"/>
    <w:qFormat/>
    <w:uiPriority w:val="0"/>
    <w:pPr>
      <w:widowControl/>
      <w:spacing w:after="0" w:line="360" w:lineRule="auto"/>
      <w:ind w:left="0" w:leftChars="0" w:firstLine="480"/>
    </w:pPr>
    <w:rPr>
      <w:rFonts w:asciiTheme="minorHAnsi" w:hAnsiTheme="minorHAnsi" w:eastAsiaTheme="minorEastAsia" w:cstheme="minorBidi"/>
      <w:kern w:val="0"/>
      <w:sz w:val="24"/>
    </w:rPr>
  </w:style>
  <w:style w:type="character" w:customStyle="1" w:styleId="34">
    <w:name w:val="正文文本缩进 字符"/>
    <w:basedOn w:val="16"/>
    <w:link w:val="4"/>
    <w:qFormat/>
    <w:uiPriority w:val="0"/>
    <w:rPr>
      <w:rFonts w:ascii="Times New Roman" w:hAnsi="Times New Roman" w:eastAsia="宋体" w:cs="Times New Roman"/>
      <w:kern w:val="2"/>
      <w:sz w:val="21"/>
    </w:rPr>
  </w:style>
  <w:style w:type="character" w:customStyle="1" w:styleId="35">
    <w:name w:val="正文文本首行缩进 2 字符"/>
    <w:basedOn w:val="34"/>
    <w:link w:val="13"/>
    <w:qFormat/>
    <w:uiPriority w:val="0"/>
    <w:rPr>
      <w:rFonts w:ascii="Times New Roman" w:hAnsi="Times New Roman" w:eastAsia="宋体" w:cs="Times New Roman"/>
      <w:kern w:val="2"/>
      <w:sz w:val="21"/>
    </w:rPr>
  </w:style>
  <w:style w:type="character" w:customStyle="1" w:styleId="36">
    <w:name w:val="标题 4 Char"/>
    <w:basedOn w:val="16"/>
    <w:semiHidden/>
    <w:qFormat/>
    <w:uiPriority w:val="9"/>
    <w:rPr>
      <w:rFonts w:asciiTheme="majorHAnsi" w:hAnsiTheme="majorHAnsi" w:eastAsiaTheme="majorEastAsia" w:cstheme="majorBidi"/>
      <w:b/>
      <w:bCs/>
      <w:kern w:val="2"/>
      <w:sz w:val="28"/>
      <w:szCs w:val="28"/>
    </w:rPr>
  </w:style>
  <w:style w:type="character" w:customStyle="1" w:styleId="37">
    <w:name w:val="批注文字 Char"/>
    <w:basedOn w:val="16"/>
    <w:semiHidden/>
    <w:qFormat/>
    <w:uiPriority w:val="99"/>
    <w:rPr>
      <w:rFonts w:ascii="Times New Roman" w:hAnsi="Times New Roman" w:eastAsia="宋体" w:cs="Times New Roman"/>
      <w:kern w:val="2"/>
      <w:sz w:val="21"/>
    </w:rPr>
  </w:style>
  <w:style w:type="character" w:customStyle="1" w:styleId="38">
    <w:name w:val="批注文字 字符"/>
    <w:link w:val="3"/>
    <w:qFormat/>
    <w:uiPriority w:val="99"/>
    <w:rPr>
      <w:rFonts w:ascii="宋体" w:hAnsi="宋体" w:eastAsia="宋体" w:cs="宋体"/>
      <w:sz w:val="24"/>
      <w:szCs w:val="24"/>
    </w:rPr>
  </w:style>
  <w:style w:type="character" w:customStyle="1" w:styleId="39">
    <w:name w:val="批注框文本 字符"/>
    <w:qFormat/>
    <w:uiPriority w:val="0"/>
    <w:rPr>
      <w:kern w:val="2"/>
      <w:sz w:val="16"/>
      <w:szCs w:val="16"/>
    </w:rPr>
  </w:style>
  <w:style w:type="character" w:customStyle="1" w:styleId="40">
    <w:name w:val="页脚 字符"/>
    <w:qFormat/>
    <w:uiPriority w:val="99"/>
    <w:rPr>
      <w:kern w:val="2"/>
      <w:sz w:val="18"/>
    </w:rPr>
  </w:style>
  <w:style w:type="character" w:customStyle="1" w:styleId="41">
    <w:name w:val="页眉 字符"/>
    <w:qFormat/>
    <w:uiPriority w:val="99"/>
    <w:rPr>
      <w:kern w:val="2"/>
      <w:sz w:val="18"/>
      <w:szCs w:val="18"/>
    </w:rPr>
  </w:style>
  <w:style w:type="character" w:customStyle="1" w:styleId="42">
    <w:name w:val="批注主题 Char"/>
    <w:basedOn w:val="37"/>
    <w:semiHidden/>
    <w:qFormat/>
    <w:uiPriority w:val="99"/>
    <w:rPr>
      <w:rFonts w:ascii="Times New Roman" w:hAnsi="Times New Roman" w:eastAsia="宋体" w:cs="Times New Roman"/>
      <w:b/>
      <w:bCs/>
      <w:kern w:val="2"/>
      <w:sz w:val="21"/>
    </w:rPr>
  </w:style>
  <w:style w:type="character" w:customStyle="1" w:styleId="43">
    <w:name w:val="批注主题 字符"/>
    <w:link w:val="12"/>
    <w:qFormat/>
    <w:uiPriority w:val="0"/>
    <w:rPr>
      <w:rFonts w:ascii="宋体" w:hAnsi="宋体" w:eastAsia="宋体" w:cs="宋体"/>
      <w:b/>
      <w:bCs/>
      <w:sz w:val="24"/>
      <w:szCs w:val="24"/>
    </w:rPr>
  </w:style>
  <w:style w:type="paragraph" w:customStyle="1" w:styleId="44">
    <w:name w:val="修订1"/>
    <w:semiHidden/>
    <w:qFormat/>
    <w:uiPriority w:val="99"/>
    <w:rPr>
      <w:rFonts w:ascii="Times New Roman" w:hAnsi="Times New Roman" w:eastAsia="宋体" w:cs="Times New Roman"/>
      <w:kern w:val="2"/>
      <w:sz w:val="21"/>
      <w:lang w:val="en-US" w:eastAsia="zh-CN" w:bidi="ar-SA"/>
    </w:rPr>
  </w:style>
  <w:style w:type="paragraph" w:customStyle="1" w:styleId="45">
    <w:name w:val="_Style 41"/>
    <w:basedOn w:val="1"/>
    <w:next w:val="29"/>
    <w:qFormat/>
    <w:uiPriority w:val="34"/>
    <w:pPr>
      <w:widowControl/>
      <w:spacing w:line="360" w:lineRule="auto"/>
      <w:ind w:firstLine="420" w:firstLineChars="200"/>
      <w:jc w:val="left"/>
    </w:pPr>
    <w:rPr>
      <w:rFonts w:ascii="Calibri" w:hAnsi="Calibri" w:eastAsia="仿宋" w:cs="宋体"/>
      <w:kern w:val="0"/>
      <w:sz w:val="30"/>
      <w:szCs w:val="22"/>
    </w:rPr>
  </w:style>
  <w:style w:type="paragraph" w:styleId="46">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47">
    <w:name w:val="标题 4 字符"/>
    <w:link w:val="2"/>
    <w:qFormat/>
    <w:uiPriority w:val="9"/>
    <w:rPr>
      <w:rFonts w:ascii="宋体" w:hAnsi="宋体" w:eastAsia="宋体" w:cs="宋体"/>
      <w:b/>
      <w:bCs/>
      <w:sz w:val="24"/>
      <w:szCs w:val="24"/>
    </w:rPr>
  </w:style>
  <w:style w:type="paragraph" w:customStyle="1" w:styleId="48">
    <w:name w:val="正文-ymcao"/>
    <w:qFormat/>
    <w:uiPriority w:val="0"/>
    <w:pPr>
      <w:adjustRightInd w:val="0"/>
      <w:snapToGrid w:val="0"/>
      <w:spacing w:line="360" w:lineRule="auto"/>
      <w:ind w:firstLine="480" w:firstLineChars="200"/>
      <w:jc w:val="both"/>
    </w:pPr>
    <w:rPr>
      <w:rFonts w:ascii="仿宋" w:hAnsi="仿宋" w:eastAsia="仿宋" w:cs="仿宋"/>
      <w:kern w:val="2"/>
      <w:sz w:val="24"/>
      <w:szCs w:val="24"/>
      <w:lang w:val="en-US" w:eastAsia="zh-CN" w:bidi="ar-SA"/>
    </w:rPr>
  </w:style>
  <w:style w:type="character" w:customStyle="1" w:styleId="49">
    <w:name w:val="列表段落 字符"/>
    <w:link w:val="29"/>
    <w:autoRedefine/>
    <w:qFormat/>
    <w:locked/>
    <w:uiPriority w:val="34"/>
    <w:rPr>
      <w:rFonts w:ascii="Times New Roman" w:hAnsi="Times New Roman" w:eastAsia="宋体" w:cs="Times New Roman"/>
      <w:kern w:val="2"/>
      <w:sz w:val="21"/>
    </w:rPr>
  </w:style>
  <w:style w:type="character" w:customStyle="1" w:styleId="50">
    <w:name w:val="批注框文本 Char"/>
    <w:basedOn w:val="16"/>
    <w:semiHidden/>
    <w:qFormat/>
    <w:uiPriority w:val="99"/>
    <w:rPr>
      <w:rFonts w:ascii="宋体" w:hAnsi="宋体" w:eastAsia="宋体" w:cs="宋体"/>
      <w:kern w:val="0"/>
      <w:sz w:val="18"/>
      <w:szCs w:val="18"/>
    </w:rPr>
  </w:style>
  <w:style w:type="paragraph" w:customStyle="1" w:styleId="51">
    <w:name w:val="修订11"/>
    <w:semiHidden/>
    <w:qFormat/>
    <w:uiPriority w:val="99"/>
    <w:rPr>
      <w:rFonts w:ascii="Times New Roman" w:hAnsi="Times New Roman" w:eastAsia="宋体" w:cs="Times New Roman"/>
      <w:kern w:val="2"/>
      <w:sz w:val="21"/>
      <w:lang w:val="en-US" w:eastAsia="zh-CN" w:bidi="ar-SA"/>
    </w:rPr>
  </w:style>
  <w:style w:type="paragraph" w:customStyle="1" w:styleId="52">
    <w:name w:val="_Style 26"/>
    <w:basedOn w:val="1"/>
    <w:next w:val="29"/>
    <w:qFormat/>
    <w:uiPriority w:val="34"/>
    <w:pPr>
      <w:widowControl/>
      <w:spacing w:line="360" w:lineRule="auto"/>
      <w:ind w:firstLine="420" w:firstLineChars="200"/>
      <w:jc w:val="left"/>
    </w:pPr>
    <w:rPr>
      <w:rFonts w:ascii="Calibri" w:hAnsi="Calibri" w:eastAsia="仿宋" w:cs="宋体"/>
      <w:kern w:val="0"/>
      <w:sz w:val="30"/>
      <w:szCs w:val="22"/>
    </w:rPr>
  </w:style>
  <w:style w:type="paragraph" w:customStyle="1" w:styleId="53">
    <w:name w:val="p1"/>
    <w:basedOn w:val="1"/>
    <w:qFormat/>
    <w:uiPriority w:val="0"/>
    <w:pPr>
      <w:widowControl/>
      <w:jc w:val="left"/>
    </w:pPr>
    <w:rPr>
      <w:rFonts w:ascii="PingFang SC" w:hAnsi="PingFang SC" w:eastAsia="PingFang SC"/>
      <w:kern w:val="0"/>
      <w:sz w:val="26"/>
      <w:szCs w:val="26"/>
    </w:rPr>
  </w:style>
  <w:style w:type="character" w:customStyle="1" w:styleId="54">
    <w:name w:val="s1"/>
    <w:basedOn w:val="16"/>
    <w:qFormat/>
    <w:uiPriority w:val="0"/>
    <w:rPr>
      <w:rFonts w:ascii="Helvetica Neue" w:hAnsi="Helvetica Neue" w:eastAsia="Helvetica Neue" w:cs="Helvetica Neue"/>
      <w:sz w:val="26"/>
      <w:szCs w:val="26"/>
    </w:rPr>
  </w:style>
  <w:style w:type="paragraph" w:customStyle="1" w:styleId="55">
    <w:name w:val="样式1"/>
    <w:basedOn w:val="1"/>
    <w:qFormat/>
    <w:uiPriority w:val="0"/>
    <w:pPr>
      <w:adjustRightInd w:val="0"/>
      <w:textAlignment w:val="baseline"/>
    </w:pPr>
    <w:rPr>
      <w:rFonts w:ascii="宋体" w:hAnsi="宋体"/>
      <w:kern w:val="0"/>
      <w:szCs w:val="21"/>
    </w:rPr>
  </w:style>
  <w:style w:type="character" w:customStyle="1" w:styleId="56">
    <w:name w:val="font41"/>
    <w:basedOn w:val="16"/>
    <w:qFormat/>
    <w:uiPriority w:val="0"/>
    <w:rPr>
      <w:rFonts w:hint="eastAsia" w:ascii="微软雅黑" w:hAnsi="微软雅黑" w:eastAsia="微软雅黑" w:cs="微软雅黑"/>
      <w:b/>
      <w:bCs/>
      <w:color w:val="000000"/>
      <w:sz w:val="22"/>
      <w:szCs w:val="22"/>
      <w:u w:val="none"/>
    </w:rPr>
  </w:style>
  <w:style w:type="paragraph" w:customStyle="1" w:styleId="57">
    <w:name w:val="p2"/>
    <w:basedOn w:val="1"/>
    <w:qFormat/>
    <w:uiPriority w:val="0"/>
    <w:pPr>
      <w:jc w:val="left"/>
    </w:pPr>
    <w:rPr>
      <w:rFonts w:ascii="PingFang SC" w:hAnsi="PingFang SC" w:eastAsia="PingFang SC"/>
      <w:kern w:val="0"/>
      <w:sz w:val="26"/>
      <w:szCs w:val="26"/>
    </w:rPr>
  </w:style>
  <w:style w:type="paragraph" w:customStyle="1" w:styleId="58">
    <w:name w:val="修订2"/>
    <w:hidden/>
    <w:unhideWhenUsed/>
    <w:qFormat/>
    <w:uiPriority w:val="99"/>
    <w:rPr>
      <w:rFonts w:ascii="Times New Roman" w:hAnsi="Times New Roman" w:eastAsia="宋体" w:cs="Times New Roman"/>
      <w:kern w:val="2"/>
      <w:sz w:val="21"/>
      <w:lang w:val="en-US" w:eastAsia="zh-CN" w:bidi="ar-SA"/>
    </w:rPr>
  </w:style>
  <w:style w:type="paragraph" w:customStyle="1" w:styleId="59">
    <w:name w:val="修订3"/>
    <w:hidden/>
    <w:unhideWhenUsed/>
    <w:qFormat/>
    <w:uiPriority w:val="99"/>
    <w:rPr>
      <w:rFonts w:ascii="Times New Roman" w:hAnsi="Times New Roman" w:eastAsia="宋体" w:cs="Times New Roman"/>
      <w:kern w:val="2"/>
      <w:sz w:val="21"/>
      <w:lang w:val="en-US" w:eastAsia="zh-CN" w:bidi="ar-SA"/>
    </w:rPr>
  </w:style>
  <w:style w:type="paragraph" w:customStyle="1" w:styleId="60">
    <w:name w:val="修订4"/>
    <w:hidden/>
    <w:unhideWhenUsed/>
    <w:qFormat/>
    <w:uiPriority w:val="99"/>
    <w:rPr>
      <w:rFonts w:ascii="Times New Roman" w:hAnsi="Times New Roman" w:eastAsia="宋体" w:cs="Times New Roman"/>
      <w:kern w:val="2"/>
      <w:sz w:val="21"/>
      <w:lang w:val="en-US" w:eastAsia="zh-CN" w:bidi="ar-SA"/>
    </w:rPr>
  </w:style>
  <w:style w:type="character" w:customStyle="1" w:styleId="61">
    <w:name w:val="text_xb8iq"/>
    <w:basedOn w:val="16"/>
    <w:qFormat/>
    <w:uiPriority w:val="0"/>
  </w:style>
  <w:style w:type="paragraph" w:customStyle="1" w:styleId="62">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AF600B20-552B-4FDA-A51A-2F8A91468EBB}">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1609</Words>
  <Characters>9177</Characters>
  <Lines>76</Lines>
  <Paragraphs>21</Paragraphs>
  <TotalTime>36</TotalTime>
  <ScaleCrop>false</ScaleCrop>
  <LinksUpToDate>false</LinksUpToDate>
  <CharactersWithSpaces>10765</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2025-07-27T02:24:00Z</dcterms:created>
  <dc:creator>User</dc:creator>
  <cp:lastModifiedBy>牛振宁</cp:lastModifiedBy>
  <dcterms:modified xsi:type="dcterms:W3CDTF">2025-07-29T16:06:32Z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D21D3A838399DE95FC9078689523B13F_43</vt:lpwstr>
  </property>
</Properties>
</file>