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4FF20">
      <w:pPr>
        <w:pStyle w:val="7"/>
        <w:adjustRightInd w:val="0"/>
        <w:snapToGrid w:val="0"/>
        <w:spacing w:before="0" w:after="0" w:line="360" w:lineRule="auto"/>
        <w:outlineLvl w:val="9"/>
        <w:rPr>
          <w:rFonts w:ascii="方正小标宋简体" w:hAnsi="宋体" w:eastAsia="方正小标宋简体"/>
          <w:b w:val="0"/>
          <w:bCs w:val="0"/>
          <w:sz w:val="36"/>
        </w:rPr>
      </w:pPr>
      <w:bookmarkStart w:id="0" w:name="_Toc38367762"/>
      <w:r>
        <w:rPr>
          <w:rFonts w:hint="eastAsia" w:ascii="方正小标宋简体" w:hAnsi="宋体" w:eastAsia="方正小标宋简体"/>
          <w:b w:val="0"/>
          <w:bCs w:val="0"/>
          <w:sz w:val="36"/>
        </w:rPr>
        <w:t>【电子直接探测系统】采购需求</w:t>
      </w:r>
      <w:bookmarkEnd w:id="0"/>
    </w:p>
    <w:p w14:paraId="77C2D7A7">
      <w:pPr>
        <w:tabs>
          <w:tab w:val="left" w:pos="900"/>
        </w:tabs>
        <w:adjustRightInd w:val="0"/>
        <w:snapToGrid w:val="0"/>
        <w:spacing w:line="360" w:lineRule="auto"/>
        <w:ind w:firstLine="422" w:firstLineChars="200"/>
        <w:rPr>
          <w:b/>
          <w:szCs w:val="21"/>
        </w:rPr>
      </w:pPr>
      <w:bookmarkStart w:id="1" w:name="_Toc172360661"/>
      <w:bookmarkStart w:id="2" w:name="_Toc158978330"/>
      <w:bookmarkStart w:id="3" w:name="_Toc219271393"/>
      <w:r>
        <w:rPr>
          <w:rFonts w:hint="eastAsia" w:hAnsi="宋体"/>
          <w:b/>
          <w:szCs w:val="21"/>
        </w:rPr>
        <w:t>一、</w:t>
      </w:r>
      <w:r>
        <w:rPr>
          <w:rFonts w:hAnsi="宋体"/>
          <w:b/>
          <w:szCs w:val="21"/>
        </w:rPr>
        <w:t>采购</w:t>
      </w:r>
      <w:r>
        <w:rPr>
          <w:rFonts w:hint="eastAsia" w:hAnsi="宋体"/>
          <w:b/>
          <w:szCs w:val="21"/>
        </w:rPr>
        <w:t>标的</w:t>
      </w:r>
      <w:r>
        <w:rPr>
          <w:rFonts w:hAnsi="宋体"/>
          <w:b/>
          <w:szCs w:val="21"/>
        </w:rPr>
        <w:t>需实现的功能或者目标，以及为落实政府采购政策需满足的要求：</w:t>
      </w:r>
    </w:p>
    <w:p w14:paraId="08D81523">
      <w:pPr>
        <w:tabs>
          <w:tab w:val="left" w:pos="900"/>
        </w:tabs>
        <w:adjustRightInd w:val="0"/>
        <w:snapToGrid w:val="0"/>
        <w:spacing w:line="360" w:lineRule="auto"/>
        <w:ind w:firstLine="422" w:firstLineChars="200"/>
        <w:rPr>
          <w:b/>
          <w:szCs w:val="21"/>
        </w:rPr>
      </w:pPr>
      <w:r>
        <w:rPr>
          <w:rFonts w:hAnsi="宋体"/>
          <w:b/>
          <w:szCs w:val="21"/>
        </w:rPr>
        <w:t>（一）采购</w:t>
      </w:r>
      <w:r>
        <w:rPr>
          <w:rFonts w:hint="eastAsia" w:hAnsi="宋体"/>
          <w:b/>
          <w:szCs w:val="21"/>
        </w:rPr>
        <w:t>标的</w:t>
      </w:r>
      <w:r>
        <w:rPr>
          <w:rFonts w:hAnsi="宋体"/>
          <w:b/>
          <w:szCs w:val="21"/>
        </w:rPr>
        <w:t>需实现的功能或者目标</w:t>
      </w:r>
    </w:p>
    <w:p w14:paraId="51E61BE6">
      <w:pPr>
        <w:autoSpaceDE w:val="0"/>
        <w:autoSpaceDN w:val="0"/>
        <w:adjustRightInd w:val="0"/>
        <w:spacing w:before="50"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本项目采购电子直接探测系统，1套，用于透射电镜电子束敏感材料的成像表征和电子能量损失谱研究，要求搭配现有的电子能量损失谱仪使用，实现成谱以及透射成像和能量过滤成像功能。</w:t>
      </w:r>
    </w:p>
    <w:p w14:paraId="7E45FA3A">
      <w:pPr>
        <w:tabs>
          <w:tab w:val="left" w:pos="900"/>
        </w:tabs>
        <w:adjustRightInd w:val="0"/>
        <w:snapToGrid w:val="0"/>
        <w:spacing w:line="360" w:lineRule="auto"/>
        <w:ind w:firstLine="422" w:firstLineChars="200"/>
        <w:rPr>
          <w:b/>
          <w:szCs w:val="21"/>
        </w:rPr>
      </w:pPr>
      <w:r>
        <w:rPr>
          <w:rFonts w:hAnsi="宋体"/>
          <w:b/>
          <w:szCs w:val="21"/>
        </w:rPr>
        <w:t>（二）政府采购政策</w:t>
      </w:r>
      <w:r>
        <w:rPr>
          <w:rFonts w:hint="eastAsia" w:hAnsi="宋体"/>
          <w:b/>
          <w:szCs w:val="21"/>
        </w:rPr>
        <w:t>落实</w:t>
      </w:r>
      <w:r>
        <w:rPr>
          <w:rFonts w:hAnsi="宋体"/>
          <w:b/>
          <w:szCs w:val="21"/>
        </w:rPr>
        <w:t>要求</w:t>
      </w:r>
    </w:p>
    <w:p w14:paraId="5D9D7DE0">
      <w:pPr>
        <w:tabs>
          <w:tab w:val="left" w:pos="900"/>
        </w:tabs>
        <w:adjustRightInd w:val="0"/>
        <w:snapToGrid w:val="0"/>
        <w:spacing w:line="360" w:lineRule="auto"/>
        <w:ind w:firstLine="420" w:firstLineChars="200"/>
        <w:rPr>
          <w:rFonts w:hAnsi="宋体"/>
          <w:szCs w:val="21"/>
        </w:rPr>
      </w:pPr>
      <w:r>
        <w:rPr>
          <w:rFonts w:hint="eastAsia" w:hAnsi="宋体"/>
          <w:szCs w:val="24"/>
        </w:rPr>
        <w:t>1</w:t>
      </w:r>
      <w:r>
        <w:rPr>
          <w:rFonts w:hAnsi="宋体"/>
          <w:szCs w:val="24"/>
        </w:rPr>
        <w:t xml:space="preserve">. </w:t>
      </w:r>
      <w:r>
        <w:rPr>
          <w:rFonts w:hint="eastAsia" w:hAnsi="宋体"/>
          <w:szCs w:val="24"/>
        </w:rPr>
        <w:t>中小企业扶持政策：</w:t>
      </w:r>
      <w:r>
        <w:rPr>
          <w:rFonts w:hAnsi="宋体"/>
          <w:szCs w:val="24"/>
        </w:rPr>
        <w:t>根据</w:t>
      </w:r>
      <w:r>
        <w:rPr>
          <w:rFonts w:hAnsi="宋体"/>
        </w:rPr>
        <w:t>《政府采购促进中小企业发展管理办法》</w:t>
      </w:r>
      <w:r>
        <w:rPr>
          <w:rFonts w:hint="eastAsia" w:hAnsi="宋体"/>
        </w:rPr>
        <w:t>（财库〔2</w:t>
      </w:r>
      <w:r>
        <w:rPr>
          <w:rFonts w:hAnsi="宋体"/>
        </w:rPr>
        <w:t>020</w:t>
      </w:r>
      <w:r>
        <w:rPr>
          <w:rFonts w:hint="eastAsia" w:hAnsi="宋体"/>
        </w:rPr>
        <w:t>〕4</w:t>
      </w:r>
      <w:r>
        <w:rPr>
          <w:rFonts w:hAnsi="宋体"/>
        </w:rPr>
        <w:t>6</w:t>
      </w:r>
      <w:r>
        <w:rPr>
          <w:rFonts w:hint="eastAsia" w:hAnsi="宋体"/>
        </w:rPr>
        <w:t>号）</w:t>
      </w:r>
      <w:r>
        <w:rPr>
          <w:rFonts w:hAnsi="宋体"/>
        </w:rPr>
        <w:t>规定，本项目</w:t>
      </w:r>
      <w:r>
        <w:rPr>
          <w:rFonts w:hint="eastAsia" w:hAnsi="宋体"/>
        </w:rPr>
        <w:t>采购标的</w:t>
      </w:r>
      <w:r>
        <w:rPr>
          <w:rFonts w:hAnsi="宋体"/>
        </w:rPr>
        <w:t>为</w:t>
      </w:r>
      <w:r>
        <w:rPr>
          <w:rFonts w:hint="eastAsia" w:hAnsi="宋体"/>
        </w:rPr>
        <w:t>中小</w:t>
      </w:r>
      <w:r>
        <w:rPr>
          <w:rFonts w:hAnsi="宋体"/>
        </w:rPr>
        <w:t>型企业</w:t>
      </w:r>
      <w:r>
        <w:rPr>
          <w:rFonts w:hint="eastAsia" w:hAnsi="宋体"/>
        </w:rPr>
        <w:t>制造、承建或承接</w:t>
      </w:r>
      <w:r>
        <w:rPr>
          <w:rFonts w:hAnsi="宋体"/>
          <w:szCs w:val="24"/>
        </w:rPr>
        <w:t>的，</w:t>
      </w:r>
      <w:r>
        <w:rPr>
          <w:rFonts w:hAnsi="宋体"/>
        </w:rPr>
        <w:t>投标人应</w:t>
      </w:r>
      <w:r>
        <w:rPr>
          <w:rFonts w:hint="eastAsia" w:hAnsi="宋体"/>
        </w:rPr>
        <w:t>提供办法规定的</w:t>
      </w:r>
      <w:r>
        <w:rPr>
          <w:rFonts w:hAnsi="宋体"/>
          <w:szCs w:val="21"/>
        </w:rPr>
        <w:t>《中小企业声明函》</w:t>
      </w:r>
      <w:r>
        <w:rPr>
          <w:rFonts w:hint="eastAsia" w:hAnsi="宋体"/>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10E82A49">
      <w:pPr>
        <w:tabs>
          <w:tab w:val="left" w:pos="900"/>
        </w:tabs>
        <w:adjustRightInd w:val="0"/>
        <w:snapToGrid w:val="0"/>
        <w:spacing w:line="360" w:lineRule="auto"/>
        <w:ind w:firstLine="420" w:firstLineChars="200"/>
        <w:rPr>
          <w:rFonts w:hAnsi="宋体"/>
          <w:szCs w:val="24"/>
        </w:rPr>
      </w:pPr>
      <w:r>
        <w:rPr>
          <w:rFonts w:hint="eastAsia" w:hAnsi="宋体"/>
          <w:szCs w:val="24"/>
        </w:rPr>
        <w:t>本项目</w:t>
      </w:r>
      <w:bookmarkStart w:id="4" w:name="OLE_LINK23"/>
      <w:r>
        <w:rPr>
          <w:rFonts w:hint="eastAsia" w:hAnsi="宋体"/>
          <w:szCs w:val="24"/>
        </w:rPr>
        <w:t>采购标的对应的《中小企业划型标准规定》所属行业</w:t>
      </w:r>
      <w:bookmarkEnd w:id="4"/>
      <w:r>
        <w:rPr>
          <w:rFonts w:hint="eastAsia" w:hAnsi="宋体"/>
          <w:szCs w:val="24"/>
        </w:rPr>
        <w:t>为：</w:t>
      </w:r>
      <w:r>
        <w:rPr>
          <w:rFonts w:hint="eastAsia" w:hAnsi="宋体"/>
          <w:szCs w:val="24"/>
          <w:u w:val="single"/>
        </w:rPr>
        <w:t xml:space="preserve"> </w:t>
      </w:r>
      <w:r>
        <w:rPr>
          <w:rFonts w:hAnsi="宋体"/>
          <w:szCs w:val="24"/>
          <w:u w:val="single"/>
        </w:rPr>
        <w:t xml:space="preserve">  </w:t>
      </w:r>
      <w:r>
        <w:rPr>
          <w:rFonts w:hint="eastAsia" w:hAnsi="宋体"/>
          <w:szCs w:val="24"/>
          <w:u w:val="single"/>
        </w:rPr>
        <w:t>工业</w:t>
      </w:r>
      <w:r>
        <w:rPr>
          <w:rFonts w:hAnsi="宋体"/>
          <w:szCs w:val="24"/>
          <w:u w:val="single"/>
        </w:rPr>
        <w:t xml:space="preserve">   </w:t>
      </w:r>
      <w:r>
        <w:rPr>
          <w:rFonts w:hint="eastAsia" w:hAnsi="宋体"/>
          <w:szCs w:val="24"/>
        </w:rPr>
        <w:t>。</w:t>
      </w:r>
    </w:p>
    <w:p w14:paraId="34515769">
      <w:pPr>
        <w:tabs>
          <w:tab w:val="left" w:pos="900"/>
        </w:tabs>
        <w:adjustRightInd w:val="0"/>
        <w:snapToGrid w:val="0"/>
        <w:spacing w:line="360" w:lineRule="auto"/>
        <w:ind w:firstLine="420" w:firstLineChars="200"/>
        <w:rPr>
          <w:rFonts w:hAnsi="宋体"/>
          <w:szCs w:val="24"/>
        </w:rPr>
      </w:pPr>
      <w:r>
        <w:rPr>
          <w:rFonts w:hAnsi="宋体"/>
          <w:szCs w:val="24"/>
        </w:rPr>
        <w:t xml:space="preserve">2. </w:t>
      </w:r>
      <w:r>
        <w:rPr>
          <w:rFonts w:hint="eastAsia" w:hAnsi="宋体"/>
          <w:szCs w:val="24"/>
        </w:rPr>
        <w:t>进口产品政策：本采购项目</w:t>
      </w:r>
      <w:r>
        <w:rPr>
          <w:rFonts w:hAnsi="宋体"/>
          <w:szCs w:val="24"/>
        </w:rPr>
        <w:t xml:space="preserve"> </w:t>
      </w:r>
      <w:r>
        <w:rPr>
          <w:rFonts w:hint="eastAsia" w:hAnsi="宋体"/>
          <w:szCs w:val="24"/>
        </w:rPr>
        <w:sym w:font="Wingdings 2" w:char="F052"/>
      </w:r>
      <w:r>
        <w:rPr>
          <w:rFonts w:hint="eastAsia" w:hAnsi="宋体"/>
          <w:szCs w:val="24"/>
        </w:rPr>
        <w:t>允许</w:t>
      </w:r>
      <w:r>
        <w:rPr>
          <w:rFonts w:hAnsi="宋体"/>
          <w:szCs w:val="24"/>
        </w:rPr>
        <w:t xml:space="preserve"> </w:t>
      </w:r>
      <w:r>
        <w:rPr>
          <w:rFonts w:hint="eastAsia" w:hAnsi="宋体"/>
          <w:szCs w:val="24"/>
        </w:rPr>
        <w:t>□不允许</w:t>
      </w:r>
      <w:r>
        <w:rPr>
          <w:rFonts w:hAnsi="宋体"/>
          <w:szCs w:val="24"/>
        </w:rPr>
        <w:t xml:space="preserve"> </w:t>
      </w:r>
      <w:r>
        <w:rPr>
          <w:rFonts w:hint="eastAsia" w:hAnsi="宋体"/>
          <w:szCs w:val="24"/>
        </w:rPr>
        <w:t>进口产品参加。（未进行勾选的，视为只接受本国产品参加）</w:t>
      </w:r>
    </w:p>
    <w:p w14:paraId="3A979E91">
      <w:pPr>
        <w:tabs>
          <w:tab w:val="left" w:pos="900"/>
        </w:tabs>
        <w:adjustRightInd w:val="0"/>
        <w:snapToGrid w:val="0"/>
        <w:spacing w:line="360" w:lineRule="auto"/>
        <w:ind w:firstLine="422" w:firstLineChars="200"/>
        <w:rPr>
          <w:rFonts w:hAnsi="宋体"/>
          <w:b/>
          <w:szCs w:val="21"/>
        </w:rPr>
      </w:pPr>
      <w:r>
        <w:rPr>
          <w:rFonts w:hint="eastAsia" w:hAnsi="宋体"/>
          <w:b/>
          <w:szCs w:val="21"/>
        </w:rPr>
        <w:t>二、</w:t>
      </w:r>
      <w:r>
        <w:rPr>
          <w:rFonts w:hAnsi="宋体"/>
          <w:b/>
          <w:szCs w:val="21"/>
        </w:rPr>
        <w:t>采购</w:t>
      </w:r>
      <w:r>
        <w:rPr>
          <w:rFonts w:hint="eastAsia" w:hAnsi="宋体"/>
          <w:b/>
          <w:szCs w:val="21"/>
        </w:rPr>
        <w:t>标的</w:t>
      </w:r>
      <w:r>
        <w:rPr>
          <w:rFonts w:hAnsi="宋体"/>
          <w:b/>
          <w:szCs w:val="21"/>
        </w:rPr>
        <w:t>需执行的国家相关标准、行业标准、地方标准或者其他标准、规范：</w:t>
      </w:r>
    </w:p>
    <w:p w14:paraId="4D759371">
      <w:pPr>
        <w:tabs>
          <w:tab w:val="left" w:pos="900"/>
        </w:tabs>
        <w:adjustRightInd w:val="0"/>
        <w:snapToGrid w:val="0"/>
        <w:spacing w:line="360" w:lineRule="auto"/>
        <w:ind w:firstLine="420" w:firstLineChars="200"/>
        <w:rPr>
          <w:szCs w:val="21"/>
        </w:rPr>
      </w:pPr>
      <w:r>
        <w:rPr>
          <w:rFonts w:hint="eastAsia"/>
          <w:szCs w:val="21"/>
        </w:rPr>
        <w:t>1.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5A8FCC1C">
      <w:pPr>
        <w:tabs>
          <w:tab w:val="left" w:pos="900"/>
        </w:tabs>
        <w:adjustRightInd w:val="0"/>
        <w:snapToGrid w:val="0"/>
        <w:spacing w:line="360" w:lineRule="auto"/>
        <w:ind w:firstLine="422" w:firstLineChars="200"/>
        <w:rPr>
          <w:rFonts w:hAnsi="宋体"/>
          <w:b/>
          <w:szCs w:val="21"/>
        </w:rPr>
      </w:pPr>
      <w:r>
        <w:rPr>
          <w:rFonts w:hint="eastAsia" w:hAnsi="宋体"/>
          <w:b/>
          <w:szCs w:val="21"/>
        </w:rPr>
        <w:t>三、采购标的概况</w:t>
      </w:r>
    </w:p>
    <w:p w14:paraId="599624B6">
      <w:pPr>
        <w:adjustRightInd w:val="0"/>
        <w:snapToGrid w:val="0"/>
        <w:spacing w:line="360" w:lineRule="auto"/>
        <w:ind w:firstLine="420" w:firstLineChars="200"/>
        <w:rPr>
          <w:rFonts w:hAnsi="宋体"/>
          <w:szCs w:val="21"/>
        </w:rPr>
      </w:pPr>
      <w:r>
        <w:rPr>
          <w:rFonts w:hint="eastAsia" w:ascii="宋体" w:hAnsi="宋体"/>
          <w:szCs w:val="21"/>
        </w:rPr>
        <w:t>（一）采购项目名称：</w:t>
      </w:r>
      <w:r>
        <w:rPr>
          <w:rFonts w:hint="eastAsia" w:ascii="宋体" w:hAnsi="宋体"/>
          <w:szCs w:val="21"/>
          <w:u w:val="single"/>
        </w:rPr>
        <w:t xml:space="preserve"> </w:t>
      </w:r>
      <w:r>
        <w:rPr>
          <w:rFonts w:ascii="宋体" w:hAnsi="宋体"/>
          <w:szCs w:val="21"/>
          <w:u w:val="single"/>
        </w:rPr>
        <w:t xml:space="preserve">                    </w:t>
      </w:r>
      <w:r>
        <w:rPr>
          <w:rFonts w:hint="eastAsia" w:ascii="宋体" w:hAnsi="宋体"/>
          <w:color w:val="000000" w:themeColor="text1"/>
          <w:szCs w:val="21"/>
          <w:u w:val="single"/>
          <w14:textFill>
            <w14:solidFill>
              <w14:schemeClr w14:val="tx1"/>
            </w14:solidFill>
          </w14:textFill>
        </w:rPr>
        <w:t>电子直接探测系统</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700B5273">
      <w:pPr>
        <w:adjustRightInd w:val="0"/>
        <w:snapToGrid w:val="0"/>
        <w:spacing w:line="360" w:lineRule="auto"/>
        <w:ind w:firstLine="420" w:firstLineChars="200"/>
        <w:rPr>
          <w:rFonts w:hAnsi="宋体"/>
          <w:szCs w:val="21"/>
          <w:u w:val="single"/>
        </w:rPr>
      </w:pPr>
      <w:r>
        <w:rPr>
          <w:rFonts w:hint="eastAsia" w:hAnsi="宋体"/>
          <w:szCs w:val="21"/>
        </w:rPr>
        <w:t>（二）采购数量及计量单位：</w:t>
      </w:r>
      <w:r>
        <w:rPr>
          <w:rFonts w:ascii="宋体" w:hAnsi="宋体"/>
          <w:szCs w:val="21"/>
          <w:u w:val="single"/>
        </w:rPr>
        <w:t xml:space="preserve">                        </w:t>
      </w:r>
      <w:r>
        <w:rPr>
          <w:rFonts w:hint="eastAsia" w:ascii="宋体" w:hAnsi="宋体"/>
          <w:szCs w:val="21"/>
          <w:u w:val="single"/>
        </w:rPr>
        <w:t>1套</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7D66FB09">
      <w:pPr>
        <w:adjustRightInd w:val="0"/>
        <w:snapToGrid w:val="0"/>
        <w:spacing w:line="360" w:lineRule="auto"/>
        <w:ind w:firstLine="420" w:firstLineChars="200"/>
        <w:rPr>
          <w:rFonts w:hAnsi="宋体"/>
          <w:szCs w:val="21"/>
        </w:rPr>
      </w:pPr>
      <w:r>
        <w:rPr>
          <w:rFonts w:hint="eastAsia" w:hAnsi="宋体"/>
          <w:szCs w:val="21"/>
        </w:rPr>
        <w:t>（三）最高限价：人民币</w:t>
      </w:r>
      <w:r>
        <w:rPr>
          <w:rFonts w:hint="eastAsia" w:hAnsi="宋体"/>
          <w:szCs w:val="21"/>
          <w:u w:val="single"/>
        </w:rPr>
        <w:t xml:space="preserve"> </w:t>
      </w:r>
      <w:r>
        <w:rPr>
          <w:rFonts w:hAnsi="宋体"/>
          <w:szCs w:val="21"/>
          <w:u w:val="single"/>
        </w:rPr>
        <w:t xml:space="preserve">     </w:t>
      </w:r>
      <w:r>
        <w:rPr>
          <w:rFonts w:hint="eastAsia" w:hAnsi="宋体"/>
          <w:szCs w:val="21"/>
          <w:u w:val="single"/>
        </w:rPr>
        <w:t>808万</w:t>
      </w:r>
      <w:r>
        <w:rPr>
          <w:rFonts w:hAnsi="宋体"/>
          <w:szCs w:val="21"/>
          <w:u w:val="single"/>
        </w:rPr>
        <w:t xml:space="preserve">     </w:t>
      </w:r>
      <w:r>
        <w:rPr>
          <w:rFonts w:hint="eastAsia" w:hAnsi="宋体"/>
          <w:szCs w:val="21"/>
        </w:rPr>
        <w:t>元（大写：</w:t>
      </w:r>
      <w:r>
        <w:rPr>
          <w:rFonts w:hAnsi="宋体"/>
          <w:szCs w:val="21"/>
          <w:u w:val="single"/>
        </w:rPr>
        <w:t xml:space="preserve">       </w:t>
      </w:r>
      <w:r>
        <w:rPr>
          <w:rFonts w:hint="eastAsia" w:hAnsi="宋体"/>
          <w:szCs w:val="21"/>
          <w:u w:val="single"/>
        </w:rPr>
        <w:t>人民币捌佰零捌万元整</w:t>
      </w:r>
      <w:r>
        <w:rPr>
          <w:rFonts w:hAnsi="宋体"/>
          <w:szCs w:val="21"/>
          <w:u w:val="single"/>
        </w:rPr>
        <w:t xml:space="preserve">          </w:t>
      </w:r>
      <w:r>
        <w:rPr>
          <w:rFonts w:hint="eastAsia" w:hAnsi="宋体"/>
          <w:szCs w:val="21"/>
        </w:rPr>
        <w:t>）</w:t>
      </w:r>
    </w:p>
    <w:p w14:paraId="72B992CF">
      <w:pPr>
        <w:adjustRightInd w:val="0"/>
        <w:snapToGrid w:val="0"/>
        <w:spacing w:line="360" w:lineRule="auto"/>
        <w:ind w:firstLine="420" w:firstLineChars="200"/>
        <w:rPr>
          <w:szCs w:val="21"/>
        </w:rPr>
      </w:pPr>
      <w:r>
        <w:rPr>
          <w:rFonts w:hint="eastAsia" w:hAnsi="宋体"/>
          <w:szCs w:val="21"/>
        </w:rPr>
        <w:t>（四）</w:t>
      </w:r>
      <w:r>
        <w:rPr>
          <w:rFonts w:hAnsi="宋体"/>
          <w:szCs w:val="21"/>
        </w:rPr>
        <w:t>交付时间：</w:t>
      </w:r>
      <w:r>
        <w:rPr>
          <w:rFonts w:hAnsi="宋体"/>
        </w:rPr>
        <w:t>合同签订后</w:t>
      </w:r>
      <w:r>
        <w:rPr>
          <w:rFonts w:hAnsi="宋体"/>
          <w:u w:val="single"/>
        </w:rPr>
        <w:t xml:space="preserve">     </w:t>
      </w:r>
      <w:r>
        <w:rPr>
          <w:rFonts w:hAnsi="宋体"/>
          <w:szCs w:val="21"/>
          <w:u w:val="single"/>
        </w:rPr>
        <w:t xml:space="preserve">                  </w:t>
      </w:r>
      <w:r>
        <w:rPr>
          <w:rFonts w:hint="eastAsia" w:hAnsi="宋体"/>
          <w:u w:val="single"/>
        </w:rPr>
        <w:t>300</w:t>
      </w:r>
      <w:r>
        <w:rPr>
          <w:rFonts w:hAnsi="宋体"/>
          <w:szCs w:val="21"/>
          <w:u w:val="single"/>
        </w:rPr>
        <w:t xml:space="preserve">                          </w:t>
      </w:r>
      <w:r>
        <w:rPr>
          <w:rFonts w:hAnsi="宋体"/>
          <w:u w:val="single"/>
        </w:rPr>
        <w:t xml:space="preserve">  </w:t>
      </w:r>
      <w:r>
        <w:rPr>
          <w:rFonts w:hint="eastAsia" w:hAnsi="宋体"/>
        </w:rPr>
        <w:t>天内</w:t>
      </w:r>
    </w:p>
    <w:p w14:paraId="544209DB">
      <w:pPr>
        <w:tabs>
          <w:tab w:val="left" w:pos="420"/>
          <w:tab w:val="left" w:pos="900"/>
        </w:tabs>
        <w:adjustRightInd w:val="0"/>
        <w:snapToGrid w:val="0"/>
        <w:spacing w:line="360" w:lineRule="auto"/>
        <w:ind w:firstLine="420" w:firstLineChars="200"/>
        <w:rPr>
          <w:rFonts w:ascii="宋体" w:hAnsi="宋体"/>
          <w:szCs w:val="21"/>
        </w:rPr>
      </w:pPr>
      <w:r>
        <w:rPr>
          <w:rFonts w:hint="eastAsia" w:hAnsi="宋体"/>
          <w:szCs w:val="21"/>
        </w:rPr>
        <w:t>（五）</w:t>
      </w:r>
      <w:r>
        <w:rPr>
          <w:rFonts w:hAnsi="宋体"/>
          <w:szCs w:val="21"/>
        </w:rPr>
        <w:t>交付地点：</w:t>
      </w:r>
      <w:r>
        <w:rPr>
          <w:rFonts w:hAnsi="宋体"/>
          <w:szCs w:val="21"/>
          <w:u w:val="single"/>
        </w:rPr>
        <w:t xml:space="preserve">   </w:t>
      </w:r>
      <w:r>
        <w:rPr>
          <w:rFonts w:hint="eastAsia" w:hAnsi="宋体"/>
          <w:szCs w:val="21"/>
          <w:u w:val="single"/>
        </w:rPr>
        <w:t>西安交通大学创新港校区18号楼辅楼分析测试共享中心1012房间</w:t>
      </w:r>
      <w:r>
        <w:rPr>
          <w:rFonts w:hAnsi="宋体"/>
          <w:szCs w:val="21"/>
          <w:u w:val="single"/>
        </w:rPr>
        <w:t xml:space="preserve">      </w:t>
      </w:r>
    </w:p>
    <w:p w14:paraId="179C3B80">
      <w:pPr>
        <w:tabs>
          <w:tab w:val="left" w:pos="900"/>
        </w:tabs>
        <w:adjustRightInd w:val="0"/>
        <w:snapToGrid w:val="0"/>
        <w:spacing w:line="360" w:lineRule="auto"/>
        <w:ind w:firstLine="420" w:firstLineChars="200"/>
        <w:rPr>
          <w:rFonts w:hAnsi="宋体"/>
          <w:szCs w:val="21"/>
        </w:rPr>
      </w:pPr>
      <w:r>
        <w:rPr>
          <w:rFonts w:hint="eastAsia" w:hAnsi="宋体"/>
          <w:szCs w:val="21"/>
        </w:rPr>
        <w:t>（六）付款进度安排：</w:t>
      </w:r>
      <w:r>
        <w:rPr>
          <w:rFonts w:hint="eastAsia" w:hAnsi="宋体"/>
          <w:szCs w:val="24"/>
        </w:rPr>
        <w:sym w:font="Wingdings 2" w:char="F052"/>
      </w:r>
      <w:r>
        <w:rPr>
          <w:rFonts w:hint="eastAsia" w:hAnsi="宋体"/>
          <w:szCs w:val="21"/>
        </w:rPr>
        <w:t xml:space="preserve"> 按</w:t>
      </w:r>
      <w:r>
        <w:rPr>
          <w:rFonts w:hAnsi="宋体"/>
          <w:szCs w:val="21"/>
        </w:rPr>
        <w:t>采购文件</w:t>
      </w:r>
      <w:r>
        <w:rPr>
          <w:rFonts w:hint="eastAsia" w:hAnsi="宋体"/>
          <w:szCs w:val="21"/>
        </w:rPr>
        <w:t>要求。</w:t>
      </w:r>
    </w:p>
    <w:p w14:paraId="5FA361AF">
      <w:pPr>
        <w:tabs>
          <w:tab w:val="left" w:pos="900"/>
        </w:tabs>
        <w:adjustRightInd w:val="0"/>
        <w:snapToGrid w:val="0"/>
        <w:spacing w:line="360" w:lineRule="auto"/>
        <w:ind w:firstLine="402" w:firstLineChars="200"/>
        <w:rPr>
          <w:rFonts w:hAnsi="宋体"/>
          <w:szCs w:val="21"/>
        </w:rPr>
      </w:pPr>
      <w:r>
        <w:rPr>
          <w:rFonts w:cs="宋体" w:asciiTheme="minorEastAsia" w:hAnsiTheme="minorEastAsia"/>
          <w:b/>
          <w:color w:val="000000"/>
          <w:kern w:val="0"/>
          <w:sz w:val="20"/>
          <w:szCs w:val="21"/>
        </w:rPr>
        <w:tab/>
      </w:r>
      <w:r>
        <w:rPr>
          <w:rFonts w:cs="宋体" w:asciiTheme="minorEastAsia" w:hAnsiTheme="minorEastAsia"/>
          <w:b/>
          <w:color w:val="000000"/>
          <w:kern w:val="0"/>
          <w:sz w:val="20"/>
          <w:szCs w:val="21"/>
        </w:rPr>
        <w:tab/>
      </w:r>
      <w:r>
        <w:rPr>
          <w:rFonts w:cs="宋体" w:asciiTheme="minorEastAsia" w:hAnsiTheme="minorEastAsia"/>
          <w:b/>
          <w:color w:val="000000"/>
          <w:kern w:val="0"/>
          <w:sz w:val="20"/>
          <w:szCs w:val="21"/>
        </w:rPr>
        <w:tab/>
      </w:r>
      <w:r>
        <w:rPr>
          <w:rFonts w:cs="宋体" w:asciiTheme="minorEastAsia" w:hAnsiTheme="minorEastAsia"/>
          <w:b/>
          <w:color w:val="000000"/>
          <w:kern w:val="0"/>
          <w:sz w:val="20"/>
          <w:szCs w:val="21"/>
        </w:rPr>
        <w:tab/>
      </w:r>
      <w:r>
        <w:rPr>
          <w:rFonts w:cs="宋体" w:asciiTheme="minorEastAsia" w:hAnsiTheme="minorEastAsia"/>
          <w:b/>
          <w:color w:val="000000"/>
          <w:kern w:val="0"/>
          <w:sz w:val="20"/>
          <w:szCs w:val="21"/>
        </w:rPr>
        <w:tab/>
      </w:r>
      <w:r>
        <w:rPr>
          <w:rFonts w:hint="eastAsia" w:cs="宋体" w:asciiTheme="minorEastAsia" w:hAnsiTheme="minorEastAsia"/>
          <w:b/>
          <w:color w:val="000000"/>
          <w:kern w:val="0"/>
          <w:sz w:val="20"/>
          <w:szCs w:val="21"/>
        </w:rPr>
        <w:t>□</w:t>
      </w:r>
      <w:r>
        <w:rPr>
          <w:rFonts w:hAnsi="宋体"/>
          <w:szCs w:val="21"/>
        </w:rPr>
        <w:t>其他要求</w:t>
      </w:r>
      <w:r>
        <w:rPr>
          <w:rFonts w:hint="eastAsia" w:hAnsi="宋体"/>
          <w:szCs w:val="21"/>
        </w:rPr>
        <w:t>：</w:t>
      </w:r>
      <w:r>
        <w:rPr>
          <w:rFonts w:hAnsi="宋体"/>
          <w:szCs w:val="21"/>
          <w:u w:val="single"/>
        </w:rPr>
        <w:t xml:space="preserve">                                  </w:t>
      </w:r>
      <w:r>
        <w:rPr>
          <w:rFonts w:hAnsi="宋体"/>
          <w:szCs w:val="21"/>
        </w:rPr>
        <w:t xml:space="preserve"> </w:t>
      </w:r>
      <w:r>
        <w:rPr>
          <w:rFonts w:hint="eastAsia" w:hAnsi="宋体"/>
          <w:szCs w:val="21"/>
        </w:rPr>
        <w:t>。</w:t>
      </w:r>
    </w:p>
    <w:p w14:paraId="3C999C16">
      <w:pPr>
        <w:tabs>
          <w:tab w:val="left" w:pos="900"/>
        </w:tabs>
        <w:adjustRightInd w:val="0"/>
        <w:snapToGrid w:val="0"/>
        <w:spacing w:line="360" w:lineRule="auto"/>
        <w:ind w:firstLine="422" w:firstLineChars="200"/>
        <w:rPr>
          <w:rFonts w:hAnsi="宋体"/>
          <w:b/>
          <w:szCs w:val="21"/>
        </w:rPr>
      </w:pPr>
      <w:r>
        <w:rPr>
          <w:rFonts w:hint="eastAsia" w:hAnsi="宋体"/>
          <w:b/>
          <w:szCs w:val="21"/>
        </w:rPr>
        <w:t>四、采购标的需满足的质量、安全、技术规格、物理特性等要求：</w:t>
      </w:r>
    </w:p>
    <w:p w14:paraId="14476003">
      <w:pPr>
        <w:tabs>
          <w:tab w:val="left" w:pos="900"/>
        </w:tabs>
        <w:adjustRightInd w:val="0"/>
        <w:snapToGrid w:val="0"/>
        <w:spacing w:line="360" w:lineRule="auto"/>
        <w:ind w:firstLine="420" w:firstLineChars="200"/>
        <w:rPr>
          <w:rFonts w:asciiTheme="minorEastAsia" w:hAnsiTheme="minorEastAsia" w:eastAsiaTheme="minorEastAsia"/>
          <w:bCs/>
          <w:szCs w:val="21"/>
        </w:rPr>
      </w:pPr>
      <w:r>
        <w:rPr>
          <w:rFonts w:hint="eastAsia" w:ascii="宋体" w:hAnsi="宋体"/>
          <w:bCs/>
          <w:szCs w:val="21"/>
        </w:rPr>
        <w:t>（标*项目为重要指标，不做废标项处理）</w:t>
      </w:r>
    </w:p>
    <w:p w14:paraId="59CDD2D2">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1 </w:t>
      </w:r>
      <w:r>
        <w:rPr>
          <w:rFonts w:hint="eastAsia"/>
          <w:color w:val="000000" w:themeColor="text1"/>
          <w:szCs w:val="21"/>
          <w14:textFill>
            <w14:solidFill>
              <w14:schemeClr w14:val="tx1"/>
            </w14:solidFill>
          </w14:textFill>
        </w:rPr>
        <w:t>安装于现有的</w:t>
      </w:r>
      <w:r>
        <w:rPr>
          <w:color w:val="000000" w:themeColor="text1"/>
          <w:szCs w:val="21"/>
          <w14:textFill>
            <w14:solidFill>
              <w14:schemeClr w14:val="tx1"/>
            </w14:solidFill>
          </w14:textFill>
        </w:rPr>
        <w:t>JEOL JEM-ARM</w:t>
      </w:r>
      <w:r>
        <w:rPr>
          <w:rFonts w:hint="eastAsia"/>
          <w:color w:val="000000" w:themeColor="text1"/>
          <w:szCs w:val="21"/>
          <w14:textFill>
            <w14:solidFill>
              <w14:schemeClr w14:val="tx1"/>
            </w14:solidFill>
          </w14:textFill>
        </w:rPr>
        <w:t>300</w:t>
      </w:r>
      <w:r>
        <w:rPr>
          <w:color w:val="000000" w:themeColor="text1"/>
          <w:szCs w:val="21"/>
          <w14:textFill>
            <w14:solidFill>
              <w14:schemeClr w14:val="tx1"/>
            </w14:solidFill>
          </w14:textFill>
        </w:rPr>
        <w:t>F</w:t>
      </w:r>
      <w:r>
        <w:rPr>
          <w:rFonts w:hint="eastAsia"/>
          <w:color w:val="000000" w:themeColor="text1"/>
          <w:szCs w:val="21"/>
          <w14:textFill>
            <w14:solidFill>
              <w14:schemeClr w14:val="tx1"/>
            </w14:solidFill>
          </w14:textFill>
        </w:rPr>
        <w:t>2双球差校正透射电镜中Gatan</w:t>
      </w:r>
      <w:r>
        <w:rPr>
          <w:color w:val="000000" w:themeColor="text1"/>
          <w:szCs w:val="21"/>
          <w14:textFill>
            <w14:solidFill>
              <w14:schemeClr w14:val="tx1"/>
            </w14:solidFill>
          </w14:textFill>
        </w:rPr>
        <w:t xml:space="preserve"> C</w:t>
      </w:r>
      <w:r>
        <w:rPr>
          <w:rFonts w:hint="eastAsia"/>
          <w:color w:val="000000" w:themeColor="text1"/>
          <w:szCs w:val="21"/>
          <w14:textFill>
            <w14:solidFill>
              <w14:schemeClr w14:val="tx1"/>
            </w14:solidFill>
          </w14:textFill>
        </w:rPr>
        <w:t>ontinuum</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1065电子能量损失谱仪后端，用于敏感类材料的成像和能量损失谱获取</w:t>
      </w:r>
      <w:r>
        <w:rPr>
          <w:color w:val="000000" w:themeColor="text1"/>
          <w:szCs w:val="21"/>
          <w14:textFill>
            <w14:solidFill>
              <w14:schemeClr w14:val="tx1"/>
            </w14:solidFill>
          </w14:textFill>
        </w:rPr>
        <w:t xml:space="preserve"> </w:t>
      </w:r>
    </w:p>
    <w:p w14:paraId="481DBA06">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操作电压：8</w:t>
      </w:r>
      <w:r>
        <w:rPr>
          <w:color w:val="000000" w:themeColor="text1"/>
          <w:szCs w:val="21"/>
          <w14:textFill>
            <w14:solidFill>
              <w14:schemeClr w14:val="tx1"/>
            </w14:solidFill>
          </w14:textFill>
        </w:rPr>
        <w:t>0-</w:t>
      </w: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00KV</w:t>
      </w:r>
      <w:r>
        <w:rPr>
          <w:rFonts w:hint="eastAsia"/>
          <w:color w:val="000000" w:themeColor="text1"/>
          <w:szCs w:val="21"/>
          <w14:textFill>
            <w14:solidFill>
              <w14:schemeClr w14:val="tx1"/>
            </w14:solidFill>
          </w14:textFill>
        </w:rPr>
        <w:t>，在300k</w:t>
      </w:r>
      <w:r>
        <w:rPr>
          <w:color w:val="000000" w:themeColor="text1"/>
          <w:szCs w:val="21"/>
          <w14:textFill>
            <w14:solidFill>
              <w14:schemeClr w14:val="tx1"/>
            </w14:solidFill>
          </w14:textFill>
        </w:rPr>
        <w:t>V</w:t>
      </w:r>
      <w:r>
        <w:rPr>
          <w:rFonts w:hint="eastAsia"/>
          <w:color w:val="000000" w:themeColor="text1"/>
          <w:szCs w:val="21"/>
          <w14:textFill>
            <w14:solidFill>
              <w14:schemeClr w14:val="tx1"/>
            </w14:solidFill>
          </w14:textFill>
        </w:rPr>
        <w:t>、200k</w:t>
      </w:r>
      <w:r>
        <w:rPr>
          <w:color w:val="000000" w:themeColor="text1"/>
          <w:szCs w:val="21"/>
          <w14:textFill>
            <w14:solidFill>
              <w14:schemeClr w14:val="tx1"/>
            </w14:solidFill>
          </w14:textFill>
        </w:rPr>
        <w:t>V</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80k</w:t>
      </w:r>
      <w:r>
        <w:rPr>
          <w:rFonts w:hint="eastAsia"/>
          <w:color w:val="000000" w:themeColor="text1"/>
          <w:szCs w:val="21"/>
          <w14:textFill>
            <w14:solidFill>
              <w14:schemeClr w14:val="tx1"/>
            </w14:solidFill>
          </w14:textFill>
        </w:rPr>
        <w:t>V电镜加速电压下保证合轴和工作</w:t>
      </w:r>
    </w:p>
    <w:p w14:paraId="37765C0F">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分辨率：</w:t>
      </w:r>
      <w:r>
        <w:rPr>
          <w:color w:val="000000" w:themeColor="text1"/>
          <w:szCs w:val="21"/>
          <w14:textFill>
            <w14:solidFill>
              <w14:schemeClr w14:val="tx1"/>
            </w14:solidFill>
          </w14:textFill>
        </w:rPr>
        <w:t>DQE&gt;0.</w:t>
      </w:r>
      <w:r>
        <w:rPr>
          <w:rFonts w:hint="eastAsia"/>
          <w:color w:val="000000" w:themeColor="text1"/>
          <w:szCs w:val="21"/>
          <w14:textFill>
            <w14:solidFill>
              <w14:schemeClr w14:val="tx1"/>
            </w14:solidFill>
          </w14:textFill>
        </w:rPr>
        <w:t>4，在</w:t>
      </w:r>
      <w:r>
        <w:rPr>
          <w:color w:val="000000" w:themeColor="text1"/>
          <w:szCs w:val="21"/>
          <w14:textFill>
            <w14:solidFill>
              <w14:schemeClr w14:val="tx1"/>
            </w14:solidFill>
          </w14:textFill>
        </w:rPr>
        <w:t>0.5Nyquist</w:t>
      </w:r>
      <w:r>
        <w:rPr>
          <w:rFonts w:hint="eastAsia"/>
          <w:color w:val="000000" w:themeColor="text1"/>
          <w:szCs w:val="21"/>
          <w14:textFill>
            <w14:solidFill>
              <w14:schemeClr w14:val="tx1"/>
            </w14:solidFill>
          </w14:textFill>
        </w:rPr>
        <w:t>频率处</w:t>
      </w:r>
    </w:p>
    <w:p w14:paraId="52B68A28">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最大成像像素：≥4K</w:t>
      </w:r>
      <w:r>
        <w:rPr>
          <w:color w:val="000000" w:themeColor="text1"/>
          <w:szCs w:val="21"/>
          <w14:textFill>
            <w14:solidFill>
              <w14:schemeClr w14:val="tx1"/>
            </w14:solidFill>
          </w14:textFill>
        </w:rPr>
        <w:t xml:space="preserve"> x </w:t>
      </w:r>
      <w:r>
        <w:rPr>
          <w:rFonts w:hint="eastAsia"/>
          <w:color w:val="000000" w:themeColor="text1"/>
          <w:szCs w:val="21"/>
          <w14:textFill>
            <w14:solidFill>
              <w14:schemeClr w14:val="tx1"/>
            </w14:solidFill>
          </w14:textFill>
        </w:rPr>
        <w:t xml:space="preserve">4K </w:t>
      </w:r>
    </w:p>
    <w:p w14:paraId="3FDF1126">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 物理像素点尺寸：≤14</w:t>
      </w:r>
      <w:r>
        <w:rPr>
          <w:color w:val="000000" w:themeColor="text1"/>
          <w:szCs w:val="21"/>
          <w14:textFill>
            <w14:solidFill>
              <w14:schemeClr w14:val="tx1"/>
            </w14:solidFill>
          </w14:textFill>
        </w:rPr>
        <w:t>um</w:t>
      </w:r>
    </w:p>
    <w:p w14:paraId="6BA1B8DE">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探测器有效区域：≥</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5mm</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x</w:t>
      </w:r>
      <w:r>
        <w:rPr>
          <w:color w:val="000000" w:themeColor="text1"/>
          <w:szCs w:val="21"/>
          <w14:textFill>
            <w14:solidFill>
              <w14:schemeClr w14:val="tx1"/>
            </w14:solidFill>
          </w14:textFill>
        </w:rPr>
        <w:t xml:space="preserve"> 1</w:t>
      </w:r>
      <w:r>
        <w:rPr>
          <w:rFonts w:hint="eastAsia"/>
          <w:color w:val="000000" w:themeColor="text1"/>
          <w:szCs w:val="21"/>
          <w14:textFill>
            <w14:solidFill>
              <w14:schemeClr w14:val="tx1"/>
            </w14:solidFill>
          </w14:textFill>
        </w:rPr>
        <w:t>5mm</w:t>
      </w:r>
    </w:p>
    <w:p w14:paraId="363E033A">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读取模式：具备计数模式和线性模式两种模式</w:t>
      </w:r>
    </w:p>
    <w:p w14:paraId="040E952D">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 成像模式电脑端合并存储速度：≥50FPS</w:t>
      </w:r>
    </w:p>
    <w:p w14:paraId="3E7D8F4D">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 谱模式相机读取速度：≥2000谱/秒</w:t>
      </w:r>
    </w:p>
    <w:p w14:paraId="71EF6066">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10. 探头可伸缩设计</w:t>
      </w:r>
    </w:p>
    <w:p w14:paraId="07522AAF">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11.</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可在透射电子显微镜主机处于 STEM 模式（扫描透射模式）下实现电子能量损失谱的点、线、二维平面、时间序列采集</w:t>
      </w:r>
    </w:p>
    <w:p w14:paraId="763C3857">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12. 使用相机进行图像采集时，可实时获得电子剂量率定量信息，以及一定采集总时间下的总曝光剂量</w:t>
      </w:r>
    </w:p>
    <w:p w14:paraId="7F4A475B">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13.</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相机自带漂移修正模块实现图像序列的漂移测量和对齐校正</w:t>
      </w:r>
    </w:p>
    <w:p w14:paraId="5FA061AC">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14.</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软件可实现数据采集过程中的实时面分布图（live map），扫描模式下多帧采集叠加，以及帧间漂移校正</w:t>
      </w:r>
    </w:p>
    <w:p w14:paraId="26CFE7D1">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15.</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软件：配置64位操作软件，具备图像的获取，存储，编辑等功能</w:t>
      </w:r>
    </w:p>
    <w:p w14:paraId="10FCF8B9">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16. 软件包含电子能量损失谱数据处理高级功能</w:t>
      </w:r>
    </w:p>
    <w:p w14:paraId="53DE82BC">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17. 图像存储模式：可以设置存储格式，并可与</w:t>
      </w:r>
      <w:r>
        <w:rPr>
          <w:color w:val="000000" w:themeColor="text1"/>
          <w:szCs w:val="21"/>
          <w14:textFill>
            <w14:solidFill>
              <w14:schemeClr w14:val="tx1"/>
            </w14:solidFill>
          </w14:textFill>
        </w:rPr>
        <w:t>.tiff</w:t>
      </w:r>
      <w:r>
        <w:rPr>
          <w:rFonts w:hint="eastAsia"/>
          <w:color w:val="000000" w:themeColor="text1"/>
          <w:szCs w:val="21"/>
          <w14:textFill>
            <w14:solidFill>
              <w14:schemeClr w14:val="tx1"/>
            </w14:solidFill>
          </w14:textFill>
        </w:rPr>
        <w:t>格式、</w:t>
      </w:r>
      <w:r>
        <w:rPr>
          <w:color w:val="000000" w:themeColor="text1"/>
          <w:szCs w:val="21"/>
          <w14:textFill>
            <w14:solidFill>
              <w14:schemeClr w14:val="tx1"/>
            </w14:solidFill>
          </w14:textFill>
        </w:rPr>
        <w:t>.jpg</w:t>
      </w:r>
      <w:r>
        <w:rPr>
          <w:rFonts w:hint="eastAsia"/>
          <w:color w:val="000000" w:themeColor="text1"/>
          <w:szCs w:val="21"/>
          <w14:textFill>
            <w14:solidFill>
              <w14:schemeClr w14:val="tx1"/>
            </w14:solidFill>
          </w14:textFill>
        </w:rPr>
        <w:t>格式、</w:t>
      </w:r>
      <w:r>
        <w:rPr>
          <w:color w:val="000000" w:themeColor="text1"/>
          <w:szCs w:val="21"/>
          <w14:textFill>
            <w14:solidFill>
              <w14:schemeClr w14:val="tx1"/>
            </w14:solidFill>
          </w14:textFill>
        </w:rPr>
        <w:t>.emf</w:t>
      </w:r>
      <w:r>
        <w:rPr>
          <w:rFonts w:hint="eastAsia"/>
          <w:color w:val="000000" w:themeColor="text1"/>
          <w:szCs w:val="21"/>
          <w14:textFill>
            <w14:solidFill>
              <w14:schemeClr w14:val="tx1"/>
            </w14:solidFill>
          </w14:textFill>
        </w:rPr>
        <w:t>格式、</w:t>
      </w:r>
      <w:r>
        <w:rPr>
          <w:color w:val="000000" w:themeColor="text1"/>
          <w:szCs w:val="21"/>
          <w14:textFill>
            <w14:solidFill>
              <w14:schemeClr w14:val="tx1"/>
            </w14:solidFill>
          </w14:textFill>
        </w:rPr>
        <w:t>.bmp</w:t>
      </w:r>
      <w:r>
        <w:rPr>
          <w:rFonts w:hint="eastAsia"/>
          <w:color w:val="000000" w:themeColor="text1"/>
          <w:szCs w:val="21"/>
          <w14:textFill>
            <w14:solidFill>
              <w14:schemeClr w14:val="tx1"/>
            </w14:solidFill>
          </w14:textFill>
        </w:rPr>
        <w:t>格式、</w:t>
      </w:r>
      <w:r>
        <w:rPr>
          <w:color w:val="000000" w:themeColor="text1"/>
          <w:szCs w:val="21"/>
          <w14:textFill>
            <w14:solidFill>
              <w14:schemeClr w14:val="tx1"/>
            </w14:solidFill>
          </w14:textFill>
        </w:rPr>
        <w:t>.gif</w:t>
      </w:r>
      <w:r>
        <w:rPr>
          <w:rFonts w:hint="eastAsia"/>
          <w:color w:val="000000" w:themeColor="text1"/>
          <w:szCs w:val="21"/>
          <w14:textFill>
            <w14:solidFill>
              <w14:schemeClr w14:val="tx1"/>
            </w14:solidFill>
          </w14:textFill>
        </w:rPr>
        <w:t>格式等自由转换</w:t>
      </w:r>
    </w:p>
    <w:p w14:paraId="1A4A429C">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18. 具备相机温度控制功能</w:t>
      </w:r>
      <w:r>
        <w:rPr>
          <w:color w:val="000000" w:themeColor="text1"/>
          <w:szCs w:val="21"/>
          <w14:textFill>
            <w14:solidFill>
              <w14:schemeClr w14:val="tx1"/>
            </w14:solidFill>
          </w14:textFill>
        </w:rPr>
        <w:t xml:space="preserve"> </w:t>
      </w:r>
    </w:p>
    <w:p w14:paraId="2DEA2C1F">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19. 具备脚本编写和执行功能</w:t>
      </w:r>
      <w:r>
        <w:rPr>
          <w:color w:val="000000" w:themeColor="text1"/>
          <w:szCs w:val="21"/>
          <w14:textFill>
            <w14:solidFill>
              <w14:schemeClr w14:val="tx1"/>
            </w14:solidFill>
          </w14:textFill>
        </w:rPr>
        <w:t xml:space="preserve"> </w:t>
      </w:r>
    </w:p>
    <w:p w14:paraId="01373CFB">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20.</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电子直读采集系统的安装不能对电镜设备原有的性能状态、功能参数造成负面影响</w:t>
      </w:r>
    </w:p>
    <w:p w14:paraId="0E502799">
      <w:pPr>
        <w:tabs>
          <w:tab w:val="left" w:pos="900"/>
        </w:tabs>
        <w:adjustRightInd w:val="0"/>
        <w:snapToGrid w:val="0"/>
        <w:spacing w:line="360" w:lineRule="auto"/>
        <w:ind w:firstLine="422" w:firstLineChars="200"/>
        <w:rPr>
          <w:rFonts w:hAnsi="宋体"/>
          <w:b/>
          <w:szCs w:val="21"/>
        </w:rPr>
      </w:pPr>
      <w:r>
        <w:rPr>
          <w:rFonts w:hint="eastAsia" w:hAnsi="宋体"/>
          <w:b/>
          <w:szCs w:val="21"/>
        </w:rPr>
        <w:t>五、采购标的需满足的服务标准、期限、效率等要求</w:t>
      </w:r>
    </w:p>
    <w:p w14:paraId="1D8DFDC5">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（一）质保期： 不少于</w:t>
      </w:r>
      <w:r>
        <w:rPr>
          <w:rFonts w:ascii="宋体" w:hAnsi="宋体"/>
          <w:szCs w:val="21"/>
          <w:u w:val="single"/>
        </w:rPr>
        <w:t xml:space="preserve">   </w:t>
      </w:r>
      <w:r>
        <w:rPr>
          <w:rFonts w:hint="eastAsia" w:ascii="宋体" w:hAnsi="宋体"/>
          <w:szCs w:val="21"/>
          <w:u w:val="single"/>
        </w:rPr>
        <w:t>1</w:t>
      </w:r>
      <w:r>
        <w:rPr>
          <w:rFonts w:ascii="宋体" w:hAnsi="宋体"/>
          <w:szCs w:val="21"/>
          <w:u w:val="single"/>
        </w:rPr>
        <w:t xml:space="preserve">   </w:t>
      </w:r>
      <w:r>
        <w:rPr>
          <w:rFonts w:hint="eastAsia" w:ascii="宋体" w:hAnsi="宋体"/>
          <w:szCs w:val="21"/>
        </w:rPr>
        <w:t>年，</w:t>
      </w:r>
      <w:r>
        <w:rPr>
          <w:rFonts w:ascii="宋体" w:hAnsi="宋体" w:cs="宋体"/>
        </w:rPr>
        <w:t>质保期内免费维保</w:t>
      </w:r>
      <w:r>
        <w:rPr>
          <w:rFonts w:hint="eastAsia" w:ascii="宋体" w:hAnsi="宋体" w:cs="宋体"/>
        </w:rPr>
        <w:t>不少于</w:t>
      </w:r>
      <w:r>
        <w:rPr>
          <w:rFonts w:ascii="宋体" w:hAnsi="宋体"/>
          <w:szCs w:val="21"/>
          <w:u w:val="single"/>
        </w:rPr>
        <w:t xml:space="preserve">   </w:t>
      </w:r>
      <w:r>
        <w:rPr>
          <w:rFonts w:hint="eastAsia" w:ascii="宋体" w:hAnsi="宋体"/>
          <w:szCs w:val="21"/>
          <w:u w:val="single"/>
        </w:rPr>
        <w:t>2</w:t>
      </w:r>
      <w:r>
        <w:rPr>
          <w:rFonts w:ascii="宋体" w:hAnsi="宋体"/>
          <w:szCs w:val="21"/>
          <w:u w:val="single"/>
        </w:rPr>
        <w:t xml:space="preserve">   </w:t>
      </w:r>
      <w:r>
        <w:rPr>
          <w:rFonts w:ascii="宋体" w:hAnsi="宋体" w:cs="宋体"/>
        </w:rPr>
        <w:t xml:space="preserve"> 次/年，免人工服务费。</w:t>
      </w:r>
      <w:r>
        <w:rPr>
          <w:rFonts w:hint="eastAsia" w:ascii="宋体" w:hAnsi="宋体"/>
          <w:szCs w:val="21"/>
        </w:rPr>
        <w:t>质保期满后，仍需提供专业维修服务，投标人在投标文件中需注明维修服务单项报价。</w:t>
      </w:r>
    </w:p>
    <w:p w14:paraId="446C43F0">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（二）服务响应时间：接到维修电话后4小时内给予明确答复，8小时内到达现场维修。维修人员到现场后若问题特殊无法现场修复的，中标人需在24小时内给出合理解决方案。</w:t>
      </w:r>
    </w:p>
    <w:p w14:paraId="79F6240D">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（三）</w:t>
      </w:r>
      <w:r>
        <w:rPr>
          <w:rFonts w:ascii="宋体" w:hAnsi="宋体"/>
          <w:szCs w:val="21"/>
        </w:rPr>
        <w:t>培训</w:t>
      </w:r>
      <w:r>
        <w:rPr>
          <w:rFonts w:hint="eastAsia" w:ascii="宋体" w:hAnsi="宋体"/>
          <w:szCs w:val="21"/>
        </w:rPr>
        <w:t>要求：中标人需</w:t>
      </w:r>
      <w:r>
        <w:rPr>
          <w:rFonts w:ascii="宋体" w:hAnsi="宋体"/>
          <w:szCs w:val="21"/>
        </w:rPr>
        <w:t>提供培训电子资料及视频；免费为用户培训至少</w:t>
      </w:r>
      <w:r>
        <w:rPr>
          <w:rFonts w:ascii="宋体" w:hAnsi="宋体"/>
          <w:szCs w:val="21"/>
          <w:u w:val="single"/>
        </w:rPr>
        <w:t xml:space="preserve">   </w:t>
      </w:r>
      <w:r>
        <w:rPr>
          <w:rFonts w:hint="eastAsia" w:ascii="宋体" w:hAnsi="宋体"/>
          <w:szCs w:val="21"/>
          <w:u w:val="single"/>
        </w:rPr>
        <w:t>5</w:t>
      </w:r>
      <w:r>
        <w:rPr>
          <w:rFonts w:ascii="宋体" w:hAnsi="宋体"/>
          <w:szCs w:val="21"/>
          <w:u w:val="single"/>
        </w:rPr>
        <w:t xml:space="preserve">   </w:t>
      </w:r>
      <w:r>
        <w:rPr>
          <w:rFonts w:ascii="宋体" w:hAnsi="宋体"/>
          <w:szCs w:val="21"/>
        </w:rPr>
        <w:t>名操作人员进行为期至少</w:t>
      </w:r>
      <w:r>
        <w:rPr>
          <w:rFonts w:ascii="宋体" w:hAnsi="宋体"/>
          <w:szCs w:val="21"/>
          <w:u w:val="single"/>
        </w:rPr>
        <w:t xml:space="preserve">   </w:t>
      </w:r>
      <w:r>
        <w:rPr>
          <w:rFonts w:hint="eastAsia" w:ascii="宋体" w:hAnsi="宋体"/>
          <w:szCs w:val="21"/>
          <w:u w:val="single"/>
        </w:rPr>
        <w:t>3</w:t>
      </w:r>
      <w:r>
        <w:rPr>
          <w:rFonts w:ascii="宋体" w:hAnsi="宋体"/>
          <w:szCs w:val="21"/>
          <w:u w:val="single"/>
        </w:rPr>
        <w:t xml:space="preserve">   </w:t>
      </w:r>
      <w:r>
        <w:rPr>
          <w:rFonts w:ascii="宋体" w:hAnsi="宋体"/>
          <w:szCs w:val="21"/>
        </w:rPr>
        <w:t>天的现场操作培训以及应用培训，保证用户掌握有关设备的使用、维护、管理和应用等工作要求</w:t>
      </w:r>
      <w:r>
        <w:rPr>
          <w:rFonts w:hint="eastAsia" w:ascii="宋体" w:hAnsi="宋体"/>
          <w:szCs w:val="21"/>
        </w:rPr>
        <w:t>；同时提供</w:t>
      </w:r>
      <w:r>
        <w:rPr>
          <w:rFonts w:ascii="宋体" w:hAnsi="宋体"/>
          <w:szCs w:val="21"/>
        </w:rPr>
        <w:t>不定期的免费提供相关设备应用方面的技术咨询等。</w:t>
      </w:r>
    </w:p>
    <w:p w14:paraId="087735E4">
      <w:pPr>
        <w:tabs>
          <w:tab w:val="left" w:pos="420"/>
          <w:tab w:val="left" w:pos="900"/>
        </w:tabs>
        <w:adjustRightInd w:val="0"/>
        <w:snapToGrid w:val="0"/>
        <w:spacing w:line="360" w:lineRule="auto"/>
        <w:ind w:firstLine="422" w:firstLineChars="200"/>
        <w:rPr>
          <w:rFonts w:ascii="宋体" w:hAnsi="宋体"/>
          <w:b/>
          <w:bCs/>
          <w:szCs w:val="21"/>
        </w:rPr>
      </w:pPr>
      <w:r>
        <w:rPr>
          <w:rFonts w:hint="eastAsia" w:ascii="宋体" w:hAnsi="宋体"/>
          <w:b/>
          <w:bCs/>
          <w:szCs w:val="21"/>
        </w:rPr>
        <w:t>（四）供应商提供进口设备的，须在投标（响应）文件中明确外贸合同卖方信息。</w:t>
      </w:r>
    </w:p>
    <w:p w14:paraId="250BAB25">
      <w:pPr>
        <w:tabs>
          <w:tab w:val="left" w:pos="420"/>
          <w:tab w:val="left" w:pos="900"/>
        </w:tabs>
        <w:adjustRightInd w:val="0"/>
        <w:snapToGrid w:val="0"/>
        <w:spacing w:line="360" w:lineRule="auto"/>
        <w:ind w:firstLine="422" w:firstLineChars="200"/>
        <w:rPr>
          <w:rFonts w:ascii="宋体" w:hAnsi="宋体"/>
          <w:b/>
          <w:szCs w:val="21"/>
        </w:rPr>
      </w:pPr>
      <w:r>
        <w:rPr>
          <w:rFonts w:hint="eastAsia" w:ascii="宋体" w:hAnsi="宋体"/>
          <w:b/>
          <w:szCs w:val="21"/>
        </w:rPr>
        <w:t>六、</w:t>
      </w:r>
      <w:r>
        <w:rPr>
          <w:rFonts w:ascii="宋体" w:hAnsi="宋体"/>
          <w:b/>
          <w:szCs w:val="21"/>
        </w:rPr>
        <w:t>采购标的的</w:t>
      </w:r>
      <w:r>
        <w:rPr>
          <w:rFonts w:hint="eastAsia" w:ascii="宋体" w:hAnsi="宋体"/>
          <w:b/>
          <w:szCs w:val="21"/>
        </w:rPr>
        <w:t>履约验收标准</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3785"/>
        <w:gridCol w:w="4717"/>
      </w:tblGrid>
      <w:tr w14:paraId="6230B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86" w:type="dxa"/>
            <w:gridSpan w:val="3"/>
            <w:vAlign w:val="center"/>
          </w:tcPr>
          <w:p w14:paraId="67271A81">
            <w:pPr>
              <w:widowControl/>
              <w:adjustRightInd w:val="0"/>
              <w:snapToGrid w:val="0"/>
              <w:jc w:val="left"/>
              <w:textAlignment w:val="baseline"/>
              <w:rPr>
                <w:rFonts w:ascii="宋体" w:hAnsi="宋体"/>
                <w:b/>
                <w:bCs/>
                <w:color w:val="000000"/>
                <w:kern w:val="0"/>
                <w:szCs w:val="21"/>
              </w:rPr>
            </w:pPr>
            <w:bookmarkStart w:id="5" w:name="OLE_LINK3"/>
            <w:r>
              <w:rPr>
                <w:rFonts w:hint="eastAsia" w:ascii="宋体" w:hAnsi="宋体"/>
                <w:b/>
                <w:bCs/>
                <w:color w:val="000000"/>
                <w:kern w:val="0"/>
                <w:szCs w:val="21"/>
              </w:rPr>
              <w:t>一、货物类项目验收要求</w:t>
            </w:r>
          </w:p>
        </w:tc>
      </w:tr>
      <w:tr w14:paraId="4AD8F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4" w:type="dxa"/>
            <w:vAlign w:val="center"/>
          </w:tcPr>
          <w:p w14:paraId="02F5D880">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序号</w:t>
            </w:r>
          </w:p>
        </w:tc>
        <w:tc>
          <w:tcPr>
            <w:tcW w:w="3785" w:type="dxa"/>
            <w:vAlign w:val="center"/>
          </w:tcPr>
          <w:p w14:paraId="2C7F5974">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功能或指标</w:t>
            </w:r>
          </w:p>
        </w:tc>
        <w:tc>
          <w:tcPr>
            <w:tcW w:w="4717" w:type="dxa"/>
            <w:vAlign w:val="center"/>
          </w:tcPr>
          <w:p w14:paraId="2C977E67">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验收或测试方法</w:t>
            </w:r>
          </w:p>
        </w:tc>
      </w:tr>
      <w:tr w14:paraId="09910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4" w:type="dxa"/>
            <w:vAlign w:val="center"/>
          </w:tcPr>
          <w:p w14:paraId="005F945D">
            <w:pPr>
              <w:widowControl/>
              <w:adjustRightInd w:val="0"/>
              <w:snapToGrid w:val="0"/>
              <w:jc w:val="center"/>
              <w:textAlignment w:val="baseline"/>
              <w:rPr>
                <w:rFonts w:hint="eastAsia" w:ascii="宋体" w:hAnsi="宋体"/>
                <w:color w:val="000000"/>
                <w:kern w:val="0"/>
                <w:szCs w:val="21"/>
              </w:rPr>
            </w:pPr>
            <w:r>
              <w:rPr>
                <w:rFonts w:hint="eastAsia" w:ascii="宋体" w:hAnsi="宋体"/>
                <w:color w:val="000000"/>
                <w:kern w:val="0"/>
                <w:szCs w:val="21"/>
              </w:rPr>
              <w:t>1</w:t>
            </w:r>
          </w:p>
        </w:tc>
        <w:tc>
          <w:tcPr>
            <w:tcW w:w="3785" w:type="dxa"/>
            <w:vAlign w:val="center"/>
          </w:tcPr>
          <w:p w14:paraId="6DCB72A6">
            <w:pPr>
              <w:widowControl/>
              <w:adjustRightInd w:val="0"/>
              <w:snapToGrid w:val="0"/>
              <w:jc w:val="center"/>
              <w:textAlignment w:val="baseline"/>
              <w:rPr>
                <w:rFonts w:hint="eastAsia" w:ascii="宋体" w:hAnsi="宋体"/>
                <w:color w:val="000000"/>
                <w:kern w:val="0"/>
                <w:szCs w:val="21"/>
              </w:rPr>
            </w:pPr>
          </w:p>
        </w:tc>
        <w:tc>
          <w:tcPr>
            <w:tcW w:w="4717" w:type="dxa"/>
            <w:vAlign w:val="center"/>
          </w:tcPr>
          <w:p w14:paraId="30FA335B">
            <w:pPr>
              <w:widowControl/>
              <w:adjustRightInd w:val="0"/>
              <w:snapToGrid w:val="0"/>
              <w:jc w:val="center"/>
              <w:textAlignment w:val="baseline"/>
              <w:rPr>
                <w:rFonts w:hint="eastAsia" w:ascii="宋体" w:hAnsi="宋体"/>
                <w:color w:val="000000"/>
                <w:kern w:val="0"/>
                <w:szCs w:val="21"/>
              </w:rPr>
            </w:pPr>
          </w:p>
        </w:tc>
      </w:tr>
      <w:tr w14:paraId="41D02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86" w:type="dxa"/>
            <w:gridSpan w:val="3"/>
            <w:vAlign w:val="center"/>
          </w:tcPr>
          <w:p w14:paraId="4AE80337">
            <w:pPr>
              <w:widowControl/>
              <w:adjustRightInd w:val="0"/>
              <w:snapToGrid w:val="0"/>
              <w:jc w:val="left"/>
              <w:textAlignment w:val="baseline"/>
              <w:rPr>
                <w:rFonts w:ascii="宋体" w:hAnsi="宋体"/>
                <w:b/>
                <w:color w:val="000000"/>
                <w:kern w:val="0"/>
                <w:szCs w:val="21"/>
              </w:rPr>
            </w:pPr>
            <w:bookmarkStart w:id="8" w:name="_GoBack"/>
            <w:bookmarkEnd w:id="8"/>
            <w:r>
              <w:rPr>
                <w:rFonts w:hint="eastAsia" w:ascii="宋体" w:hAnsi="宋体"/>
                <w:b/>
                <w:color w:val="000000"/>
                <w:kern w:val="0"/>
                <w:szCs w:val="21"/>
              </w:rPr>
              <w:t>项目建设单位验收要求：</w:t>
            </w:r>
          </w:p>
        </w:tc>
      </w:tr>
      <w:tr w14:paraId="33B3A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4" w:type="dxa"/>
            <w:vAlign w:val="center"/>
          </w:tcPr>
          <w:p w14:paraId="692B50C5">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1</w:t>
            </w:r>
          </w:p>
        </w:tc>
        <w:tc>
          <w:tcPr>
            <w:tcW w:w="3785" w:type="dxa"/>
            <w:vAlign w:val="center"/>
          </w:tcPr>
          <w:p w14:paraId="3DC693F9">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货物外包装与外观无损伤</w:t>
            </w:r>
          </w:p>
        </w:tc>
        <w:tc>
          <w:tcPr>
            <w:tcW w:w="4717" w:type="dxa"/>
            <w:vAlign w:val="center"/>
          </w:tcPr>
          <w:p w14:paraId="06277B59">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现场核查</w:t>
            </w:r>
          </w:p>
        </w:tc>
      </w:tr>
      <w:tr w14:paraId="4F4EB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4" w:type="dxa"/>
            <w:vAlign w:val="center"/>
          </w:tcPr>
          <w:p w14:paraId="0E478B96">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2</w:t>
            </w:r>
          </w:p>
        </w:tc>
        <w:tc>
          <w:tcPr>
            <w:tcW w:w="3785" w:type="dxa"/>
            <w:vAlign w:val="center"/>
          </w:tcPr>
          <w:p w14:paraId="69C2A6AC">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货物配置、包括备品备件、耗品耗材等提供齐全，货物实物品牌、规格、型号、配置数量与采购结果、合同约定相符。</w:t>
            </w:r>
          </w:p>
        </w:tc>
        <w:tc>
          <w:tcPr>
            <w:tcW w:w="4717" w:type="dxa"/>
            <w:vAlign w:val="center"/>
          </w:tcPr>
          <w:p w14:paraId="6B8102A0">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依据《合同》及其附件（包括但不限于《采购需求》《供应商投标（响应）文件》《投标澄清函》《技术协议》等）约定，现场核查。</w:t>
            </w:r>
          </w:p>
        </w:tc>
      </w:tr>
      <w:tr w14:paraId="49B4A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4" w:type="dxa"/>
            <w:vAlign w:val="center"/>
          </w:tcPr>
          <w:p w14:paraId="197A0B7D">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3</w:t>
            </w:r>
          </w:p>
        </w:tc>
        <w:tc>
          <w:tcPr>
            <w:tcW w:w="3785" w:type="dxa"/>
            <w:vAlign w:val="center"/>
          </w:tcPr>
          <w:p w14:paraId="7A17820A">
            <w:pPr>
              <w:widowControl/>
              <w:adjustRightInd w:val="0"/>
              <w:snapToGrid w:val="0"/>
              <w:textAlignment w:val="baseline"/>
              <w:rPr>
                <w:rFonts w:ascii="宋体" w:hAnsi="宋体"/>
                <w:color w:val="000000" w:themeColor="text1"/>
                <w:kern w:val="0"/>
                <w:szCs w:val="21"/>
                <w14:textFill>
                  <w14:solidFill>
                    <w14:schemeClr w14:val="tx1"/>
                  </w14:solidFill>
                </w14:textFill>
              </w:rPr>
            </w:pPr>
            <w:r>
              <w:rPr>
                <w:rFonts w:hint="eastAsia" w:ascii="宋体" w:hAnsi="宋体"/>
                <w:color w:val="000000"/>
                <w:kern w:val="0"/>
                <w:szCs w:val="21"/>
              </w:rPr>
              <w:t>所有功能和指标参数（包括边界极限值）达到采购结果合同约定要求。</w:t>
            </w:r>
          </w:p>
        </w:tc>
        <w:tc>
          <w:tcPr>
            <w:tcW w:w="4717" w:type="dxa"/>
            <w:vAlign w:val="center"/>
          </w:tcPr>
          <w:p w14:paraId="72E4AC58">
            <w:pPr>
              <w:adjustRightInd w:val="0"/>
              <w:snapToGrid w:val="0"/>
              <w:rPr>
                <w:rFonts w:ascii="宋体" w:hAnsi="宋体"/>
                <w:kern w:val="0"/>
                <w:szCs w:val="21"/>
              </w:rPr>
            </w:pPr>
            <w:r>
              <w:rPr>
                <w:rFonts w:hint="eastAsia" w:ascii="宋体" w:hAnsi="宋体"/>
                <w:color w:val="000000"/>
                <w:kern w:val="0"/>
                <w:szCs w:val="21"/>
              </w:rPr>
              <w:t>依据《合同》及其附件（包括但不限于《采购需求》《供应商投标（响应）文件》《投标澄清函》《技术协议》等）约定，通过现场核查、现场测试、供应商应提供《供应商货物类项目完工报告》《产品出厂检测报告》《产品合格证书》《第三方检测报告》（如有）等一种或多种方式进行验收。</w:t>
            </w:r>
          </w:p>
        </w:tc>
      </w:tr>
      <w:tr w14:paraId="7B0F4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4" w:type="dxa"/>
            <w:vAlign w:val="center"/>
          </w:tcPr>
          <w:p w14:paraId="33C7DF86">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4</w:t>
            </w:r>
          </w:p>
        </w:tc>
        <w:tc>
          <w:tcPr>
            <w:tcW w:w="3785" w:type="dxa"/>
            <w:vAlign w:val="center"/>
          </w:tcPr>
          <w:p w14:paraId="15D6F20C">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培训等合同服务要求完成情况。</w:t>
            </w:r>
          </w:p>
        </w:tc>
        <w:tc>
          <w:tcPr>
            <w:tcW w:w="4717" w:type="dxa"/>
            <w:vAlign w:val="center"/>
          </w:tcPr>
          <w:p w14:paraId="72106C15">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现场核查。供应商须根据合同约定提供《培训视频》影像资料等。</w:t>
            </w:r>
          </w:p>
        </w:tc>
      </w:tr>
      <w:tr w14:paraId="33FD5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4" w:type="dxa"/>
            <w:vAlign w:val="center"/>
          </w:tcPr>
          <w:p w14:paraId="13C50C9F">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5</w:t>
            </w:r>
          </w:p>
        </w:tc>
        <w:tc>
          <w:tcPr>
            <w:tcW w:w="3785" w:type="dxa"/>
            <w:vAlign w:val="center"/>
          </w:tcPr>
          <w:p w14:paraId="0981E2F1">
            <w:pPr>
              <w:widowControl/>
              <w:adjustRightInd w:val="0"/>
              <w:snapToGrid w:val="0"/>
              <w:textAlignment w:val="baseline"/>
              <w:rPr>
                <w:rFonts w:ascii="宋体" w:hAnsi="宋体"/>
                <w:color w:val="000000" w:themeColor="text1"/>
                <w:kern w:val="0"/>
                <w:szCs w:val="21"/>
                <w14:textFill>
                  <w14:solidFill>
                    <w14:schemeClr w14:val="tx1"/>
                  </w14:solidFill>
                </w14:textFill>
              </w:rPr>
            </w:pPr>
            <w:r>
              <w:rPr>
                <w:rFonts w:hint="eastAsia" w:ascii="宋体" w:hAnsi="宋体"/>
                <w:color w:val="000000"/>
                <w:kern w:val="0"/>
                <w:szCs w:val="21"/>
              </w:rPr>
              <w:t>验证测试设备的运行稳定性</w:t>
            </w:r>
          </w:p>
        </w:tc>
        <w:tc>
          <w:tcPr>
            <w:tcW w:w="4717" w:type="dxa"/>
            <w:vAlign w:val="center"/>
          </w:tcPr>
          <w:p w14:paraId="56EBED59">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试运行验证测试设备运行稳定达标</w:t>
            </w:r>
          </w:p>
        </w:tc>
      </w:tr>
      <w:tr w14:paraId="0237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4" w:type="dxa"/>
            <w:vAlign w:val="center"/>
          </w:tcPr>
          <w:p w14:paraId="195412FC">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6</w:t>
            </w:r>
          </w:p>
        </w:tc>
        <w:tc>
          <w:tcPr>
            <w:tcW w:w="8502" w:type="dxa"/>
            <w:gridSpan w:val="2"/>
            <w:vAlign w:val="center"/>
          </w:tcPr>
          <w:p w14:paraId="49690106">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提示：</w:t>
            </w:r>
          </w:p>
          <w:p w14:paraId="5C5914DA">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1.经费负责人应当按照采购合同及其附件规定的每一项技术、服务、安全标准组织对供应商履约情况进行验收。</w:t>
            </w:r>
          </w:p>
          <w:p w14:paraId="6081C895">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2.《供应商货物类项目完工报告》《项目建设单位货物类项目完工自验收报告》《第三方检测报告》（如有）等与验收相关的材料由经费负责人妥善保管存档。</w:t>
            </w:r>
          </w:p>
          <w:p w14:paraId="6DF8F0B7">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3.</w:t>
            </w:r>
            <w:bookmarkStart w:id="6" w:name="OLE_LINK4"/>
            <w:r>
              <w:rPr>
                <w:rFonts w:hint="eastAsia" w:ascii="宋体" w:hAnsi="宋体"/>
                <w:color w:val="000000"/>
                <w:kern w:val="0"/>
                <w:szCs w:val="21"/>
              </w:rPr>
              <w:t>《技术协议》</w:t>
            </w:r>
            <w:bookmarkEnd w:id="6"/>
            <w:r>
              <w:rPr>
                <w:rFonts w:hint="eastAsia" w:ascii="宋体" w:hAnsi="宋体"/>
                <w:color w:val="000000"/>
                <w:kern w:val="0"/>
                <w:szCs w:val="21"/>
              </w:rPr>
              <w:t>作为合同有效组成部分，由经费负责人和供应商应在招标完成后第一时间根据采购招标结果（即《采购需求》、《供应商投标（响应）文件》和《投标澄清函》等文件）签订，其内容应与采购招标结果保持一致。《技术协议》中一般包含配置、数量、价格、功能指标参数、服务承诺等内容。</w:t>
            </w:r>
            <w:r>
              <w:rPr>
                <w:rFonts w:ascii="宋体" w:hAnsi="宋体"/>
                <w:color w:val="000000"/>
                <w:kern w:val="0"/>
                <w:szCs w:val="21"/>
              </w:rPr>
              <w:t xml:space="preserve"> </w:t>
            </w:r>
          </w:p>
        </w:tc>
      </w:tr>
      <w:tr w14:paraId="7809E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86" w:type="dxa"/>
            <w:gridSpan w:val="3"/>
            <w:vAlign w:val="center"/>
          </w:tcPr>
          <w:p w14:paraId="28664FA3">
            <w:pPr>
              <w:widowControl/>
              <w:adjustRightInd w:val="0"/>
              <w:snapToGrid w:val="0"/>
              <w:textAlignment w:val="baseline"/>
              <w:rPr>
                <w:rFonts w:ascii="宋体" w:hAnsi="宋体"/>
                <w:color w:val="000000"/>
                <w:kern w:val="0"/>
                <w:szCs w:val="21"/>
              </w:rPr>
            </w:pPr>
            <w:r>
              <w:rPr>
                <w:rFonts w:hint="eastAsia" w:ascii="宋体" w:hAnsi="宋体"/>
                <w:b/>
                <w:color w:val="000000"/>
                <w:kern w:val="0"/>
                <w:szCs w:val="21"/>
              </w:rPr>
              <w:t>学校验收复核要求：</w:t>
            </w:r>
            <w:r>
              <w:rPr>
                <w:rFonts w:hint="eastAsia" w:ascii="宋体" w:hAnsi="宋体"/>
                <w:color w:val="000000"/>
                <w:kern w:val="0"/>
                <w:szCs w:val="21"/>
              </w:rPr>
              <w:t>经费负责人自验收通过后，将《学校采购货物类项目验收复核申请表》《学校采购项目验收报告》《供应商履约情况评价表》《供应商货物类项目完工报告》《项目建设单位货物类项目完工自验收报告》等相关资料，递交学校国资处，由国资处组织专家现场验收复核。</w:t>
            </w:r>
          </w:p>
        </w:tc>
      </w:tr>
      <w:tr w14:paraId="49D33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9" w:type="dxa"/>
            <w:gridSpan w:val="2"/>
            <w:vAlign w:val="center"/>
          </w:tcPr>
          <w:p w14:paraId="2E249DCB">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验收时是否需要供应商提供样品</w:t>
            </w:r>
          </w:p>
        </w:tc>
        <w:tc>
          <w:tcPr>
            <w:tcW w:w="4717" w:type="dxa"/>
            <w:vAlign w:val="center"/>
          </w:tcPr>
          <w:p w14:paraId="4DC641B2">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hint="eastAsia" w:ascii="宋体" w:hAnsi="宋体"/>
                <w:color w:val="000000"/>
                <w:kern w:val="0"/>
                <w:szCs w:val="21"/>
              </w:rPr>
              <w:t xml:space="preserve">是 </w:t>
            </w:r>
            <w:r>
              <w:rPr>
                <w:rFonts w:hint="eastAsia" w:ascii="宋体" w:hAnsi="宋体" w:cs="宋体"/>
                <w:color w:val="000000"/>
                <w:kern w:val="0"/>
                <w:szCs w:val="21"/>
              </w:rPr>
              <w:sym w:font="Wingdings 2" w:char="F052"/>
            </w:r>
            <w:r>
              <w:rPr>
                <w:rFonts w:hint="eastAsia" w:ascii="宋体" w:hAnsi="宋体" w:cs="宋体"/>
                <w:color w:val="000000"/>
                <w:kern w:val="0"/>
                <w:szCs w:val="21"/>
              </w:rPr>
              <w:t>否</w:t>
            </w:r>
          </w:p>
        </w:tc>
      </w:tr>
      <w:tr w14:paraId="22881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9" w:type="dxa"/>
            <w:gridSpan w:val="2"/>
            <w:vAlign w:val="center"/>
          </w:tcPr>
          <w:p w14:paraId="4727D974">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验收时是否需供应商提供必要的其他设备</w:t>
            </w:r>
          </w:p>
        </w:tc>
        <w:tc>
          <w:tcPr>
            <w:tcW w:w="4717" w:type="dxa"/>
            <w:vAlign w:val="center"/>
          </w:tcPr>
          <w:p w14:paraId="5ECE11A7">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ascii="宋体" w:hAnsi="宋体"/>
                <w:color w:val="000000"/>
                <w:kern w:val="0"/>
                <w:szCs w:val="21"/>
              </w:rPr>
              <w:t>是</w:t>
            </w:r>
            <w:r>
              <w:rPr>
                <w:rFonts w:hint="eastAsia" w:ascii="宋体" w:hAnsi="宋体"/>
                <w:color w:val="000000"/>
                <w:kern w:val="0"/>
                <w:szCs w:val="21"/>
              </w:rPr>
              <w:t xml:space="preserve"> </w:t>
            </w:r>
            <w:r>
              <w:rPr>
                <w:rFonts w:hint="eastAsia" w:ascii="宋体" w:hAnsi="宋体" w:cs="宋体"/>
                <w:color w:val="000000"/>
                <w:kern w:val="0"/>
                <w:szCs w:val="21"/>
              </w:rPr>
              <w:sym w:font="Wingdings 2" w:char="F052"/>
            </w:r>
            <w:r>
              <w:rPr>
                <w:rFonts w:ascii="宋体" w:hAnsi="宋体"/>
                <w:color w:val="000000"/>
                <w:kern w:val="0"/>
                <w:szCs w:val="21"/>
              </w:rPr>
              <w:t>否</w:t>
            </w:r>
          </w:p>
        </w:tc>
      </w:tr>
      <w:tr w14:paraId="0E077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86" w:type="dxa"/>
            <w:gridSpan w:val="3"/>
            <w:vAlign w:val="center"/>
          </w:tcPr>
          <w:p w14:paraId="5AE7E9F6">
            <w:pPr>
              <w:widowControl/>
              <w:adjustRightInd w:val="0"/>
              <w:snapToGrid w:val="0"/>
              <w:textAlignment w:val="baseline"/>
              <w:rPr>
                <w:rFonts w:ascii="宋体" w:hAnsi="宋体" w:cs="宋体"/>
                <w:color w:val="000000"/>
                <w:kern w:val="0"/>
                <w:szCs w:val="21"/>
              </w:rPr>
            </w:pPr>
            <w:r>
              <w:rPr>
                <w:rFonts w:hint="eastAsia" w:ascii="宋体" w:hAnsi="宋体"/>
                <w:color w:val="000000"/>
                <w:kern w:val="0"/>
                <w:szCs w:val="21"/>
              </w:rPr>
              <w:t>二、</w:t>
            </w:r>
            <w:r>
              <w:rPr>
                <w:rFonts w:hint="eastAsia" w:ascii="宋体" w:hAnsi="宋体"/>
                <w:b/>
                <w:bCs/>
                <w:color w:val="000000"/>
                <w:kern w:val="0"/>
                <w:szCs w:val="21"/>
              </w:rPr>
              <w:t>服务类项目验收要求</w:t>
            </w:r>
          </w:p>
        </w:tc>
      </w:tr>
      <w:tr w14:paraId="47CC5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86" w:type="dxa"/>
            <w:gridSpan w:val="3"/>
            <w:vAlign w:val="center"/>
          </w:tcPr>
          <w:p w14:paraId="4FECBAF0">
            <w:pPr>
              <w:widowControl/>
              <w:adjustRightInd w:val="0"/>
              <w:snapToGrid w:val="0"/>
              <w:textAlignment w:val="baseline"/>
              <w:rPr>
                <w:rFonts w:ascii="宋体" w:hAnsi="宋体" w:cs="宋体"/>
                <w:color w:val="000000"/>
                <w:kern w:val="0"/>
                <w:szCs w:val="21"/>
              </w:rPr>
            </w:pPr>
            <w:r>
              <w:rPr>
                <w:rFonts w:hint="eastAsia" w:ascii="宋体" w:hAnsi="宋体"/>
                <w:b/>
                <w:color w:val="000000"/>
                <w:kern w:val="0"/>
                <w:szCs w:val="21"/>
              </w:rPr>
              <w:t>项目建设单位验收要求：</w:t>
            </w:r>
            <w:bookmarkStart w:id="7" w:name="OLE_LINK35"/>
            <w:r>
              <w:rPr>
                <w:rFonts w:hint="eastAsia" w:ascii="宋体" w:hAnsi="宋体"/>
                <w:szCs w:val="21"/>
              </w:rPr>
              <w:t>根据项目特点对服务期内的服务履约实施情况进行考核，结合考核情况和服务效果进行验收。验收报告须经国资处备案。</w:t>
            </w:r>
            <w:bookmarkEnd w:id="7"/>
          </w:p>
        </w:tc>
      </w:tr>
      <w:tr w14:paraId="0C221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86" w:type="dxa"/>
            <w:gridSpan w:val="3"/>
            <w:vAlign w:val="center"/>
          </w:tcPr>
          <w:p w14:paraId="05E06227">
            <w:pPr>
              <w:widowControl/>
              <w:adjustRightInd w:val="0"/>
              <w:snapToGrid w:val="0"/>
              <w:textAlignment w:val="baseline"/>
              <w:rPr>
                <w:rFonts w:ascii="宋体" w:hAnsi="宋体" w:cs="宋体"/>
                <w:color w:val="000000"/>
                <w:kern w:val="0"/>
                <w:szCs w:val="21"/>
              </w:rPr>
            </w:pPr>
            <w:r>
              <w:rPr>
                <w:rFonts w:hint="eastAsia" w:ascii="宋体" w:hAnsi="宋体"/>
                <w:b/>
                <w:color w:val="000000"/>
                <w:kern w:val="0"/>
                <w:szCs w:val="21"/>
              </w:rPr>
              <w:t>学校验收备案要求：</w:t>
            </w:r>
            <w:r>
              <w:rPr>
                <w:rFonts w:hint="eastAsia" w:ascii="宋体" w:hAnsi="宋体"/>
                <w:bCs/>
                <w:color w:val="000000"/>
                <w:kern w:val="0"/>
                <w:szCs w:val="21"/>
              </w:rPr>
              <w:t>项目单位提供《学校采购服务类项目验收报告》《服务类供应商履约情况评价表》</w:t>
            </w:r>
            <w:r>
              <w:rPr>
                <w:rFonts w:hint="eastAsia" w:ascii="宋体" w:hAnsi="宋体"/>
                <w:szCs w:val="21"/>
              </w:rPr>
              <w:t>。国资处可根据项目情况采用抽查等方式进行复核。</w:t>
            </w:r>
          </w:p>
        </w:tc>
      </w:tr>
      <w:tr w14:paraId="6F94D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86" w:type="dxa"/>
            <w:gridSpan w:val="3"/>
            <w:vAlign w:val="center"/>
          </w:tcPr>
          <w:p w14:paraId="137E4E77">
            <w:pPr>
              <w:widowControl/>
              <w:adjustRightInd w:val="0"/>
              <w:snapToGrid w:val="0"/>
              <w:jc w:val="left"/>
              <w:textAlignment w:val="baseline"/>
              <w:rPr>
                <w:rFonts w:ascii="宋体" w:hAnsi="宋体"/>
                <w:color w:val="000000"/>
                <w:kern w:val="0"/>
                <w:szCs w:val="21"/>
              </w:rPr>
            </w:pPr>
            <w:r>
              <w:rPr>
                <w:rFonts w:hint="eastAsia" w:ascii="宋体" w:hAnsi="宋体"/>
                <w:b/>
                <w:bCs/>
                <w:color w:val="000000"/>
                <w:kern w:val="0"/>
                <w:szCs w:val="21"/>
              </w:rPr>
              <w:t>三、除现场验收外，需提供的其他验收要求</w:t>
            </w:r>
          </w:p>
        </w:tc>
      </w:tr>
      <w:tr w14:paraId="61D3D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9" w:type="dxa"/>
            <w:gridSpan w:val="2"/>
            <w:vAlign w:val="center"/>
          </w:tcPr>
          <w:p w14:paraId="3C1CA3D7">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w:t>
            </w:r>
            <w:r>
              <w:rPr>
                <w:rFonts w:ascii="宋体" w:hAnsi="宋体"/>
                <w:color w:val="000000"/>
                <w:kern w:val="0"/>
                <w:szCs w:val="21"/>
              </w:rPr>
              <w:t>需提供第三方检测报告</w:t>
            </w:r>
          </w:p>
        </w:tc>
        <w:tc>
          <w:tcPr>
            <w:tcW w:w="4717" w:type="dxa"/>
            <w:vAlign w:val="center"/>
          </w:tcPr>
          <w:p w14:paraId="31C654A2">
            <w:pPr>
              <w:widowControl/>
              <w:adjustRightInd w:val="0"/>
              <w:snapToGrid w:val="0"/>
              <w:textAlignment w:val="baseline"/>
              <w:rPr>
                <w:rFonts w:ascii="宋体" w:hAnsi="宋体" w:cs="宋体"/>
                <w:color w:val="000000"/>
                <w:kern w:val="0"/>
                <w:szCs w:val="21"/>
              </w:rPr>
            </w:pPr>
          </w:p>
          <w:p w14:paraId="20A9A96A">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ascii="宋体" w:hAnsi="宋体"/>
                <w:color w:val="000000"/>
                <w:kern w:val="0"/>
                <w:szCs w:val="21"/>
              </w:rPr>
              <w:t>是</w:t>
            </w:r>
            <w:r>
              <w:rPr>
                <w:rFonts w:hint="eastAsia" w:ascii="宋体" w:hAnsi="宋体"/>
                <w:color w:val="000000"/>
                <w:kern w:val="0"/>
                <w:szCs w:val="21"/>
              </w:rPr>
              <w:t xml:space="preserve"> </w:t>
            </w:r>
            <w:r>
              <w:rPr>
                <w:rFonts w:hint="eastAsia" w:ascii="宋体" w:hAnsi="宋体" w:cs="宋体"/>
                <w:color w:val="000000"/>
                <w:kern w:val="0"/>
                <w:szCs w:val="21"/>
              </w:rPr>
              <w:sym w:font="Wingdings 2" w:char="F052"/>
            </w:r>
            <w:r>
              <w:rPr>
                <w:rFonts w:ascii="宋体" w:hAnsi="宋体"/>
                <w:color w:val="000000"/>
                <w:kern w:val="0"/>
                <w:szCs w:val="21"/>
              </w:rPr>
              <w:t>否</w:t>
            </w:r>
          </w:p>
          <w:p w14:paraId="27D503D4">
            <w:pPr>
              <w:widowControl/>
              <w:adjustRightInd w:val="0"/>
              <w:snapToGrid w:val="0"/>
              <w:textAlignment w:val="baseline"/>
              <w:rPr>
                <w:rFonts w:ascii="宋体" w:hAnsi="宋体"/>
                <w:color w:val="000000"/>
                <w:kern w:val="0"/>
                <w:szCs w:val="21"/>
              </w:rPr>
            </w:pPr>
          </w:p>
          <w:p w14:paraId="320097F6">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如需提供第三方检测报告，需满足下列要求：</w:t>
            </w:r>
          </w:p>
          <w:p w14:paraId="5BD277D5">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对于检测机构的要求：国家正规检测机构，出具的检测报告由验收复核专家认可之后作为验收复核通过的主要依据。</w:t>
            </w:r>
          </w:p>
          <w:p w14:paraId="344BFA73">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对于检测执行标准的要求：各项检测项目标准以检测机构按照行业相关要求最新适用并执行的标准为准。</w:t>
            </w:r>
          </w:p>
        </w:tc>
      </w:tr>
      <w:bookmarkEnd w:id="1"/>
      <w:bookmarkEnd w:id="2"/>
      <w:bookmarkEnd w:id="3"/>
      <w:bookmarkEnd w:id="5"/>
    </w:tbl>
    <w:p w14:paraId="38F80FC0">
      <w:pPr>
        <w:adjustRightInd w:val="0"/>
        <w:snapToGrid w:val="0"/>
        <w:spacing w:line="360" w:lineRule="auto"/>
        <w:ind w:firstLine="440" w:firstLineChars="200"/>
        <w:rPr>
          <w:rFonts w:ascii="楷体" w:hAnsi="楷体" w:eastAsia="楷体"/>
          <w:color w:val="FF0000"/>
          <w:sz w:val="22"/>
          <w:szCs w:val="22"/>
        </w:rPr>
      </w:pPr>
    </w:p>
    <w:p w14:paraId="35F239AF">
      <w:pPr>
        <w:adjustRightInd w:val="0"/>
        <w:snapToGrid w:val="0"/>
        <w:spacing w:line="360" w:lineRule="auto"/>
        <w:ind w:firstLine="440" w:firstLineChars="200"/>
        <w:rPr>
          <w:rFonts w:ascii="楷体" w:hAnsi="楷体" w:eastAsia="楷体"/>
          <w:color w:val="FF0000"/>
          <w:sz w:val="22"/>
          <w:szCs w:val="22"/>
        </w:rPr>
      </w:pPr>
    </w:p>
    <w:p w14:paraId="793C7502">
      <w:pPr>
        <w:adjustRightInd w:val="0"/>
        <w:snapToGrid w:val="0"/>
        <w:spacing w:line="360" w:lineRule="auto"/>
        <w:ind w:firstLine="420" w:firstLineChars="200"/>
      </w:pPr>
    </w:p>
    <w:sectPr>
      <w:footerReference r:id="rId3" w:type="default"/>
      <w:pgSz w:w="11906" w:h="16838"/>
      <w:pgMar w:top="1871" w:right="1418" w:bottom="1588"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DA28B">
    <w:pPr>
      <w:pStyle w:val="5"/>
      <w:jc w:val="center"/>
    </w:pPr>
    <w:r>
      <w:fldChar w:fldCharType="begin"/>
    </w:r>
    <w:r>
      <w:instrText xml:space="preserve">PAGE   \* MERGEFORMAT</w:instrText>
    </w:r>
    <w:r>
      <w:fldChar w:fldCharType="separate"/>
    </w:r>
    <w:r>
      <w:rPr>
        <w:lang w:val="zh-CN"/>
      </w:rPr>
      <w:t>5</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0ADB"/>
    <w:rsid w:val="000045B7"/>
    <w:rsid w:val="0000609F"/>
    <w:rsid w:val="00012B28"/>
    <w:rsid w:val="000170BA"/>
    <w:rsid w:val="00017C9A"/>
    <w:rsid w:val="000345B6"/>
    <w:rsid w:val="00037EB6"/>
    <w:rsid w:val="0004707F"/>
    <w:rsid w:val="000578DF"/>
    <w:rsid w:val="00060610"/>
    <w:rsid w:val="00063B9E"/>
    <w:rsid w:val="000652AD"/>
    <w:rsid w:val="000816A4"/>
    <w:rsid w:val="00090056"/>
    <w:rsid w:val="00092B2E"/>
    <w:rsid w:val="00094C16"/>
    <w:rsid w:val="000A209A"/>
    <w:rsid w:val="000A21C5"/>
    <w:rsid w:val="000A57A8"/>
    <w:rsid w:val="000B5F74"/>
    <w:rsid w:val="000C588B"/>
    <w:rsid w:val="000C5FD7"/>
    <w:rsid w:val="000D1438"/>
    <w:rsid w:val="000E50F5"/>
    <w:rsid w:val="000F1FA8"/>
    <w:rsid w:val="000F2A29"/>
    <w:rsid w:val="00102045"/>
    <w:rsid w:val="00105428"/>
    <w:rsid w:val="001118D9"/>
    <w:rsid w:val="0011348A"/>
    <w:rsid w:val="00121267"/>
    <w:rsid w:val="001218F7"/>
    <w:rsid w:val="001262EF"/>
    <w:rsid w:val="0012727F"/>
    <w:rsid w:val="0013226A"/>
    <w:rsid w:val="00134751"/>
    <w:rsid w:val="00140AF0"/>
    <w:rsid w:val="00140C41"/>
    <w:rsid w:val="00141299"/>
    <w:rsid w:val="0014178C"/>
    <w:rsid w:val="001507CE"/>
    <w:rsid w:val="00150952"/>
    <w:rsid w:val="00150BB2"/>
    <w:rsid w:val="0015496B"/>
    <w:rsid w:val="00157667"/>
    <w:rsid w:val="001609FC"/>
    <w:rsid w:val="00162A76"/>
    <w:rsid w:val="00163196"/>
    <w:rsid w:val="00176534"/>
    <w:rsid w:val="00177BD4"/>
    <w:rsid w:val="0018461B"/>
    <w:rsid w:val="00192B6A"/>
    <w:rsid w:val="001B03C0"/>
    <w:rsid w:val="001B0A84"/>
    <w:rsid w:val="001B1B91"/>
    <w:rsid w:val="001B38ED"/>
    <w:rsid w:val="001B712C"/>
    <w:rsid w:val="001C0880"/>
    <w:rsid w:val="001C19BA"/>
    <w:rsid w:val="001C3356"/>
    <w:rsid w:val="001C3D78"/>
    <w:rsid w:val="001C41C3"/>
    <w:rsid w:val="001C5915"/>
    <w:rsid w:val="001C7C84"/>
    <w:rsid w:val="001E0980"/>
    <w:rsid w:val="001E1FDF"/>
    <w:rsid w:val="001E5B8B"/>
    <w:rsid w:val="001F2F73"/>
    <w:rsid w:val="0021026B"/>
    <w:rsid w:val="00214F3E"/>
    <w:rsid w:val="002204EA"/>
    <w:rsid w:val="002262A0"/>
    <w:rsid w:val="00230B96"/>
    <w:rsid w:val="00233C66"/>
    <w:rsid w:val="00237253"/>
    <w:rsid w:val="002440C5"/>
    <w:rsid w:val="00244594"/>
    <w:rsid w:val="00244A77"/>
    <w:rsid w:val="00245208"/>
    <w:rsid w:val="002529C7"/>
    <w:rsid w:val="00255503"/>
    <w:rsid w:val="00255550"/>
    <w:rsid w:val="002569F5"/>
    <w:rsid w:val="00264031"/>
    <w:rsid w:val="0027521E"/>
    <w:rsid w:val="00277679"/>
    <w:rsid w:val="00280353"/>
    <w:rsid w:val="002815C8"/>
    <w:rsid w:val="002878EA"/>
    <w:rsid w:val="00290359"/>
    <w:rsid w:val="00293B6E"/>
    <w:rsid w:val="00297819"/>
    <w:rsid w:val="002A4902"/>
    <w:rsid w:val="002A6571"/>
    <w:rsid w:val="002B287A"/>
    <w:rsid w:val="002B3A1B"/>
    <w:rsid w:val="002C0CC3"/>
    <w:rsid w:val="002C1D63"/>
    <w:rsid w:val="002C7863"/>
    <w:rsid w:val="002D06B9"/>
    <w:rsid w:val="002D68DE"/>
    <w:rsid w:val="002D7991"/>
    <w:rsid w:val="002D7EBC"/>
    <w:rsid w:val="002E1EFE"/>
    <w:rsid w:val="002F0BEB"/>
    <w:rsid w:val="00300CA8"/>
    <w:rsid w:val="003027D7"/>
    <w:rsid w:val="00303423"/>
    <w:rsid w:val="00305D95"/>
    <w:rsid w:val="00306DA8"/>
    <w:rsid w:val="003078A0"/>
    <w:rsid w:val="00310E17"/>
    <w:rsid w:val="003113D4"/>
    <w:rsid w:val="00311594"/>
    <w:rsid w:val="0031502A"/>
    <w:rsid w:val="00323357"/>
    <w:rsid w:val="003243F0"/>
    <w:rsid w:val="00327213"/>
    <w:rsid w:val="0033313D"/>
    <w:rsid w:val="003458D7"/>
    <w:rsid w:val="00345D8D"/>
    <w:rsid w:val="00351AB0"/>
    <w:rsid w:val="00353168"/>
    <w:rsid w:val="00353C03"/>
    <w:rsid w:val="00353EC3"/>
    <w:rsid w:val="00361390"/>
    <w:rsid w:val="0036352F"/>
    <w:rsid w:val="00363656"/>
    <w:rsid w:val="003649AF"/>
    <w:rsid w:val="00365116"/>
    <w:rsid w:val="00371949"/>
    <w:rsid w:val="00375975"/>
    <w:rsid w:val="0037638F"/>
    <w:rsid w:val="00390F4C"/>
    <w:rsid w:val="003B1B61"/>
    <w:rsid w:val="003B4712"/>
    <w:rsid w:val="003C207F"/>
    <w:rsid w:val="003C277F"/>
    <w:rsid w:val="003D06DB"/>
    <w:rsid w:val="003D4AEF"/>
    <w:rsid w:val="003E4113"/>
    <w:rsid w:val="003E4FDA"/>
    <w:rsid w:val="003E5394"/>
    <w:rsid w:val="003E675E"/>
    <w:rsid w:val="003F1D71"/>
    <w:rsid w:val="003F341A"/>
    <w:rsid w:val="003F37A4"/>
    <w:rsid w:val="003F4F91"/>
    <w:rsid w:val="003F5577"/>
    <w:rsid w:val="003F7E54"/>
    <w:rsid w:val="00406295"/>
    <w:rsid w:val="00410B1E"/>
    <w:rsid w:val="004151CD"/>
    <w:rsid w:val="00415A37"/>
    <w:rsid w:val="00426CB3"/>
    <w:rsid w:val="00436B73"/>
    <w:rsid w:val="00440EDB"/>
    <w:rsid w:val="00442A4D"/>
    <w:rsid w:val="00453832"/>
    <w:rsid w:val="00455ED6"/>
    <w:rsid w:val="004712B7"/>
    <w:rsid w:val="0048154C"/>
    <w:rsid w:val="00481EE9"/>
    <w:rsid w:val="00490D0E"/>
    <w:rsid w:val="00491E5A"/>
    <w:rsid w:val="00492DD3"/>
    <w:rsid w:val="004951D7"/>
    <w:rsid w:val="00495B30"/>
    <w:rsid w:val="004A43F0"/>
    <w:rsid w:val="004A69FE"/>
    <w:rsid w:val="004B3DFE"/>
    <w:rsid w:val="004C0EDE"/>
    <w:rsid w:val="004C6E57"/>
    <w:rsid w:val="004D47EE"/>
    <w:rsid w:val="004D7FAC"/>
    <w:rsid w:val="004E36C2"/>
    <w:rsid w:val="004E4B14"/>
    <w:rsid w:val="00501176"/>
    <w:rsid w:val="00501E8E"/>
    <w:rsid w:val="00505914"/>
    <w:rsid w:val="0051081D"/>
    <w:rsid w:val="00510891"/>
    <w:rsid w:val="0051141F"/>
    <w:rsid w:val="00524AB7"/>
    <w:rsid w:val="0052535A"/>
    <w:rsid w:val="005307ED"/>
    <w:rsid w:val="0053111A"/>
    <w:rsid w:val="00537D96"/>
    <w:rsid w:val="00544653"/>
    <w:rsid w:val="00545874"/>
    <w:rsid w:val="00551F52"/>
    <w:rsid w:val="00555D36"/>
    <w:rsid w:val="00557A2C"/>
    <w:rsid w:val="00557F71"/>
    <w:rsid w:val="00562C62"/>
    <w:rsid w:val="00562FB7"/>
    <w:rsid w:val="005633CE"/>
    <w:rsid w:val="00571ADE"/>
    <w:rsid w:val="005732C7"/>
    <w:rsid w:val="005737B7"/>
    <w:rsid w:val="00575012"/>
    <w:rsid w:val="00582A16"/>
    <w:rsid w:val="005853E9"/>
    <w:rsid w:val="00585AD7"/>
    <w:rsid w:val="00586153"/>
    <w:rsid w:val="0059304A"/>
    <w:rsid w:val="005951EF"/>
    <w:rsid w:val="005B02D0"/>
    <w:rsid w:val="005B0AC7"/>
    <w:rsid w:val="005B317C"/>
    <w:rsid w:val="005B5B9E"/>
    <w:rsid w:val="005B62C9"/>
    <w:rsid w:val="005B698D"/>
    <w:rsid w:val="005B6A13"/>
    <w:rsid w:val="005C3DA0"/>
    <w:rsid w:val="005D1A12"/>
    <w:rsid w:val="005E0008"/>
    <w:rsid w:val="005E373A"/>
    <w:rsid w:val="005E6A0A"/>
    <w:rsid w:val="005E7748"/>
    <w:rsid w:val="005E7C85"/>
    <w:rsid w:val="005F06FA"/>
    <w:rsid w:val="005F1571"/>
    <w:rsid w:val="005F26A4"/>
    <w:rsid w:val="005F271F"/>
    <w:rsid w:val="005F3727"/>
    <w:rsid w:val="005F401F"/>
    <w:rsid w:val="0060360E"/>
    <w:rsid w:val="00605B14"/>
    <w:rsid w:val="00611202"/>
    <w:rsid w:val="00611E61"/>
    <w:rsid w:val="006139E7"/>
    <w:rsid w:val="00620197"/>
    <w:rsid w:val="00620652"/>
    <w:rsid w:val="006237BE"/>
    <w:rsid w:val="00634FF1"/>
    <w:rsid w:val="00636F27"/>
    <w:rsid w:val="00640733"/>
    <w:rsid w:val="00642B2A"/>
    <w:rsid w:val="0064334B"/>
    <w:rsid w:val="006538FB"/>
    <w:rsid w:val="006706FD"/>
    <w:rsid w:val="006772FA"/>
    <w:rsid w:val="00681FDD"/>
    <w:rsid w:val="006873DB"/>
    <w:rsid w:val="006878E9"/>
    <w:rsid w:val="006A6A2F"/>
    <w:rsid w:val="006C2706"/>
    <w:rsid w:val="006C2918"/>
    <w:rsid w:val="006C4154"/>
    <w:rsid w:val="006C511C"/>
    <w:rsid w:val="006C782C"/>
    <w:rsid w:val="006D095D"/>
    <w:rsid w:val="006D2C2D"/>
    <w:rsid w:val="006D3A11"/>
    <w:rsid w:val="006E1E8B"/>
    <w:rsid w:val="006E330A"/>
    <w:rsid w:val="006F3B7B"/>
    <w:rsid w:val="006F5B28"/>
    <w:rsid w:val="006F5E53"/>
    <w:rsid w:val="006F7061"/>
    <w:rsid w:val="007011DF"/>
    <w:rsid w:val="00703AC6"/>
    <w:rsid w:val="00710AA5"/>
    <w:rsid w:val="00711E56"/>
    <w:rsid w:val="007132C5"/>
    <w:rsid w:val="00715B3F"/>
    <w:rsid w:val="0071642D"/>
    <w:rsid w:val="00717C94"/>
    <w:rsid w:val="00721306"/>
    <w:rsid w:val="007234E0"/>
    <w:rsid w:val="00725D8A"/>
    <w:rsid w:val="00727C0A"/>
    <w:rsid w:val="00730287"/>
    <w:rsid w:val="007369E1"/>
    <w:rsid w:val="0074203F"/>
    <w:rsid w:val="007435CD"/>
    <w:rsid w:val="007437CA"/>
    <w:rsid w:val="007554BB"/>
    <w:rsid w:val="00755FDD"/>
    <w:rsid w:val="0075752D"/>
    <w:rsid w:val="00760039"/>
    <w:rsid w:val="00763273"/>
    <w:rsid w:val="0076501A"/>
    <w:rsid w:val="00767EEB"/>
    <w:rsid w:val="007803AD"/>
    <w:rsid w:val="007839AE"/>
    <w:rsid w:val="00785146"/>
    <w:rsid w:val="00791CD0"/>
    <w:rsid w:val="007A059E"/>
    <w:rsid w:val="007A41C0"/>
    <w:rsid w:val="007A5A82"/>
    <w:rsid w:val="007A5DE1"/>
    <w:rsid w:val="007A7B4C"/>
    <w:rsid w:val="007B0025"/>
    <w:rsid w:val="007B0FEB"/>
    <w:rsid w:val="007B4412"/>
    <w:rsid w:val="007C7E7D"/>
    <w:rsid w:val="007D270D"/>
    <w:rsid w:val="007D2C32"/>
    <w:rsid w:val="007D423E"/>
    <w:rsid w:val="007D4F3E"/>
    <w:rsid w:val="007D72DA"/>
    <w:rsid w:val="007D7B8D"/>
    <w:rsid w:val="007E1C48"/>
    <w:rsid w:val="007E62AE"/>
    <w:rsid w:val="007E73EB"/>
    <w:rsid w:val="007F1338"/>
    <w:rsid w:val="007F2546"/>
    <w:rsid w:val="007F4BD9"/>
    <w:rsid w:val="007F4C10"/>
    <w:rsid w:val="007F5C59"/>
    <w:rsid w:val="00800E12"/>
    <w:rsid w:val="00801053"/>
    <w:rsid w:val="0080610F"/>
    <w:rsid w:val="00811918"/>
    <w:rsid w:val="008153D5"/>
    <w:rsid w:val="00823CA9"/>
    <w:rsid w:val="00824562"/>
    <w:rsid w:val="00825F4C"/>
    <w:rsid w:val="00831869"/>
    <w:rsid w:val="00833A4F"/>
    <w:rsid w:val="00834FF0"/>
    <w:rsid w:val="0083650B"/>
    <w:rsid w:val="008403A0"/>
    <w:rsid w:val="0084652E"/>
    <w:rsid w:val="00846FC6"/>
    <w:rsid w:val="00847A0B"/>
    <w:rsid w:val="00860344"/>
    <w:rsid w:val="00860346"/>
    <w:rsid w:val="008627C7"/>
    <w:rsid w:val="008635D7"/>
    <w:rsid w:val="00870113"/>
    <w:rsid w:val="00873F09"/>
    <w:rsid w:val="00874E31"/>
    <w:rsid w:val="008775E2"/>
    <w:rsid w:val="00881F75"/>
    <w:rsid w:val="008875CA"/>
    <w:rsid w:val="0089621F"/>
    <w:rsid w:val="008A1027"/>
    <w:rsid w:val="008A7248"/>
    <w:rsid w:val="008B21EB"/>
    <w:rsid w:val="008B5DBC"/>
    <w:rsid w:val="008C0BE7"/>
    <w:rsid w:val="008C49D1"/>
    <w:rsid w:val="008C7368"/>
    <w:rsid w:val="008D094B"/>
    <w:rsid w:val="008D11A7"/>
    <w:rsid w:val="008D17DD"/>
    <w:rsid w:val="008D4186"/>
    <w:rsid w:val="008D5F08"/>
    <w:rsid w:val="008E111B"/>
    <w:rsid w:val="008E38CF"/>
    <w:rsid w:val="008E5DAA"/>
    <w:rsid w:val="008E5F1D"/>
    <w:rsid w:val="008E6FAC"/>
    <w:rsid w:val="008F2ED3"/>
    <w:rsid w:val="008F3C13"/>
    <w:rsid w:val="008F6AEC"/>
    <w:rsid w:val="00902581"/>
    <w:rsid w:val="00912013"/>
    <w:rsid w:val="00925E61"/>
    <w:rsid w:val="0092649F"/>
    <w:rsid w:val="0093090F"/>
    <w:rsid w:val="00946EF5"/>
    <w:rsid w:val="0095685D"/>
    <w:rsid w:val="0095718B"/>
    <w:rsid w:val="009604BB"/>
    <w:rsid w:val="009618B7"/>
    <w:rsid w:val="00962CDE"/>
    <w:rsid w:val="00985AE9"/>
    <w:rsid w:val="0099177F"/>
    <w:rsid w:val="00992532"/>
    <w:rsid w:val="00995789"/>
    <w:rsid w:val="009A7391"/>
    <w:rsid w:val="009B2EF0"/>
    <w:rsid w:val="009B3732"/>
    <w:rsid w:val="009B4C25"/>
    <w:rsid w:val="009B628C"/>
    <w:rsid w:val="009C2163"/>
    <w:rsid w:val="009C257D"/>
    <w:rsid w:val="009C3957"/>
    <w:rsid w:val="009C5FCD"/>
    <w:rsid w:val="009D18B6"/>
    <w:rsid w:val="009D2D9F"/>
    <w:rsid w:val="009D33C2"/>
    <w:rsid w:val="009D3518"/>
    <w:rsid w:val="009E0F69"/>
    <w:rsid w:val="009F0011"/>
    <w:rsid w:val="009F206D"/>
    <w:rsid w:val="009F3B77"/>
    <w:rsid w:val="009F66DE"/>
    <w:rsid w:val="009F6CAB"/>
    <w:rsid w:val="009F7A2C"/>
    <w:rsid w:val="00A01710"/>
    <w:rsid w:val="00A047F0"/>
    <w:rsid w:val="00A14ED7"/>
    <w:rsid w:val="00A161FC"/>
    <w:rsid w:val="00A2430D"/>
    <w:rsid w:val="00A30C68"/>
    <w:rsid w:val="00A4094F"/>
    <w:rsid w:val="00A500A4"/>
    <w:rsid w:val="00A61746"/>
    <w:rsid w:val="00A63300"/>
    <w:rsid w:val="00A701AE"/>
    <w:rsid w:val="00A7512D"/>
    <w:rsid w:val="00A75C48"/>
    <w:rsid w:val="00A75D88"/>
    <w:rsid w:val="00A765E9"/>
    <w:rsid w:val="00A76D9E"/>
    <w:rsid w:val="00A865ED"/>
    <w:rsid w:val="00A86C18"/>
    <w:rsid w:val="00A93FD2"/>
    <w:rsid w:val="00AA1A80"/>
    <w:rsid w:val="00AA2AC3"/>
    <w:rsid w:val="00AB4712"/>
    <w:rsid w:val="00AB48E9"/>
    <w:rsid w:val="00AC005D"/>
    <w:rsid w:val="00AC2EB1"/>
    <w:rsid w:val="00AC6F95"/>
    <w:rsid w:val="00AD6EAD"/>
    <w:rsid w:val="00AE18CF"/>
    <w:rsid w:val="00AE1AFA"/>
    <w:rsid w:val="00AE67A6"/>
    <w:rsid w:val="00AF7468"/>
    <w:rsid w:val="00B015CE"/>
    <w:rsid w:val="00B01FBC"/>
    <w:rsid w:val="00B03658"/>
    <w:rsid w:val="00B04427"/>
    <w:rsid w:val="00B0779B"/>
    <w:rsid w:val="00B149B5"/>
    <w:rsid w:val="00B151BE"/>
    <w:rsid w:val="00B209E9"/>
    <w:rsid w:val="00B236CB"/>
    <w:rsid w:val="00B30D51"/>
    <w:rsid w:val="00B33451"/>
    <w:rsid w:val="00B33F63"/>
    <w:rsid w:val="00B35632"/>
    <w:rsid w:val="00B43698"/>
    <w:rsid w:val="00B4481B"/>
    <w:rsid w:val="00B4710C"/>
    <w:rsid w:val="00B47D50"/>
    <w:rsid w:val="00B7018C"/>
    <w:rsid w:val="00B7019E"/>
    <w:rsid w:val="00B7185F"/>
    <w:rsid w:val="00B72BD6"/>
    <w:rsid w:val="00B87CB4"/>
    <w:rsid w:val="00B91989"/>
    <w:rsid w:val="00B94A57"/>
    <w:rsid w:val="00B97895"/>
    <w:rsid w:val="00BA115A"/>
    <w:rsid w:val="00BA1466"/>
    <w:rsid w:val="00BA15B5"/>
    <w:rsid w:val="00BA359E"/>
    <w:rsid w:val="00BA6CF4"/>
    <w:rsid w:val="00BB03C1"/>
    <w:rsid w:val="00BB2053"/>
    <w:rsid w:val="00BB469B"/>
    <w:rsid w:val="00BB7A38"/>
    <w:rsid w:val="00BC04A3"/>
    <w:rsid w:val="00BC3D86"/>
    <w:rsid w:val="00BC7870"/>
    <w:rsid w:val="00BD0727"/>
    <w:rsid w:val="00BD11BC"/>
    <w:rsid w:val="00BD305E"/>
    <w:rsid w:val="00BE04B2"/>
    <w:rsid w:val="00BE12E8"/>
    <w:rsid w:val="00BE1EF1"/>
    <w:rsid w:val="00BE5444"/>
    <w:rsid w:val="00BF1C8F"/>
    <w:rsid w:val="00BF7E50"/>
    <w:rsid w:val="00C1098B"/>
    <w:rsid w:val="00C10C07"/>
    <w:rsid w:val="00C10F61"/>
    <w:rsid w:val="00C15054"/>
    <w:rsid w:val="00C163BC"/>
    <w:rsid w:val="00C23258"/>
    <w:rsid w:val="00C25E3B"/>
    <w:rsid w:val="00C27434"/>
    <w:rsid w:val="00C34505"/>
    <w:rsid w:val="00C35B3B"/>
    <w:rsid w:val="00C36A51"/>
    <w:rsid w:val="00C459CE"/>
    <w:rsid w:val="00C479F8"/>
    <w:rsid w:val="00C51CEE"/>
    <w:rsid w:val="00C53AA9"/>
    <w:rsid w:val="00C56D21"/>
    <w:rsid w:val="00C63818"/>
    <w:rsid w:val="00C643DA"/>
    <w:rsid w:val="00C74982"/>
    <w:rsid w:val="00C82348"/>
    <w:rsid w:val="00C92D3F"/>
    <w:rsid w:val="00C950B9"/>
    <w:rsid w:val="00CA1559"/>
    <w:rsid w:val="00CA1D32"/>
    <w:rsid w:val="00CC44C8"/>
    <w:rsid w:val="00CD153F"/>
    <w:rsid w:val="00CD2230"/>
    <w:rsid w:val="00CD50E0"/>
    <w:rsid w:val="00CD5C95"/>
    <w:rsid w:val="00CE0FFF"/>
    <w:rsid w:val="00CE546B"/>
    <w:rsid w:val="00CF3F57"/>
    <w:rsid w:val="00CF7DC8"/>
    <w:rsid w:val="00D03D35"/>
    <w:rsid w:val="00D04B4C"/>
    <w:rsid w:val="00D07E51"/>
    <w:rsid w:val="00D12F04"/>
    <w:rsid w:val="00D156F3"/>
    <w:rsid w:val="00D17B51"/>
    <w:rsid w:val="00D21F75"/>
    <w:rsid w:val="00D22E33"/>
    <w:rsid w:val="00D324D9"/>
    <w:rsid w:val="00D333CD"/>
    <w:rsid w:val="00D41788"/>
    <w:rsid w:val="00D44196"/>
    <w:rsid w:val="00D449F2"/>
    <w:rsid w:val="00D44E67"/>
    <w:rsid w:val="00D45ED1"/>
    <w:rsid w:val="00D512BD"/>
    <w:rsid w:val="00D532CD"/>
    <w:rsid w:val="00D55A25"/>
    <w:rsid w:val="00D56E82"/>
    <w:rsid w:val="00D6619A"/>
    <w:rsid w:val="00D7490B"/>
    <w:rsid w:val="00D76AA8"/>
    <w:rsid w:val="00D8060D"/>
    <w:rsid w:val="00D81319"/>
    <w:rsid w:val="00D8247A"/>
    <w:rsid w:val="00D82B79"/>
    <w:rsid w:val="00D87F17"/>
    <w:rsid w:val="00D94396"/>
    <w:rsid w:val="00D97FEA"/>
    <w:rsid w:val="00DA1B3C"/>
    <w:rsid w:val="00DA2BF3"/>
    <w:rsid w:val="00DA57C1"/>
    <w:rsid w:val="00DB1D64"/>
    <w:rsid w:val="00DB6ED1"/>
    <w:rsid w:val="00DC1928"/>
    <w:rsid w:val="00DD1742"/>
    <w:rsid w:val="00DD2AD3"/>
    <w:rsid w:val="00DE15E5"/>
    <w:rsid w:val="00DF1EA0"/>
    <w:rsid w:val="00DF245C"/>
    <w:rsid w:val="00DF5062"/>
    <w:rsid w:val="00DF65CB"/>
    <w:rsid w:val="00E02FC1"/>
    <w:rsid w:val="00E04411"/>
    <w:rsid w:val="00E0462B"/>
    <w:rsid w:val="00E0581E"/>
    <w:rsid w:val="00E07247"/>
    <w:rsid w:val="00E10251"/>
    <w:rsid w:val="00E1130A"/>
    <w:rsid w:val="00E14E80"/>
    <w:rsid w:val="00E17608"/>
    <w:rsid w:val="00E22081"/>
    <w:rsid w:val="00E26107"/>
    <w:rsid w:val="00E34A5B"/>
    <w:rsid w:val="00E36D46"/>
    <w:rsid w:val="00E4264C"/>
    <w:rsid w:val="00E458B0"/>
    <w:rsid w:val="00E501AE"/>
    <w:rsid w:val="00E506CD"/>
    <w:rsid w:val="00E512A8"/>
    <w:rsid w:val="00E538A0"/>
    <w:rsid w:val="00E57E43"/>
    <w:rsid w:val="00E65CE7"/>
    <w:rsid w:val="00E6628A"/>
    <w:rsid w:val="00E71DB9"/>
    <w:rsid w:val="00E72D7F"/>
    <w:rsid w:val="00E72F6F"/>
    <w:rsid w:val="00E73399"/>
    <w:rsid w:val="00E744D3"/>
    <w:rsid w:val="00E74CB1"/>
    <w:rsid w:val="00E75230"/>
    <w:rsid w:val="00E7573D"/>
    <w:rsid w:val="00E821CF"/>
    <w:rsid w:val="00E822B6"/>
    <w:rsid w:val="00E83E2F"/>
    <w:rsid w:val="00E85911"/>
    <w:rsid w:val="00E85E97"/>
    <w:rsid w:val="00E8749A"/>
    <w:rsid w:val="00E90A5E"/>
    <w:rsid w:val="00E93031"/>
    <w:rsid w:val="00E931F1"/>
    <w:rsid w:val="00E972E0"/>
    <w:rsid w:val="00EA2508"/>
    <w:rsid w:val="00EA4358"/>
    <w:rsid w:val="00EA4482"/>
    <w:rsid w:val="00EA5BB2"/>
    <w:rsid w:val="00EA67C5"/>
    <w:rsid w:val="00EA7524"/>
    <w:rsid w:val="00EB42C3"/>
    <w:rsid w:val="00EB5304"/>
    <w:rsid w:val="00ED27A4"/>
    <w:rsid w:val="00ED5154"/>
    <w:rsid w:val="00EE2CE9"/>
    <w:rsid w:val="00EF2087"/>
    <w:rsid w:val="00EF4FBA"/>
    <w:rsid w:val="00F02423"/>
    <w:rsid w:val="00F072C1"/>
    <w:rsid w:val="00F07693"/>
    <w:rsid w:val="00F10369"/>
    <w:rsid w:val="00F13265"/>
    <w:rsid w:val="00F14B96"/>
    <w:rsid w:val="00F1681C"/>
    <w:rsid w:val="00F17DEA"/>
    <w:rsid w:val="00F223B3"/>
    <w:rsid w:val="00F33F13"/>
    <w:rsid w:val="00F35137"/>
    <w:rsid w:val="00F43286"/>
    <w:rsid w:val="00F438F3"/>
    <w:rsid w:val="00F57DCD"/>
    <w:rsid w:val="00F63AEB"/>
    <w:rsid w:val="00F65DFE"/>
    <w:rsid w:val="00F72305"/>
    <w:rsid w:val="00F7623C"/>
    <w:rsid w:val="00F77F3E"/>
    <w:rsid w:val="00F8648C"/>
    <w:rsid w:val="00F908A8"/>
    <w:rsid w:val="00F93AA6"/>
    <w:rsid w:val="00F94194"/>
    <w:rsid w:val="00F959C8"/>
    <w:rsid w:val="00F9750C"/>
    <w:rsid w:val="00F9789E"/>
    <w:rsid w:val="00FA67D4"/>
    <w:rsid w:val="00FB00E1"/>
    <w:rsid w:val="00FB12A5"/>
    <w:rsid w:val="00FB1587"/>
    <w:rsid w:val="00FB322D"/>
    <w:rsid w:val="00FB42CB"/>
    <w:rsid w:val="00FB43C6"/>
    <w:rsid w:val="00FB5401"/>
    <w:rsid w:val="00FC1111"/>
    <w:rsid w:val="00FC194B"/>
    <w:rsid w:val="00FC3BB8"/>
    <w:rsid w:val="00FD6CA8"/>
    <w:rsid w:val="00FE1B41"/>
    <w:rsid w:val="00FF21F2"/>
    <w:rsid w:val="00FF339E"/>
    <w:rsid w:val="00FF40F9"/>
    <w:rsid w:val="00FF47AD"/>
    <w:rsid w:val="00FF6875"/>
    <w:rsid w:val="00FF698C"/>
    <w:rsid w:val="1BC72B84"/>
    <w:rsid w:val="237B5488"/>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4"/>
    <w:semiHidden/>
    <w:unhideWhenUsed/>
    <w:uiPriority w:val="99"/>
    <w:pPr>
      <w:jc w:val="left"/>
    </w:pPr>
  </w:style>
  <w:style w:type="paragraph" w:styleId="3">
    <w:name w:val="Plain Text"/>
    <w:basedOn w:val="1"/>
    <w:link w:val="14"/>
    <w:qFormat/>
    <w:uiPriority w:val="0"/>
    <w:rPr>
      <w:rFonts w:ascii="宋体" w:hAnsi="Courier New" w:cstheme="minorBidi"/>
      <w:szCs w:val="22"/>
    </w:rPr>
  </w:style>
  <w:style w:type="paragraph" w:styleId="4">
    <w:name w:val="Balloon Text"/>
    <w:basedOn w:val="1"/>
    <w:link w:val="22"/>
    <w:semiHidden/>
    <w:unhideWhenUsed/>
    <w:qFormat/>
    <w:uiPriority w:val="99"/>
    <w:rPr>
      <w:sz w:val="18"/>
      <w:szCs w:val="18"/>
    </w:rPr>
  </w:style>
  <w:style w:type="paragraph" w:styleId="5">
    <w:name w:val="footer"/>
    <w:basedOn w:val="1"/>
    <w:link w:val="15"/>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link w:val="16"/>
    <w:qFormat/>
    <w:uiPriority w:val="0"/>
    <w:pPr>
      <w:spacing w:before="240" w:after="60"/>
      <w:jc w:val="center"/>
      <w:outlineLvl w:val="0"/>
    </w:pPr>
    <w:rPr>
      <w:rFonts w:ascii="Arial" w:hAnsi="Arial" w:cs="Arial"/>
      <w:b/>
      <w:bCs/>
      <w:sz w:val="32"/>
      <w:szCs w:val="32"/>
    </w:rPr>
  </w:style>
  <w:style w:type="paragraph" w:styleId="8">
    <w:name w:val="annotation subject"/>
    <w:basedOn w:val="2"/>
    <w:next w:val="2"/>
    <w:link w:val="25"/>
    <w:semiHidden/>
    <w:unhideWhenUsed/>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semiHidden/>
    <w:unhideWhenUsed/>
    <w:uiPriority w:val="99"/>
    <w:rPr>
      <w:color w:val="0000FF"/>
      <w:u w:val="single"/>
    </w:rPr>
  </w:style>
  <w:style w:type="character" w:styleId="13">
    <w:name w:val="annotation reference"/>
    <w:basedOn w:val="11"/>
    <w:semiHidden/>
    <w:unhideWhenUsed/>
    <w:uiPriority w:val="99"/>
    <w:rPr>
      <w:sz w:val="21"/>
      <w:szCs w:val="21"/>
    </w:rPr>
  </w:style>
  <w:style w:type="character" w:customStyle="1" w:styleId="14">
    <w:name w:val="纯文本 字符"/>
    <w:link w:val="3"/>
    <w:uiPriority w:val="0"/>
    <w:rPr>
      <w:rFonts w:ascii="宋体" w:hAnsi="Courier New" w:eastAsia="宋体"/>
    </w:rPr>
  </w:style>
  <w:style w:type="character" w:customStyle="1" w:styleId="15">
    <w:name w:val="页脚 字符"/>
    <w:link w:val="5"/>
    <w:qFormat/>
    <w:uiPriority w:val="0"/>
    <w:rPr>
      <w:sz w:val="18"/>
    </w:rPr>
  </w:style>
  <w:style w:type="character" w:customStyle="1" w:styleId="16">
    <w:name w:val="标题 字符"/>
    <w:link w:val="7"/>
    <w:qFormat/>
    <w:uiPriority w:val="0"/>
    <w:rPr>
      <w:rFonts w:ascii="Arial" w:hAnsi="Arial" w:eastAsia="宋体" w:cs="Arial"/>
      <w:b/>
      <w:bCs/>
      <w:sz w:val="32"/>
      <w:szCs w:val="32"/>
    </w:rPr>
  </w:style>
  <w:style w:type="character" w:customStyle="1" w:styleId="17">
    <w:name w:val="页脚 Char"/>
    <w:basedOn w:val="11"/>
    <w:semiHidden/>
    <w:qFormat/>
    <w:uiPriority w:val="99"/>
    <w:rPr>
      <w:rFonts w:ascii="Times New Roman" w:hAnsi="Times New Roman" w:eastAsia="宋体" w:cs="Times New Roman"/>
      <w:sz w:val="18"/>
      <w:szCs w:val="18"/>
    </w:rPr>
  </w:style>
  <w:style w:type="character" w:customStyle="1" w:styleId="18">
    <w:name w:val="标题 Char"/>
    <w:basedOn w:val="11"/>
    <w:qFormat/>
    <w:uiPriority w:val="10"/>
    <w:rPr>
      <w:rFonts w:eastAsia="宋体" w:asciiTheme="majorHAnsi" w:hAnsiTheme="majorHAnsi" w:cstheme="majorBidi"/>
      <w:b/>
      <w:bCs/>
      <w:sz w:val="32"/>
      <w:szCs w:val="32"/>
    </w:rPr>
  </w:style>
  <w:style w:type="character" w:customStyle="1" w:styleId="19">
    <w:name w:val="纯文本 Char"/>
    <w:basedOn w:val="11"/>
    <w:semiHidden/>
    <w:qFormat/>
    <w:uiPriority w:val="99"/>
    <w:rPr>
      <w:rFonts w:ascii="宋体" w:hAnsi="Courier New" w:eastAsia="宋体" w:cs="Courier New"/>
      <w:szCs w:val="21"/>
    </w:rPr>
  </w:style>
  <w:style w:type="character" w:customStyle="1" w:styleId="20">
    <w:name w:val="页眉 字符"/>
    <w:basedOn w:val="11"/>
    <w:link w:val="6"/>
    <w:qFormat/>
    <w:uiPriority w:val="99"/>
    <w:rPr>
      <w:rFonts w:ascii="Times New Roman" w:hAnsi="Times New Roman" w:eastAsia="宋体" w:cs="Times New Roman"/>
      <w:sz w:val="18"/>
      <w:szCs w:val="18"/>
    </w:rPr>
  </w:style>
  <w:style w:type="paragraph" w:styleId="21">
    <w:name w:val="List Paragraph"/>
    <w:basedOn w:val="1"/>
    <w:qFormat/>
    <w:uiPriority w:val="34"/>
    <w:pPr>
      <w:ind w:firstLine="420" w:firstLineChars="200"/>
    </w:pPr>
  </w:style>
  <w:style w:type="character" w:customStyle="1" w:styleId="22">
    <w:name w:val="批注框文本 字符"/>
    <w:basedOn w:val="11"/>
    <w:link w:val="4"/>
    <w:semiHidden/>
    <w:qFormat/>
    <w:uiPriority w:val="99"/>
    <w:rPr>
      <w:rFonts w:ascii="Times New Roman" w:hAnsi="Times New Roman" w:eastAsia="宋体" w:cs="Times New Roman"/>
      <w:sz w:val="18"/>
      <w:szCs w:val="18"/>
    </w:rPr>
  </w:style>
  <w:style w:type="paragraph" w:customStyle="1" w:styleId="23">
    <w:name w:val="paragraph"/>
    <w:basedOn w:val="1"/>
    <w:semiHidden/>
    <w:uiPriority w:val="0"/>
    <w:pPr>
      <w:widowControl/>
      <w:spacing w:before="100" w:beforeAutospacing="1" w:after="100" w:afterAutospacing="1"/>
      <w:jc w:val="left"/>
    </w:pPr>
    <w:rPr>
      <w:rFonts w:ascii="等线" w:hAnsi="等线" w:eastAsia="等线"/>
      <w:kern w:val="0"/>
      <w:sz w:val="24"/>
      <w:szCs w:val="24"/>
    </w:rPr>
  </w:style>
  <w:style w:type="character" w:customStyle="1" w:styleId="24">
    <w:name w:val="批注文字 字符"/>
    <w:basedOn w:val="11"/>
    <w:link w:val="2"/>
    <w:semiHidden/>
    <w:uiPriority w:val="99"/>
    <w:rPr>
      <w:rFonts w:ascii="Times New Roman" w:hAnsi="Times New Roman" w:eastAsia="宋体" w:cs="Times New Roman"/>
      <w:kern w:val="2"/>
      <w:sz w:val="21"/>
    </w:rPr>
  </w:style>
  <w:style w:type="character" w:customStyle="1" w:styleId="25">
    <w:name w:val="批注主题 字符"/>
    <w:basedOn w:val="24"/>
    <w:link w:val="8"/>
    <w:semiHidden/>
    <w:uiPriority w:val="99"/>
    <w:rPr>
      <w:rFonts w:ascii="Times New Roman" w:hAnsi="Times New Roman" w:eastAsia="宋体" w:cs="Times New Roman"/>
      <w:b/>
      <w:bCs/>
      <w:kern w:val="2"/>
      <w:sz w:val="21"/>
    </w:rPr>
  </w:style>
  <w:style w:type="paragraph" w:customStyle="1" w:styleId="26">
    <w:name w:val="Revision"/>
    <w:hidden/>
    <w:semiHidden/>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1614</Words>
  <Characters>1771</Characters>
  <Lines>25</Lines>
  <Paragraphs>7</Paragraphs>
  <TotalTime>1</TotalTime>
  <ScaleCrop>false</ScaleCrop>
  <LinksUpToDate>false</LinksUpToDate>
  <CharactersWithSpaces>2070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2025-10-29T11:48:00Z</dcterms:created>
  <dc:creator>User</dc:creator>
  <cp:lastModifiedBy>薄荷叶</cp:lastModifiedBy>
  <dcterms:modified xsi:type="dcterms:W3CDTF">2025-10-30T03:57:28Z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FD47254428C546C79753499200788EBF</vt:lpwstr>
  </property>
  <property fmtid="{D5CDD505-2E9C-101B-9397-08002B2CF9AE}" pid="4" name="KSOTemplateDocerSaveRecord">
    <vt:lpwstr>eyJoZGlkIjoiMmY4YTcxOWEwZDk0NGRmMmQ0YjFhZTQzNTFkYTY1ZjQiLCJ1c2VySWQiOiI0ODU3Mzg1NjkifQ==</vt:lpwstr>
  </property>
</Properties>
</file>