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94FF20">
      <w:pPr>
        <w:pStyle w:val="9"/>
        <w:adjustRightInd w:val="0"/>
        <w:snapToGrid w:val="0"/>
        <w:spacing w:before="0" w:after="0" w:line="360" w:lineRule="auto"/>
        <w:outlineLvl w:val="9"/>
        <w:rPr>
          <w:rFonts w:ascii="方正小标宋简体" w:hAnsi="宋体" w:eastAsia="方正小标宋简体"/>
          <w:b w:val="0"/>
          <w:bCs w:val="0"/>
          <w:sz w:val="36"/>
        </w:rPr>
      </w:pPr>
      <w:bookmarkStart w:id="0" w:name="_Toc38367762"/>
      <w:r>
        <w:rPr>
          <w:rFonts w:hint="eastAsia" w:ascii="方正小标宋简体" w:hAnsi="宋体" w:eastAsia="方正小标宋简体"/>
          <w:b w:val="0"/>
          <w:bCs w:val="0"/>
          <w:sz w:val="36"/>
        </w:rPr>
        <w:t>高校周边经营性房屋安全评估采购需求</w:t>
      </w:r>
      <w:bookmarkEnd w:id="0"/>
    </w:p>
    <w:p w14:paraId="77C2D7A7">
      <w:pPr>
        <w:tabs>
          <w:tab w:val="left" w:pos="900"/>
        </w:tabs>
        <w:adjustRightInd w:val="0"/>
        <w:snapToGrid w:val="0"/>
        <w:spacing w:line="360" w:lineRule="auto"/>
        <w:ind w:firstLine="422" w:firstLineChars="200"/>
        <w:rPr>
          <w:b/>
          <w:szCs w:val="21"/>
        </w:rPr>
      </w:pPr>
      <w:bookmarkStart w:id="1" w:name="_Toc219271393"/>
      <w:bookmarkStart w:id="2" w:name="_Toc172360661"/>
      <w:bookmarkStart w:id="3" w:name="_Toc158978330"/>
      <w:r>
        <w:rPr>
          <w:rFonts w:hint="eastAsia" w:hAnsi="宋体"/>
          <w:b/>
          <w:szCs w:val="21"/>
        </w:rPr>
        <w:t>一、</w:t>
      </w:r>
      <w:r>
        <w:rPr>
          <w:rFonts w:hAnsi="宋体"/>
          <w:b/>
          <w:szCs w:val="21"/>
        </w:rPr>
        <w:t>采购</w:t>
      </w:r>
      <w:r>
        <w:rPr>
          <w:rFonts w:hint="eastAsia" w:hAnsi="宋体"/>
          <w:b/>
          <w:szCs w:val="21"/>
        </w:rPr>
        <w:t>标的</w:t>
      </w:r>
      <w:r>
        <w:rPr>
          <w:rFonts w:hAnsi="宋体"/>
          <w:b/>
          <w:szCs w:val="21"/>
        </w:rPr>
        <w:t>需实现的功能或者目标，以及为落实政府采购政策需满足的要求：</w:t>
      </w:r>
    </w:p>
    <w:p w14:paraId="08D81523">
      <w:pPr>
        <w:tabs>
          <w:tab w:val="left" w:pos="900"/>
        </w:tabs>
        <w:adjustRightInd w:val="0"/>
        <w:snapToGrid w:val="0"/>
        <w:spacing w:line="360" w:lineRule="auto"/>
        <w:ind w:firstLine="422" w:firstLineChars="200"/>
        <w:rPr>
          <w:rFonts w:hAnsi="宋体"/>
          <w:b/>
          <w:szCs w:val="21"/>
        </w:rPr>
      </w:pPr>
      <w:r>
        <w:rPr>
          <w:rFonts w:hAnsi="宋体"/>
          <w:b/>
          <w:szCs w:val="21"/>
        </w:rPr>
        <w:t>（一）采购</w:t>
      </w:r>
      <w:r>
        <w:rPr>
          <w:rFonts w:hint="eastAsia" w:hAnsi="宋体"/>
          <w:b/>
          <w:szCs w:val="21"/>
        </w:rPr>
        <w:t>标的</w:t>
      </w:r>
      <w:r>
        <w:rPr>
          <w:rFonts w:hAnsi="宋体"/>
          <w:b/>
          <w:szCs w:val="21"/>
        </w:rPr>
        <w:t>需实现的功能或者目标</w:t>
      </w:r>
    </w:p>
    <w:p w14:paraId="158EBC7D">
      <w:pPr>
        <w:tabs>
          <w:tab w:val="left" w:pos="900"/>
        </w:tabs>
        <w:adjustRightInd w:val="0"/>
        <w:snapToGrid w:val="0"/>
        <w:spacing w:line="360" w:lineRule="auto"/>
        <w:ind w:firstLine="420" w:firstLineChars="200"/>
        <w:rPr>
          <w:rFonts w:hAnsi="宋体"/>
          <w:bCs/>
          <w:szCs w:val="21"/>
        </w:rPr>
      </w:pPr>
      <w:r>
        <w:rPr>
          <w:rFonts w:hint="eastAsia" w:hAnsi="宋体"/>
          <w:bCs/>
          <w:szCs w:val="21"/>
        </w:rPr>
        <w:t>本项目为</w:t>
      </w:r>
      <w:r>
        <w:rPr>
          <w:rFonts w:hint="eastAsia" w:hAnsi="宋体"/>
          <w:bCs/>
          <w:szCs w:val="21"/>
          <w:lang w:val="en-US" w:eastAsia="zh-CN"/>
        </w:rPr>
        <w:t>西安交通大学</w:t>
      </w:r>
      <w:r>
        <w:rPr>
          <w:rFonts w:hint="eastAsia" w:hAnsi="宋体"/>
          <w:bCs/>
          <w:szCs w:val="21"/>
        </w:rPr>
        <w:t>周边经营性房屋安全评估，对建筑物结构现状进行安全评估，为后期使用、维修、加固等提供依据，要求安全评估符合国家及地方相关规范和标准要求，出具满足作为资产管理、维修维护、隐患整改的科学合法依据的最终报告。</w:t>
      </w:r>
    </w:p>
    <w:p w14:paraId="7E45FA3A">
      <w:pPr>
        <w:tabs>
          <w:tab w:val="left" w:pos="900"/>
        </w:tabs>
        <w:adjustRightInd w:val="0"/>
        <w:snapToGrid w:val="0"/>
        <w:spacing w:line="360" w:lineRule="auto"/>
        <w:ind w:firstLine="422" w:firstLineChars="200"/>
        <w:rPr>
          <w:b/>
          <w:szCs w:val="21"/>
        </w:rPr>
      </w:pPr>
      <w:r>
        <w:rPr>
          <w:rFonts w:hAnsi="宋体"/>
          <w:b/>
          <w:szCs w:val="21"/>
        </w:rPr>
        <w:t>（二）政府采购政策</w:t>
      </w:r>
      <w:r>
        <w:rPr>
          <w:rFonts w:hint="eastAsia" w:hAnsi="宋体"/>
          <w:b/>
          <w:szCs w:val="21"/>
        </w:rPr>
        <w:t>落实</w:t>
      </w:r>
      <w:r>
        <w:rPr>
          <w:rFonts w:hAnsi="宋体"/>
          <w:b/>
          <w:szCs w:val="21"/>
        </w:rPr>
        <w:t>要求</w:t>
      </w:r>
    </w:p>
    <w:p w14:paraId="5D9D7DE0">
      <w:pPr>
        <w:tabs>
          <w:tab w:val="left" w:pos="900"/>
        </w:tabs>
        <w:adjustRightInd w:val="0"/>
        <w:snapToGrid w:val="0"/>
        <w:spacing w:line="360" w:lineRule="auto"/>
        <w:ind w:firstLine="420" w:firstLineChars="200"/>
        <w:rPr>
          <w:rFonts w:hAnsi="宋体"/>
          <w:szCs w:val="21"/>
        </w:rPr>
      </w:pPr>
      <w:r>
        <w:rPr>
          <w:rFonts w:hint="eastAsia" w:hAnsi="宋体"/>
          <w:szCs w:val="24"/>
        </w:rPr>
        <w:t>1</w:t>
      </w:r>
      <w:r>
        <w:rPr>
          <w:rFonts w:hAnsi="宋体"/>
          <w:szCs w:val="24"/>
        </w:rPr>
        <w:t xml:space="preserve">. </w:t>
      </w:r>
      <w:r>
        <w:rPr>
          <w:rFonts w:hint="eastAsia" w:hAnsi="宋体"/>
          <w:szCs w:val="24"/>
        </w:rPr>
        <w:t>中小企业扶持政策：</w:t>
      </w:r>
      <w:r>
        <w:rPr>
          <w:rFonts w:hAnsi="宋体"/>
          <w:szCs w:val="24"/>
        </w:rPr>
        <w:t>根据</w:t>
      </w:r>
      <w:r>
        <w:rPr>
          <w:rFonts w:hAnsi="宋体"/>
        </w:rPr>
        <w:t>《政府采购促进中小企业发展管理办法》</w:t>
      </w:r>
      <w:r>
        <w:rPr>
          <w:rFonts w:hint="eastAsia" w:hAnsi="宋体"/>
        </w:rPr>
        <w:t>（财库〔2</w:t>
      </w:r>
      <w:r>
        <w:rPr>
          <w:rFonts w:hAnsi="宋体"/>
        </w:rPr>
        <w:t>020</w:t>
      </w:r>
      <w:r>
        <w:rPr>
          <w:rFonts w:hint="eastAsia" w:hAnsi="宋体"/>
        </w:rPr>
        <w:t>〕4</w:t>
      </w:r>
      <w:r>
        <w:rPr>
          <w:rFonts w:hAnsi="宋体"/>
        </w:rPr>
        <w:t>6</w:t>
      </w:r>
      <w:r>
        <w:rPr>
          <w:rFonts w:hint="eastAsia" w:hAnsi="宋体"/>
        </w:rPr>
        <w:t>号）</w:t>
      </w:r>
      <w:r>
        <w:rPr>
          <w:rFonts w:hAnsi="宋体"/>
        </w:rPr>
        <w:t>规定，本项目</w:t>
      </w:r>
      <w:r>
        <w:rPr>
          <w:rFonts w:hint="eastAsia" w:hAnsi="宋体"/>
        </w:rPr>
        <w:t>采购标的</w:t>
      </w:r>
      <w:r>
        <w:rPr>
          <w:rFonts w:hAnsi="宋体"/>
        </w:rPr>
        <w:t>为</w:t>
      </w:r>
      <w:r>
        <w:rPr>
          <w:rFonts w:hint="eastAsia" w:hAnsi="宋体"/>
        </w:rPr>
        <w:t>中小</w:t>
      </w:r>
      <w:r>
        <w:rPr>
          <w:rFonts w:hAnsi="宋体"/>
        </w:rPr>
        <w:t>型企业</w:t>
      </w:r>
      <w:r>
        <w:rPr>
          <w:rFonts w:hint="eastAsia" w:hAnsi="宋体"/>
        </w:rPr>
        <w:t>制造、承建或承接</w:t>
      </w:r>
      <w:r>
        <w:rPr>
          <w:rFonts w:hAnsi="宋体"/>
          <w:szCs w:val="24"/>
        </w:rPr>
        <w:t>的，</w:t>
      </w:r>
      <w:r>
        <w:rPr>
          <w:rFonts w:hAnsi="宋体"/>
        </w:rPr>
        <w:t>投标人应</w:t>
      </w:r>
      <w:r>
        <w:rPr>
          <w:rFonts w:hint="eastAsia" w:hAnsi="宋体"/>
        </w:rPr>
        <w:t>提供办法规定的</w:t>
      </w:r>
      <w:r>
        <w:rPr>
          <w:rFonts w:hAnsi="宋体"/>
          <w:szCs w:val="21"/>
        </w:rPr>
        <w:t>《中小企业声明函》</w:t>
      </w:r>
      <w:r>
        <w:rPr>
          <w:rFonts w:hint="eastAsia" w:hAnsi="宋体"/>
          <w:szCs w:val="21"/>
        </w:rPr>
        <w:t>，否则不得享受相关中小企业扶持政策</w:t>
      </w:r>
      <w:r>
        <w:rPr>
          <w:rFonts w:hAnsi="宋体"/>
          <w:szCs w:val="24"/>
        </w:rPr>
        <w:t>。投标人应对提交的中小企业声明函的真实性负责，提交的中小企业声明函不真实的，应承担相应的法律责任</w:t>
      </w:r>
      <w:r>
        <w:rPr>
          <w:rFonts w:hAnsi="宋体"/>
          <w:szCs w:val="21"/>
        </w:rPr>
        <w:t>。</w:t>
      </w:r>
    </w:p>
    <w:p w14:paraId="10E82A49">
      <w:pPr>
        <w:tabs>
          <w:tab w:val="left" w:pos="900"/>
        </w:tabs>
        <w:adjustRightInd w:val="0"/>
        <w:snapToGrid w:val="0"/>
        <w:spacing w:line="360" w:lineRule="auto"/>
        <w:ind w:firstLine="420" w:firstLineChars="200"/>
        <w:rPr>
          <w:rFonts w:hAnsi="宋体"/>
          <w:szCs w:val="24"/>
        </w:rPr>
      </w:pPr>
      <w:r>
        <w:rPr>
          <w:rFonts w:hint="eastAsia" w:hAnsi="宋体"/>
          <w:szCs w:val="24"/>
        </w:rPr>
        <w:t>本项目</w:t>
      </w:r>
      <w:bookmarkStart w:id="4" w:name="OLE_LINK23"/>
      <w:r>
        <w:rPr>
          <w:rFonts w:hint="eastAsia" w:hAnsi="宋体"/>
          <w:szCs w:val="24"/>
        </w:rPr>
        <w:t>采购标的对应的《中小企业划型标准规定》所属行业</w:t>
      </w:r>
      <w:bookmarkEnd w:id="4"/>
      <w:r>
        <w:rPr>
          <w:rFonts w:hint="eastAsia" w:hAnsi="宋体"/>
          <w:szCs w:val="24"/>
        </w:rPr>
        <w:t>为：</w:t>
      </w:r>
      <w:r>
        <w:rPr>
          <w:rFonts w:hint="eastAsia" w:hAnsi="宋体"/>
          <w:szCs w:val="24"/>
          <w:u w:val="single"/>
        </w:rPr>
        <w:t xml:space="preserve"> </w:t>
      </w:r>
      <w:r>
        <w:rPr>
          <w:rFonts w:hAnsi="宋体"/>
          <w:szCs w:val="24"/>
          <w:u w:val="single"/>
        </w:rPr>
        <w:t xml:space="preserve"> </w:t>
      </w:r>
      <w:r>
        <w:rPr>
          <w:rFonts w:hint="eastAsia" w:hAnsi="宋体"/>
          <w:szCs w:val="24"/>
          <w:u w:val="single"/>
        </w:rPr>
        <w:t>其他未列明行业</w:t>
      </w:r>
      <w:r>
        <w:rPr>
          <w:rFonts w:hAnsi="宋体"/>
          <w:szCs w:val="24"/>
          <w:u w:val="single"/>
        </w:rPr>
        <w:t xml:space="preserve">   </w:t>
      </w:r>
      <w:r>
        <w:rPr>
          <w:rFonts w:hint="eastAsia" w:hAnsi="宋体"/>
          <w:szCs w:val="24"/>
        </w:rPr>
        <w:t>。</w:t>
      </w:r>
    </w:p>
    <w:p w14:paraId="34515769">
      <w:pPr>
        <w:tabs>
          <w:tab w:val="left" w:pos="900"/>
        </w:tabs>
        <w:adjustRightInd w:val="0"/>
        <w:snapToGrid w:val="0"/>
        <w:spacing w:line="360" w:lineRule="auto"/>
        <w:ind w:firstLine="420" w:firstLineChars="200"/>
        <w:rPr>
          <w:rFonts w:hAnsi="宋体"/>
          <w:szCs w:val="24"/>
        </w:rPr>
      </w:pPr>
      <w:r>
        <w:rPr>
          <w:rFonts w:hAnsi="宋体"/>
          <w:szCs w:val="24"/>
        </w:rPr>
        <w:t xml:space="preserve">2. </w:t>
      </w:r>
      <w:r>
        <w:rPr>
          <w:rFonts w:hint="eastAsia" w:hAnsi="宋体"/>
          <w:szCs w:val="24"/>
        </w:rPr>
        <w:t>进口产品政策：本采购项目</w:t>
      </w:r>
      <w:r>
        <w:rPr>
          <w:rFonts w:hAnsi="宋体"/>
          <w:szCs w:val="24"/>
        </w:rPr>
        <w:t xml:space="preserve"> </w:t>
      </w:r>
      <w:r>
        <w:rPr>
          <w:rFonts w:hint="eastAsia" w:hAnsi="宋体"/>
          <w:szCs w:val="24"/>
        </w:rPr>
        <w:t>□允许</w:t>
      </w:r>
      <w:r>
        <w:rPr>
          <w:rFonts w:hAnsi="宋体"/>
          <w:szCs w:val="24"/>
        </w:rPr>
        <w:t xml:space="preserve"> </w:t>
      </w:r>
      <w:r>
        <w:rPr>
          <w:rFonts w:hint="eastAsia" w:hAnsi="宋体"/>
          <w:szCs w:val="24"/>
        </w:rPr>
        <w:t>☑不允许</w:t>
      </w:r>
      <w:r>
        <w:rPr>
          <w:rFonts w:hAnsi="宋体"/>
          <w:szCs w:val="24"/>
        </w:rPr>
        <w:t xml:space="preserve"> </w:t>
      </w:r>
      <w:r>
        <w:rPr>
          <w:rFonts w:hint="eastAsia" w:hAnsi="宋体"/>
          <w:szCs w:val="24"/>
        </w:rPr>
        <w:t>进口产品参加。（未进行勾选的，视为只接受本国产品参加）</w:t>
      </w:r>
    </w:p>
    <w:p w14:paraId="3A979E91">
      <w:pPr>
        <w:tabs>
          <w:tab w:val="left" w:pos="900"/>
        </w:tabs>
        <w:adjustRightInd w:val="0"/>
        <w:snapToGrid w:val="0"/>
        <w:spacing w:line="360" w:lineRule="auto"/>
        <w:ind w:firstLine="422" w:firstLineChars="200"/>
        <w:rPr>
          <w:rFonts w:hAnsi="宋体"/>
          <w:b/>
          <w:szCs w:val="21"/>
        </w:rPr>
      </w:pPr>
      <w:r>
        <w:rPr>
          <w:rFonts w:hint="eastAsia" w:hAnsi="宋体"/>
          <w:b/>
          <w:szCs w:val="21"/>
        </w:rPr>
        <w:t>二、</w:t>
      </w:r>
      <w:r>
        <w:rPr>
          <w:rFonts w:hAnsi="宋体"/>
          <w:b/>
          <w:szCs w:val="21"/>
        </w:rPr>
        <w:t>采购</w:t>
      </w:r>
      <w:r>
        <w:rPr>
          <w:rFonts w:hint="eastAsia" w:hAnsi="宋体"/>
          <w:b/>
          <w:szCs w:val="21"/>
        </w:rPr>
        <w:t>标的</w:t>
      </w:r>
      <w:r>
        <w:rPr>
          <w:rFonts w:hAnsi="宋体"/>
          <w:b/>
          <w:szCs w:val="21"/>
        </w:rPr>
        <w:t>需执行的国家相关标准、行业标准、地方标准或者其他标准、规范：</w:t>
      </w:r>
    </w:p>
    <w:p w14:paraId="65AAFC29">
      <w:pPr>
        <w:tabs>
          <w:tab w:val="left" w:pos="900"/>
        </w:tabs>
        <w:adjustRightInd w:val="0"/>
        <w:snapToGrid w:val="0"/>
        <w:spacing w:line="360" w:lineRule="auto"/>
        <w:ind w:firstLine="420" w:firstLineChars="200"/>
        <w:rPr>
          <w:szCs w:val="21"/>
        </w:rPr>
      </w:pPr>
      <w:r>
        <w:rPr>
          <w:rFonts w:hint="eastAsia"/>
          <w:szCs w:val="21"/>
        </w:rPr>
        <w:t>1.采购项目中所含的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0CCBB418">
      <w:pPr>
        <w:tabs>
          <w:tab w:val="left" w:pos="900"/>
        </w:tabs>
        <w:adjustRightInd w:val="0"/>
        <w:snapToGrid w:val="0"/>
        <w:spacing w:line="360" w:lineRule="auto"/>
        <w:ind w:firstLine="420" w:firstLineChars="200"/>
        <w:rPr>
          <w:rFonts w:hAnsi="宋体"/>
          <w:bCs/>
          <w:szCs w:val="21"/>
        </w:rPr>
      </w:pPr>
      <w:r>
        <w:rPr>
          <w:rFonts w:hint="eastAsia" w:hAnsi="宋体"/>
          <w:bCs/>
          <w:szCs w:val="21"/>
        </w:rPr>
        <w:t>本项目采购标的需执行的相关标准，包括但不限于：</w:t>
      </w:r>
    </w:p>
    <w:p w14:paraId="16B27610">
      <w:pPr>
        <w:tabs>
          <w:tab w:val="left" w:pos="900"/>
        </w:tabs>
        <w:adjustRightInd w:val="0"/>
        <w:snapToGrid w:val="0"/>
        <w:spacing w:line="360" w:lineRule="auto"/>
        <w:ind w:firstLine="420" w:firstLineChars="200"/>
        <w:rPr>
          <w:rFonts w:hAnsi="宋体"/>
          <w:bCs/>
          <w:szCs w:val="21"/>
        </w:rPr>
      </w:pPr>
      <w:r>
        <w:rPr>
          <w:rFonts w:hAnsi="宋体"/>
          <w:bCs/>
          <w:szCs w:val="21"/>
        </w:rPr>
        <w:t>(1)《建筑结构检测技术标准》GB/T</w:t>
      </w:r>
      <w:r>
        <w:rPr>
          <w:rFonts w:hint="eastAsia" w:hAnsi="宋体"/>
          <w:bCs/>
          <w:szCs w:val="21"/>
        </w:rPr>
        <w:t xml:space="preserve"> </w:t>
      </w:r>
      <w:r>
        <w:rPr>
          <w:rFonts w:hAnsi="宋体"/>
          <w:bCs/>
          <w:szCs w:val="21"/>
        </w:rPr>
        <w:t>50344-2019；</w:t>
      </w:r>
    </w:p>
    <w:p w14:paraId="509B108A">
      <w:pPr>
        <w:tabs>
          <w:tab w:val="left" w:pos="900"/>
        </w:tabs>
        <w:adjustRightInd w:val="0"/>
        <w:snapToGrid w:val="0"/>
        <w:spacing w:line="360" w:lineRule="auto"/>
        <w:ind w:firstLine="420" w:firstLineChars="200"/>
        <w:rPr>
          <w:rFonts w:hAnsi="宋体"/>
          <w:bCs/>
          <w:szCs w:val="21"/>
        </w:rPr>
      </w:pPr>
      <w:r>
        <w:rPr>
          <w:rFonts w:hAnsi="宋体"/>
          <w:bCs/>
          <w:szCs w:val="21"/>
        </w:rPr>
        <w:t>(2)《混凝土结构现场检测技术标准》GB/T</w:t>
      </w:r>
      <w:r>
        <w:rPr>
          <w:rFonts w:hint="eastAsia" w:hAnsi="宋体"/>
          <w:bCs/>
          <w:szCs w:val="21"/>
        </w:rPr>
        <w:t xml:space="preserve"> </w:t>
      </w:r>
      <w:r>
        <w:rPr>
          <w:rFonts w:hAnsi="宋体"/>
          <w:bCs/>
          <w:szCs w:val="21"/>
        </w:rPr>
        <w:t>50784-2013；</w:t>
      </w:r>
    </w:p>
    <w:p w14:paraId="5DCFEDE7">
      <w:pPr>
        <w:tabs>
          <w:tab w:val="left" w:pos="900"/>
        </w:tabs>
        <w:adjustRightInd w:val="0"/>
        <w:snapToGrid w:val="0"/>
        <w:spacing w:line="360" w:lineRule="auto"/>
        <w:ind w:firstLine="420" w:firstLineChars="200"/>
        <w:rPr>
          <w:rFonts w:hAnsi="宋体"/>
          <w:bCs/>
          <w:szCs w:val="21"/>
        </w:rPr>
      </w:pPr>
      <w:r>
        <w:rPr>
          <w:rFonts w:hAnsi="宋体"/>
          <w:bCs/>
          <w:szCs w:val="21"/>
        </w:rPr>
        <w:t>(3)《砌体工程现场检测技术标准》GB/T</w:t>
      </w:r>
      <w:r>
        <w:rPr>
          <w:rFonts w:hint="eastAsia" w:hAnsi="宋体"/>
          <w:bCs/>
          <w:szCs w:val="21"/>
        </w:rPr>
        <w:t xml:space="preserve"> </w:t>
      </w:r>
      <w:r>
        <w:rPr>
          <w:rFonts w:hAnsi="宋体"/>
          <w:bCs/>
          <w:szCs w:val="21"/>
        </w:rPr>
        <w:t>50315-2011；</w:t>
      </w:r>
    </w:p>
    <w:p w14:paraId="55F52167">
      <w:pPr>
        <w:tabs>
          <w:tab w:val="left" w:pos="900"/>
        </w:tabs>
        <w:adjustRightInd w:val="0"/>
        <w:snapToGrid w:val="0"/>
        <w:spacing w:line="360" w:lineRule="auto"/>
        <w:ind w:firstLine="420" w:firstLineChars="200"/>
        <w:rPr>
          <w:rFonts w:hAnsi="宋体"/>
          <w:bCs/>
          <w:szCs w:val="21"/>
        </w:rPr>
      </w:pPr>
      <w:r>
        <w:rPr>
          <w:rFonts w:hAnsi="宋体"/>
          <w:bCs/>
          <w:szCs w:val="21"/>
        </w:rPr>
        <w:t>(4)《钢结构现场检测技术标准》 GB/T 50621-2010；</w:t>
      </w:r>
    </w:p>
    <w:p w14:paraId="6625BC50">
      <w:pPr>
        <w:tabs>
          <w:tab w:val="left" w:pos="900"/>
        </w:tabs>
        <w:adjustRightInd w:val="0"/>
        <w:snapToGrid w:val="0"/>
        <w:spacing w:line="360" w:lineRule="auto"/>
        <w:ind w:firstLine="420" w:firstLineChars="200"/>
        <w:rPr>
          <w:rFonts w:hAnsi="宋体"/>
          <w:bCs/>
          <w:szCs w:val="21"/>
        </w:rPr>
      </w:pPr>
      <w:r>
        <w:rPr>
          <w:rFonts w:hAnsi="宋体"/>
          <w:bCs/>
          <w:szCs w:val="21"/>
        </w:rPr>
        <w:t>(5)《建筑抗震设计规范》GB</w:t>
      </w:r>
      <w:r>
        <w:rPr>
          <w:rFonts w:hint="eastAsia" w:hAnsi="宋体"/>
          <w:bCs/>
          <w:szCs w:val="21"/>
        </w:rPr>
        <w:t xml:space="preserve"> </w:t>
      </w:r>
      <w:r>
        <w:rPr>
          <w:rFonts w:hAnsi="宋体"/>
          <w:bCs/>
          <w:szCs w:val="21"/>
        </w:rPr>
        <w:t>50011-2010（2016版）</w:t>
      </w:r>
    </w:p>
    <w:p w14:paraId="3F9D1923">
      <w:pPr>
        <w:tabs>
          <w:tab w:val="left" w:pos="900"/>
        </w:tabs>
        <w:adjustRightInd w:val="0"/>
        <w:snapToGrid w:val="0"/>
        <w:spacing w:line="360" w:lineRule="auto"/>
        <w:ind w:firstLine="420" w:firstLineChars="200"/>
        <w:rPr>
          <w:rFonts w:hAnsi="宋体"/>
          <w:bCs/>
          <w:szCs w:val="21"/>
        </w:rPr>
      </w:pPr>
      <w:r>
        <w:rPr>
          <w:rFonts w:hAnsi="宋体"/>
          <w:bCs/>
          <w:szCs w:val="21"/>
        </w:rPr>
        <w:t>(6)《建筑地基基础设计规范》GB 50007-2011；</w:t>
      </w:r>
    </w:p>
    <w:p w14:paraId="40CE1651">
      <w:pPr>
        <w:tabs>
          <w:tab w:val="left" w:pos="900"/>
        </w:tabs>
        <w:adjustRightInd w:val="0"/>
        <w:snapToGrid w:val="0"/>
        <w:spacing w:line="360" w:lineRule="auto"/>
        <w:ind w:firstLine="420" w:firstLineChars="200"/>
        <w:rPr>
          <w:rFonts w:hAnsi="宋体"/>
          <w:bCs/>
          <w:szCs w:val="21"/>
        </w:rPr>
      </w:pPr>
      <w:r>
        <w:rPr>
          <w:rFonts w:hAnsi="宋体"/>
          <w:bCs/>
          <w:szCs w:val="21"/>
        </w:rPr>
        <w:t>(7)《建筑地基处理技术规范》JGJ 79-2012；</w:t>
      </w:r>
    </w:p>
    <w:p w14:paraId="6B5674A7">
      <w:pPr>
        <w:tabs>
          <w:tab w:val="left" w:pos="900"/>
        </w:tabs>
        <w:adjustRightInd w:val="0"/>
        <w:snapToGrid w:val="0"/>
        <w:spacing w:line="360" w:lineRule="auto"/>
        <w:ind w:firstLine="420" w:firstLineChars="200"/>
        <w:rPr>
          <w:rFonts w:hAnsi="宋体"/>
          <w:bCs/>
          <w:szCs w:val="21"/>
        </w:rPr>
      </w:pPr>
      <w:r>
        <w:rPr>
          <w:rFonts w:hAnsi="宋体"/>
          <w:bCs/>
          <w:szCs w:val="21"/>
        </w:rPr>
        <w:t>(8)《混凝土结构设计规范》GB 50010-2010（2015年版）</w:t>
      </w:r>
    </w:p>
    <w:p w14:paraId="6B836C27">
      <w:pPr>
        <w:tabs>
          <w:tab w:val="left" w:pos="900"/>
        </w:tabs>
        <w:adjustRightInd w:val="0"/>
        <w:snapToGrid w:val="0"/>
        <w:spacing w:line="360" w:lineRule="auto"/>
        <w:ind w:firstLine="420" w:firstLineChars="200"/>
        <w:rPr>
          <w:rFonts w:hAnsi="宋体"/>
          <w:bCs/>
          <w:szCs w:val="21"/>
        </w:rPr>
      </w:pPr>
      <w:r>
        <w:rPr>
          <w:rFonts w:hAnsi="宋体"/>
          <w:bCs/>
          <w:szCs w:val="21"/>
        </w:rPr>
        <w:t>(9)《砌体结构设计规范》GB 50003-2011；</w:t>
      </w:r>
    </w:p>
    <w:p w14:paraId="017ED20A">
      <w:pPr>
        <w:tabs>
          <w:tab w:val="left" w:pos="900"/>
        </w:tabs>
        <w:adjustRightInd w:val="0"/>
        <w:snapToGrid w:val="0"/>
        <w:spacing w:line="360" w:lineRule="auto"/>
        <w:ind w:firstLine="420" w:firstLineChars="200"/>
        <w:rPr>
          <w:rFonts w:hAnsi="宋体"/>
          <w:bCs/>
          <w:szCs w:val="21"/>
        </w:rPr>
      </w:pPr>
      <w:r>
        <w:rPr>
          <w:rFonts w:hAnsi="宋体"/>
          <w:bCs/>
          <w:szCs w:val="21"/>
        </w:rPr>
        <w:t>(10)《钢结构设计标准》GB 50017-2017。</w:t>
      </w:r>
    </w:p>
    <w:p w14:paraId="26500F42">
      <w:pPr>
        <w:tabs>
          <w:tab w:val="left" w:pos="900"/>
        </w:tabs>
        <w:adjustRightInd w:val="0"/>
        <w:snapToGrid w:val="0"/>
        <w:spacing w:line="360" w:lineRule="auto"/>
        <w:ind w:firstLine="420" w:firstLineChars="200"/>
        <w:rPr>
          <w:rFonts w:hAnsi="宋体"/>
          <w:bCs/>
          <w:szCs w:val="21"/>
        </w:rPr>
      </w:pPr>
      <w:r>
        <w:rPr>
          <w:rFonts w:hint="eastAsia" w:hAnsi="宋体"/>
          <w:bCs/>
          <w:szCs w:val="21"/>
        </w:rPr>
        <w:t>2.采购项目的特殊资格要求：</w:t>
      </w:r>
    </w:p>
    <w:p w14:paraId="7BC3BB3E">
      <w:pPr>
        <w:tabs>
          <w:tab w:val="left" w:pos="900"/>
        </w:tabs>
        <w:adjustRightInd w:val="0"/>
        <w:snapToGrid w:val="0"/>
        <w:spacing w:line="360" w:lineRule="auto"/>
        <w:ind w:firstLine="420" w:firstLineChars="200"/>
        <w:rPr>
          <w:rFonts w:hAnsi="宋体"/>
          <w:bCs/>
          <w:szCs w:val="21"/>
        </w:rPr>
      </w:pPr>
      <w:r>
        <w:rPr>
          <w:rFonts w:hint="eastAsia" w:hAnsi="宋体"/>
          <w:bCs/>
          <w:szCs w:val="21"/>
        </w:rPr>
        <w:t>供应商应具备陕西省住房城乡建设主管部门颁发的建设工程质量检测机构资质证书(资质类别为综合资质)、检验检测机构资质认定证书（CMA）、且证书均在有效期内。</w:t>
      </w:r>
    </w:p>
    <w:p w14:paraId="5A8FCC1C">
      <w:pPr>
        <w:tabs>
          <w:tab w:val="left" w:pos="900"/>
        </w:tabs>
        <w:adjustRightInd w:val="0"/>
        <w:snapToGrid w:val="0"/>
        <w:spacing w:line="360" w:lineRule="auto"/>
        <w:ind w:firstLine="422" w:firstLineChars="200"/>
        <w:rPr>
          <w:rFonts w:hAnsi="宋体"/>
          <w:b/>
          <w:szCs w:val="21"/>
        </w:rPr>
      </w:pPr>
      <w:r>
        <w:rPr>
          <w:rFonts w:hint="eastAsia" w:hAnsi="宋体"/>
          <w:b/>
          <w:szCs w:val="21"/>
        </w:rPr>
        <w:t>三、采购标的概况</w:t>
      </w:r>
    </w:p>
    <w:p w14:paraId="599624B6">
      <w:pPr>
        <w:adjustRightInd w:val="0"/>
        <w:snapToGrid w:val="0"/>
        <w:spacing w:line="360" w:lineRule="auto"/>
        <w:ind w:firstLine="420" w:firstLineChars="200"/>
        <w:rPr>
          <w:rFonts w:hAnsi="宋体"/>
          <w:szCs w:val="21"/>
        </w:rPr>
      </w:pPr>
      <w:r>
        <w:rPr>
          <w:rFonts w:hint="eastAsia" w:ascii="宋体" w:hAnsi="宋体"/>
          <w:szCs w:val="21"/>
        </w:rPr>
        <w:t>（一）采购项目名称：</w:t>
      </w:r>
      <w:r>
        <w:rPr>
          <w:rFonts w:hint="eastAsia" w:ascii="宋体" w:hAnsi="宋体"/>
          <w:szCs w:val="21"/>
          <w:u w:val="single"/>
        </w:rPr>
        <w:t xml:space="preserve"> 高校周边经营性房屋安全评估      </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p>
    <w:p w14:paraId="700B5273">
      <w:pPr>
        <w:adjustRightInd w:val="0"/>
        <w:snapToGrid w:val="0"/>
        <w:spacing w:line="360" w:lineRule="auto"/>
        <w:ind w:firstLine="420" w:firstLineChars="200"/>
        <w:rPr>
          <w:rFonts w:hAnsi="宋体"/>
          <w:szCs w:val="21"/>
          <w:u w:val="single"/>
        </w:rPr>
      </w:pPr>
      <w:r>
        <w:rPr>
          <w:rFonts w:hint="eastAsia" w:hAnsi="宋体"/>
          <w:szCs w:val="21"/>
        </w:rPr>
        <w:t>（二）采购数量及计量单位：</w:t>
      </w:r>
      <w:r>
        <w:rPr>
          <w:rFonts w:ascii="宋体" w:hAnsi="宋体"/>
          <w:szCs w:val="21"/>
          <w:u w:val="single"/>
        </w:rPr>
        <w:t xml:space="preserve">  </w:t>
      </w:r>
      <w:r>
        <w:rPr>
          <w:rFonts w:hint="eastAsia" w:ascii="宋体" w:hAnsi="宋体"/>
          <w:szCs w:val="21"/>
          <w:u w:val="single"/>
        </w:rPr>
        <w:t xml:space="preserve">1项        </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p>
    <w:p w14:paraId="7D66FB09">
      <w:pPr>
        <w:adjustRightInd w:val="0"/>
        <w:snapToGrid w:val="0"/>
        <w:spacing w:line="360" w:lineRule="auto"/>
        <w:ind w:firstLine="420" w:firstLineChars="200"/>
        <w:rPr>
          <w:rFonts w:hAnsi="宋体"/>
          <w:szCs w:val="21"/>
        </w:rPr>
      </w:pPr>
      <w:r>
        <w:rPr>
          <w:rFonts w:hint="eastAsia" w:hAnsi="宋体"/>
          <w:szCs w:val="21"/>
        </w:rPr>
        <w:t>（三）最高限价：人民币</w:t>
      </w:r>
      <w:r>
        <w:rPr>
          <w:rFonts w:hint="eastAsia" w:hAnsi="宋体"/>
          <w:szCs w:val="21"/>
          <w:u w:val="single"/>
        </w:rPr>
        <w:t>350000.00</w:t>
      </w:r>
      <w:r>
        <w:rPr>
          <w:rFonts w:hAnsi="宋体"/>
          <w:szCs w:val="21"/>
          <w:u w:val="single"/>
        </w:rPr>
        <w:t xml:space="preserve">   </w:t>
      </w:r>
      <w:r>
        <w:rPr>
          <w:rFonts w:hint="eastAsia" w:hAnsi="宋体"/>
          <w:szCs w:val="21"/>
        </w:rPr>
        <w:t>元（大写：</w:t>
      </w:r>
      <w:r>
        <w:rPr>
          <w:rFonts w:hAnsi="宋体"/>
          <w:szCs w:val="21"/>
          <w:u w:val="single"/>
        </w:rPr>
        <w:t xml:space="preserve"> </w:t>
      </w:r>
      <w:r>
        <w:rPr>
          <w:rFonts w:hint="eastAsia" w:hAnsi="宋体"/>
          <w:szCs w:val="21"/>
          <w:u w:val="single"/>
        </w:rPr>
        <w:t xml:space="preserve"> 叁拾伍万元整</w:t>
      </w:r>
      <w:r>
        <w:rPr>
          <w:rFonts w:hAnsi="宋体"/>
          <w:szCs w:val="21"/>
          <w:u w:val="single"/>
        </w:rPr>
        <w:t xml:space="preserve"> </w:t>
      </w:r>
      <w:r>
        <w:rPr>
          <w:rFonts w:hint="eastAsia" w:hAnsi="宋体"/>
          <w:szCs w:val="21"/>
          <w:u w:val="single"/>
        </w:rPr>
        <w:t xml:space="preserve"> </w:t>
      </w:r>
      <w:r>
        <w:rPr>
          <w:rFonts w:hAnsi="宋体"/>
          <w:szCs w:val="21"/>
          <w:u w:val="single"/>
        </w:rPr>
        <w:t xml:space="preserve"> </w:t>
      </w:r>
      <w:r>
        <w:rPr>
          <w:rFonts w:hint="eastAsia" w:hAnsi="宋体"/>
          <w:szCs w:val="21"/>
        </w:rPr>
        <w:t>）</w:t>
      </w:r>
    </w:p>
    <w:p w14:paraId="72B992CF">
      <w:pPr>
        <w:adjustRightInd w:val="0"/>
        <w:snapToGrid w:val="0"/>
        <w:spacing w:line="360" w:lineRule="auto"/>
        <w:ind w:firstLine="420" w:firstLineChars="200"/>
        <w:rPr>
          <w:szCs w:val="21"/>
        </w:rPr>
      </w:pPr>
      <w:r>
        <w:rPr>
          <w:rFonts w:hint="eastAsia" w:hAnsi="宋体"/>
          <w:szCs w:val="21"/>
        </w:rPr>
        <w:t>（四）</w:t>
      </w:r>
      <w:r>
        <w:rPr>
          <w:rFonts w:hAnsi="宋体"/>
          <w:szCs w:val="21"/>
        </w:rPr>
        <w:t>交付时间：</w:t>
      </w:r>
      <w:r>
        <w:rPr>
          <w:rFonts w:hAnsi="宋体"/>
        </w:rPr>
        <w:t>合同签订后</w:t>
      </w:r>
      <w:r>
        <w:rPr>
          <w:rFonts w:hAnsi="宋体"/>
          <w:u w:val="single"/>
        </w:rPr>
        <w:t xml:space="preserve"> </w:t>
      </w:r>
      <w:r>
        <w:rPr>
          <w:rFonts w:hint="eastAsia" w:hAnsi="宋体"/>
          <w:u w:val="single"/>
          <w:lang w:val="en-US" w:eastAsia="zh-CN"/>
        </w:rPr>
        <w:t>30</w:t>
      </w:r>
      <w:r>
        <w:rPr>
          <w:rFonts w:hAnsi="宋体"/>
          <w:u w:val="single"/>
        </w:rPr>
        <w:t xml:space="preserve"> </w:t>
      </w:r>
      <w:r>
        <w:rPr>
          <w:rFonts w:hAnsi="宋体"/>
          <w:szCs w:val="21"/>
          <w:u w:val="single"/>
        </w:rPr>
        <w:t xml:space="preserve"> </w:t>
      </w:r>
      <w:r>
        <w:rPr>
          <w:rFonts w:hint="eastAsia" w:hAnsi="宋体"/>
        </w:rPr>
        <w:t>天内</w:t>
      </w:r>
    </w:p>
    <w:p w14:paraId="544209DB">
      <w:pPr>
        <w:tabs>
          <w:tab w:val="left" w:pos="420"/>
          <w:tab w:val="left" w:pos="900"/>
        </w:tabs>
        <w:adjustRightInd w:val="0"/>
        <w:snapToGrid w:val="0"/>
        <w:spacing w:line="360" w:lineRule="auto"/>
        <w:ind w:firstLine="420" w:firstLineChars="200"/>
        <w:rPr>
          <w:rFonts w:ascii="宋体" w:hAnsi="宋体"/>
          <w:szCs w:val="21"/>
        </w:rPr>
      </w:pPr>
      <w:r>
        <w:rPr>
          <w:rFonts w:hint="eastAsia" w:hAnsi="宋体"/>
          <w:szCs w:val="21"/>
        </w:rPr>
        <w:t>（五）</w:t>
      </w:r>
      <w:r>
        <w:rPr>
          <w:rFonts w:hAnsi="宋体"/>
          <w:szCs w:val="21"/>
        </w:rPr>
        <w:t>交付地点：</w:t>
      </w:r>
      <w:r>
        <w:rPr>
          <w:rFonts w:hAnsi="宋体"/>
          <w:szCs w:val="21"/>
          <w:u w:val="single"/>
        </w:rPr>
        <w:t xml:space="preserve"> </w:t>
      </w:r>
      <w:r>
        <w:rPr>
          <w:rFonts w:hint="eastAsia" w:hAnsi="宋体"/>
          <w:szCs w:val="21"/>
          <w:u w:val="single"/>
        </w:rPr>
        <w:t>兴庆校区、雁塔校区</w:t>
      </w:r>
      <w:r>
        <w:rPr>
          <w:rFonts w:hAnsi="宋体"/>
          <w:szCs w:val="21"/>
          <w:u w:val="single"/>
        </w:rPr>
        <w:t xml:space="preserve">   </w:t>
      </w:r>
      <w:r>
        <w:rPr>
          <w:rFonts w:hint="eastAsia" w:hAnsi="宋体"/>
          <w:szCs w:val="21"/>
          <w:u w:val="single"/>
        </w:rPr>
        <w:t xml:space="preserve"> </w:t>
      </w:r>
      <w:r>
        <w:rPr>
          <w:rFonts w:hAnsi="宋体"/>
          <w:szCs w:val="21"/>
          <w:u w:val="single"/>
        </w:rPr>
        <w:t xml:space="preserve">                          </w:t>
      </w:r>
    </w:p>
    <w:p w14:paraId="179C3B80">
      <w:pPr>
        <w:tabs>
          <w:tab w:val="left" w:pos="900"/>
        </w:tabs>
        <w:adjustRightInd w:val="0"/>
        <w:snapToGrid w:val="0"/>
        <w:spacing w:line="360" w:lineRule="auto"/>
        <w:ind w:firstLine="420" w:firstLineChars="200"/>
        <w:rPr>
          <w:rFonts w:hAnsi="宋体"/>
          <w:szCs w:val="21"/>
        </w:rPr>
      </w:pPr>
      <w:r>
        <w:rPr>
          <w:rFonts w:hint="eastAsia" w:hAnsi="宋体"/>
          <w:szCs w:val="21"/>
        </w:rPr>
        <w:t>（六）付款进度安排：</w:t>
      </w:r>
      <w:r>
        <w:rPr>
          <w:rFonts w:hint="eastAsia" w:cs="宋体" w:asciiTheme="minorEastAsia" w:hAnsiTheme="minorEastAsia"/>
          <w:b/>
          <w:color w:val="000000"/>
          <w:kern w:val="0"/>
          <w:szCs w:val="21"/>
        </w:rPr>
        <w:t>☑</w:t>
      </w:r>
      <w:r>
        <w:rPr>
          <w:rFonts w:hint="eastAsia" w:hAnsi="宋体"/>
          <w:szCs w:val="21"/>
        </w:rPr>
        <w:t xml:space="preserve"> 按</w:t>
      </w:r>
      <w:r>
        <w:rPr>
          <w:rFonts w:hAnsi="宋体"/>
          <w:szCs w:val="21"/>
        </w:rPr>
        <w:t>采购文件</w:t>
      </w:r>
      <w:r>
        <w:rPr>
          <w:rFonts w:hint="eastAsia" w:hAnsi="宋体"/>
          <w:szCs w:val="21"/>
        </w:rPr>
        <w:t>要求。</w:t>
      </w:r>
    </w:p>
    <w:p w14:paraId="5FA361AF">
      <w:pPr>
        <w:tabs>
          <w:tab w:val="left" w:pos="900"/>
        </w:tabs>
        <w:adjustRightInd w:val="0"/>
        <w:snapToGrid w:val="0"/>
        <w:spacing w:line="360" w:lineRule="auto"/>
        <w:ind w:firstLine="402" w:firstLineChars="200"/>
        <w:rPr>
          <w:rFonts w:hAnsi="宋体"/>
          <w:szCs w:val="21"/>
        </w:rPr>
      </w:pPr>
      <w:r>
        <w:rPr>
          <w:rFonts w:cs="宋体" w:asciiTheme="minorEastAsia" w:hAnsiTheme="minorEastAsia"/>
          <w:b/>
          <w:color w:val="000000"/>
          <w:kern w:val="0"/>
          <w:sz w:val="20"/>
          <w:szCs w:val="21"/>
        </w:rPr>
        <w:tab/>
      </w:r>
      <w:r>
        <w:rPr>
          <w:rFonts w:cs="宋体" w:asciiTheme="minorEastAsia" w:hAnsiTheme="minorEastAsia"/>
          <w:b/>
          <w:color w:val="000000"/>
          <w:kern w:val="0"/>
          <w:sz w:val="20"/>
          <w:szCs w:val="21"/>
        </w:rPr>
        <w:tab/>
      </w:r>
      <w:r>
        <w:rPr>
          <w:rFonts w:cs="宋体" w:asciiTheme="minorEastAsia" w:hAnsiTheme="minorEastAsia"/>
          <w:b/>
          <w:color w:val="000000"/>
          <w:kern w:val="0"/>
          <w:sz w:val="20"/>
          <w:szCs w:val="21"/>
        </w:rPr>
        <w:tab/>
      </w:r>
      <w:r>
        <w:rPr>
          <w:rFonts w:cs="宋体" w:asciiTheme="minorEastAsia" w:hAnsiTheme="minorEastAsia"/>
          <w:b/>
          <w:color w:val="000000"/>
          <w:kern w:val="0"/>
          <w:sz w:val="20"/>
          <w:szCs w:val="21"/>
        </w:rPr>
        <w:tab/>
      </w:r>
      <w:r>
        <w:rPr>
          <w:rFonts w:cs="宋体" w:asciiTheme="minorEastAsia" w:hAnsiTheme="minorEastAsia"/>
          <w:b/>
          <w:color w:val="000000"/>
          <w:kern w:val="0"/>
          <w:sz w:val="20"/>
          <w:szCs w:val="21"/>
        </w:rPr>
        <w:tab/>
      </w:r>
      <w:r>
        <w:rPr>
          <w:rFonts w:hint="eastAsia" w:cs="宋体" w:asciiTheme="minorEastAsia" w:hAnsiTheme="minorEastAsia"/>
          <w:b/>
          <w:color w:val="000000"/>
          <w:kern w:val="0"/>
          <w:sz w:val="20"/>
          <w:szCs w:val="21"/>
        </w:rPr>
        <w:t>□</w:t>
      </w:r>
      <w:r>
        <w:rPr>
          <w:rFonts w:hAnsi="宋体"/>
          <w:szCs w:val="21"/>
        </w:rPr>
        <w:t>其他要求</w:t>
      </w:r>
      <w:r>
        <w:rPr>
          <w:rFonts w:hint="eastAsia" w:hAnsi="宋体"/>
          <w:szCs w:val="21"/>
        </w:rPr>
        <w:t>：</w:t>
      </w:r>
      <w:r>
        <w:rPr>
          <w:rFonts w:hAnsi="宋体"/>
          <w:szCs w:val="21"/>
          <w:u w:val="single"/>
        </w:rPr>
        <w:t xml:space="preserve">                                  </w:t>
      </w:r>
      <w:r>
        <w:rPr>
          <w:rFonts w:hAnsi="宋体"/>
          <w:szCs w:val="21"/>
        </w:rPr>
        <w:t xml:space="preserve"> </w:t>
      </w:r>
      <w:r>
        <w:rPr>
          <w:rFonts w:hint="eastAsia" w:hAnsi="宋体"/>
          <w:szCs w:val="21"/>
        </w:rPr>
        <w:t>。</w:t>
      </w:r>
    </w:p>
    <w:p w14:paraId="3C999C16">
      <w:pPr>
        <w:numPr>
          <w:ilvl w:val="0"/>
          <w:numId w:val="1"/>
        </w:numPr>
        <w:tabs>
          <w:tab w:val="left" w:pos="900"/>
        </w:tabs>
        <w:adjustRightInd w:val="0"/>
        <w:snapToGrid w:val="0"/>
        <w:spacing w:line="360" w:lineRule="auto"/>
        <w:ind w:firstLine="422" w:firstLineChars="200"/>
        <w:rPr>
          <w:rFonts w:hAnsi="宋体"/>
          <w:b/>
          <w:szCs w:val="21"/>
        </w:rPr>
      </w:pPr>
      <w:r>
        <w:rPr>
          <w:rFonts w:hint="eastAsia" w:hAnsi="宋体"/>
          <w:b/>
          <w:szCs w:val="21"/>
        </w:rPr>
        <w:t>采购标的需满足的质量、安全、技术规格、物理特性等要求：</w:t>
      </w:r>
    </w:p>
    <w:p w14:paraId="41E27F95">
      <w:pPr>
        <w:pStyle w:val="4"/>
        <w:numPr>
          <w:ilvl w:val="0"/>
          <w:numId w:val="2"/>
        </w:numPr>
        <w:adjustRightInd w:val="0"/>
        <w:snapToGrid w:val="0"/>
        <w:spacing w:line="360" w:lineRule="auto"/>
        <w:ind w:firstLine="420" w:firstLineChars="200"/>
        <w:rPr>
          <w:rFonts w:hint="eastAsia" w:ascii="宋体" w:hAnsi="宋体"/>
          <w:szCs w:val="21"/>
          <w:u w:val="single"/>
        </w:rPr>
      </w:pPr>
      <w:r>
        <w:rPr>
          <w:rFonts w:hint="eastAsia" w:ascii="宋体" w:hAnsi="宋体"/>
          <w:szCs w:val="21"/>
        </w:rPr>
        <w:t>服务内容：</w:t>
      </w:r>
      <w:r>
        <w:rPr>
          <w:rFonts w:hint="eastAsia" w:ascii="宋体" w:hAnsi="宋体"/>
          <w:szCs w:val="21"/>
          <w:u w:val="single"/>
        </w:rPr>
        <w:t>房屋安全评估，包括但不限于现场勘察及调查、混凝土结构检测、砌体结构检测、钢结构检测、地基基础检测、安全性鉴定，结构验算，处理意见及结论等，满足国家及地方相关规范和标准要求，最终出具建筑安全评估报告。</w:t>
      </w:r>
    </w:p>
    <w:p w14:paraId="513A2C43">
      <w:pPr>
        <w:pStyle w:val="4"/>
        <w:adjustRightInd w:val="0"/>
        <w:snapToGrid w:val="0"/>
        <w:spacing w:line="360" w:lineRule="auto"/>
        <w:ind w:firstLine="420" w:firstLineChars="200"/>
        <w:rPr>
          <w:rFonts w:ascii="宋体" w:hAnsi="宋体"/>
          <w:szCs w:val="21"/>
        </w:rPr>
      </w:pPr>
      <w:r>
        <w:rPr>
          <w:rFonts w:hint="eastAsia" w:ascii="宋体" w:hAnsi="宋体"/>
          <w:szCs w:val="21"/>
        </w:rPr>
        <w:t>（二）服务范围：</w:t>
      </w:r>
      <w:r>
        <w:rPr>
          <w:rFonts w:hint="eastAsia" w:ascii="宋体" w:hAnsi="宋体"/>
          <w:szCs w:val="21"/>
          <w:u w:val="single"/>
          <w:lang w:val="en-US" w:eastAsia="zh-CN"/>
        </w:rPr>
        <w:t>兴庆、雁塔校区，</w:t>
      </w:r>
      <w:r>
        <w:rPr>
          <w:rFonts w:hint="eastAsia" w:ascii="宋体" w:hAnsi="宋体"/>
          <w:szCs w:val="21"/>
          <w:u w:val="single"/>
        </w:rPr>
        <w:t>包括但不限于商铺、超市等10栋建筑物，其中建筑面积500m</w:t>
      </w:r>
      <w:r>
        <w:rPr>
          <w:rFonts w:hint="eastAsia" w:ascii="宋体" w:hAnsi="宋体"/>
          <w:szCs w:val="21"/>
          <w:u w:val="single"/>
          <w:vertAlign w:val="superscript"/>
        </w:rPr>
        <w:t>2</w:t>
      </w:r>
      <w:bookmarkStart w:id="8" w:name="_GoBack"/>
      <w:bookmarkEnd w:id="8"/>
      <w:r>
        <w:rPr>
          <w:rFonts w:hint="eastAsia" w:ascii="宋体" w:hAnsi="宋体"/>
          <w:szCs w:val="21"/>
          <w:u w:val="single"/>
        </w:rPr>
        <w:t>以下的4栋，建筑面积500~3000m</w:t>
      </w:r>
      <w:r>
        <w:rPr>
          <w:rFonts w:hint="eastAsia" w:ascii="宋体" w:hAnsi="宋体"/>
          <w:szCs w:val="21"/>
          <w:u w:val="single"/>
          <w:vertAlign w:val="superscript"/>
        </w:rPr>
        <w:t>2</w:t>
      </w:r>
      <w:r>
        <w:rPr>
          <w:rFonts w:hint="eastAsia" w:ascii="宋体" w:hAnsi="宋体"/>
          <w:szCs w:val="21"/>
          <w:u w:val="single"/>
        </w:rPr>
        <w:t>的2栋，建筑面积大于3000m</w:t>
      </w:r>
      <w:r>
        <w:rPr>
          <w:rFonts w:hint="eastAsia" w:ascii="宋体" w:hAnsi="宋体"/>
          <w:szCs w:val="21"/>
          <w:u w:val="single"/>
          <w:vertAlign w:val="superscript"/>
        </w:rPr>
        <w:t>2</w:t>
      </w:r>
      <w:r>
        <w:rPr>
          <w:rFonts w:hint="eastAsia" w:ascii="宋体" w:hAnsi="宋体"/>
          <w:szCs w:val="21"/>
          <w:u w:val="single"/>
        </w:rPr>
        <w:t>的3栋，总建筑面积约17170m</w:t>
      </w:r>
      <w:r>
        <w:rPr>
          <w:rFonts w:hint="eastAsia" w:ascii="宋体" w:hAnsi="宋体"/>
          <w:szCs w:val="21"/>
          <w:u w:val="single"/>
          <w:vertAlign w:val="superscript"/>
        </w:rPr>
        <w:t>2</w:t>
      </w:r>
      <w:r>
        <w:rPr>
          <w:rFonts w:hint="eastAsia" w:ascii="宋体" w:hAnsi="宋体"/>
          <w:szCs w:val="21"/>
          <w:u w:val="single"/>
        </w:rPr>
        <w:t>。</w:t>
      </w:r>
    </w:p>
    <w:p w14:paraId="101686FA">
      <w:pPr>
        <w:pStyle w:val="4"/>
        <w:adjustRightInd w:val="0"/>
        <w:snapToGrid w:val="0"/>
        <w:spacing w:line="360" w:lineRule="auto"/>
        <w:ind w:firstLine="420" w:firstLineChars="200"/>
        <w:rPr>
          <w:rFonts w:ascii="宋体" w:hAnsi="宋体"/>
          <w:szCs w:val="21"/>
        </w:rPr>
      </w:pPr>
      <w:r>
        <w:rPr>
          <w:rFonts w:hint="eastAsia" w:ascii="宋体" w:hAnsi="宋体"/>
          <w:szCs w:val="21"/>
        </w:rPr>
        <w:t>（三）服务期限：</w:t>
      </w:r>
      <w:r>
        <w:rPr>
          <w:rFonts w:hint="eastAsia" w:ascii="宋体" w:hAnsi="宋体"/>
          <w:szCs w:val="21"/>
          <w:u w:val="single"/>
        </w:rPr>
        <w:t>合同签订后30日历天内完成全部现场检测、评估并出具建筑安全评估报告。</w:t>
      </w:r>
    </w:p>
    <w:p w14:paraId="183AD2D7">
      <w:pPr>
        <w:pStyle w:val="4"/>
        <w:adjustRightInd w:val="0"/>
        <w:snapToGrid w:val="0"/>
        <w:spacing w:line="360" w:lineRule="auto"/>
        <w:ind w:firstLine="420" w:firstLineChars="200"/>
        <w:rPr>
          <w:rFonts w:ascii="宋体" w:hAnsi="宋体"/>
          <w:szCs w:val="21"/>
        </w:rPr>
      </w:pPr>
      <w:r>
        <w:rPr>
          <w:rFonts w:hint="eastAsia" w:ascii="宋体" w:hAnsi="宋体"/>
          <w:szCs w:val="21"/>
        </w:rPr>
        <w:t>（四）质量标准：</w:t>
      </w:r>
      <w:r>
        <w:rPr>
          <w:rFonts w:hint="eastAsia" w:ascii="宋体" w:hAnsi="宋体"/>
          <w:szCs w:val="21"/>
          <w:u w:val="single"/>
        </w:rPr>
        <w:t>符合国家及地方相关规范和标准要求，最终报告需满足甲方作为资产管理、维修维护、隐患整改的科学合法依据。</w:t>
      </w:r>
    </w:p>
    <w:p w14:paraId="0E502799">
      <w:pPr>
        <w:tabs>
          <w:tab w:val="left" w:pos="900"/>
        </w:tabs>
        <w:adjustRightInd w:val="0"/>
        <w:snapToGrid w:val="0"/>
        <w:spacing w:line="360" w:lineRule="auto"/>
        <w:ind w:firstLine="422" w:firstLineChars="200"/>
        <w:rPr>
          <w:rFonts w:hAnsi="宋体"/>
          <w:b/>
          <w:szCs w:val="21"/>
        </w:rPr>
      </w:pPr>
      <w:r>
        <w:rPr>
          <w:rFonts w:hint="eastAsia" w:hAnsi="宋体"/>
          <w:b/>
          <w:szCs w:val="21"/>
        </w:rPr>
        <w:t>五、采购标的需满足的服务标准、期限、效率等要求</w:t>
      </w:r>
    </w:p>
    <w:p w14:paraId="1D8DFDC5">
      <w:pPr>
        <w:tabs>
          <w:tab w:val="left" w:pos="420"/>
          <w:tab w:val="left" w:pos="900"/>
        </w:tabs>
        <w:adjustRightInd w:val="0"/>
        <w:snapToGrid w:val="0"/>
        <w:spacing w:line="360" w:lineRule="auto"/>
        <w:ind w:firstLine="420" w:firstLineChars="200"/>
        <w:rPr>
          <w:rFonts w:ascii="宋体" w:hAnsi="宋体"/>
          <w:szCs w:val="21"/>
        </w:rPr>
      </w:pPr>
      <w:r>
        <w:rPr>
          <w:rFonts w:hint="eastAsia" w:ascii="宋体" w:hAnsi="宋体"/>
          <w:szCs w:val="21"/>
          <w:highlight w:val="none"/>
        </w:rPr>
        <w:t>（一）服务期： 不少于</w:t>
      </w:r>
      <w:r>
        <w:rPr>
          <w:rFonts w:ascii="宋体" w:hAnsi="宋体"/>
          <w:szCs w:val="21"/>
          <w:highlight w:val="none"/>
          <w:u w:val="single"/>
        </w:rPr>
        <w:t xml:space="preserve"> </w:t>
      </w:r>
      <w:r>
        <w:rPr>
          <w:rFonts w:hint="eastAsia" w:ascii="宋体" w:hAnsi="宋体"/>
          <w:szCs w:val="21"/>
          <w:highlight w:val="none"/>
          <w:u w:val="single"/>
        </w:rPr>
        <w:t xml:space="preserve"> </w:t>
      </w:r>
      <w:r>
        <w:rPr>
          <w:rFonts w:ascii="宋体" w:hAnsi="宋体"/>
          <w:szCs w:val="21"/>
          <w:highlight w:val="none"/>
          <w:u w:val="single"/>
        </w:rPr>
        <w:t>3</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年，</w:t>
      </w:r>
      <w:r>
        <w:rPr>
          <w:rFonts w:hint="eastAsia" w:ascii="宋体" w:hAnsi="宋体" w:cs="宋体"/>
          <w:highlight w:val="none"/>
        </w:rPr>
        <w:t>服务</w:t>
      </w:r>
      <w:r>
        <w:rPr>
          <w:rFonts w:ascii="宋体" w:hAnsi="宋体" w:cs="宋体"/>
          <w:highlight w:val="none"/>
        </w:rPr>
        <w:t>期内免人工服务费。</w:t>
      </w:r>
      <w:r>
        <w:rPr>
          <w:rFonts w:hint="eastAsia" w:ascii="宋体" w:hAnsi="宋体"/>
          <w:szCs w:val="21"/>
          <w:highlight w:val="none"/>
        </w:rPr>
        <w:t>服务期满后，仍需提供专业咨询服务，投标人在投标文件中需注明服务单项报价。</w:t>
      </w:r>
    </w:p>
    <w:p w14:paraId="446C43F0">
      <w:pPr>
        <w:tabs>
          <w:tab w:val="left" w:pos="420"/>
          <w:tab w:val="left" w:pos="900"/>
        </w:tabs>
        <w:adjustRightInd w:val="0"/>
        <w:snapToGrid w:val="0"/>
        <w:spacing w:line="360" w:lineRule="auto"/>
        <w:ind w:firstLine="420" w:firstLineChars="200"/>
        <w:rPr>
          <w:rFonts w:ascii="宋体" w:hAnsi="宋体"/>
          <w:szCs w:val="21"/>
        </w:rPr>
      </w:pPr>
      <w:r>
        <w:rPr>
          <w:rFonts w:hint="eastAsia" w:ascii="宋体" w:hAnsi="宋体"/>
          <w:szCs w:val="21"/>
        </w:rPr>
        <w:t>（二）服务响应时间：接到咨询电话后</w:t>
      </w:r>
      <w:r>
        <w:rPr>
          <w:rFonts w:ascii="宋体" w:hAnsi="宋体"/>
          <w:szCs w:val="21"/>
        </w:rPr>
        <w:t>2</w:t>
      </w:r>
      <w:r>
        <w:rPr>
          <w:rFonts w:hint="eastAsia" w:ascii="宋体" w:hAnsi="宋体"/>
          <w:szCs w:val="21"/>
        </w:rPr>
        <w:t>小时内给予明确答复，如有需要</w:t>
      </w:r>
      <w:r>
        <w:rPr>
          <w:rFonts w:ascii="宋体" w:hAnsi="宋体"/>
          <w:szCs w:val="21"/>
        </w:rPr>
        <w:t>4</w:t>
      </w:r>
      <w:r>
        <w:rPr>
          <w:rFonts w:hint="eastAsia" w:ascii="宋体" w:hAnsi="宋体"/>
          <w:szCs w:val="21"/>
        </w:rPr>
        <w:t>小时内到达现场。人员到现场后若问题特殊无法现场</w:t>
      </w:r>
      <w:r>
        <w:rPr>
          <w:rFonts w:hint="eastAsia" w:ascii="宋体" w:hAnsi="宋体"/>
          <w:szCs w:val="21"/>
          <w:lang w:val="en-US" w:eastAsia="zh-CN"/>
        </w:rPr>
        <w:t>回</w:t>
      </w:r>
      <w:r>
        <w:rPr>
          <w:rFonts w:hint="eastAsia" w:ascii="宋体" w:hAnsi="宋体"/>
          <w:szCs w:val="21"/>
        </w:rPr>
        <w:t>复的，中标人需在24小时内给出合理解决方案。</w:t>
      </w:r>
    </w:p>
    <w:p w14:paraId="250BAB25">
      <w:pPr>
        <w:tabs>
          <w:tab w:val="left" w:pos="420"/>
          <w:tab w:val="left" w:pos="900"/>
        </w:tabs>
        <w:adjustRightInd w:val="0"/>
        <w:snapToGrid w:val="0"/>
        <w:spacing w:line="360" w:lineRule="auto"/>
        <w:ind w:firstLine="422" w:firstLineChars="200"/>
        <w:rPr>
          <w:rFonts w:ascii="宋体" w:hAnsi="宋体"/>
          <w:b/>
          <w:szCs w:val="21"/>
        </w:rPr>
      </w:pPr>
      <w:r>
        <w:rPr>
          <w:rFonts w:hint="eastAsia" w:ascii="宋体" w:hAnsi="宋体"/>
          <w:b/>
          <w:szCs w:val="21"/>
        </w:rPr>
        <w:t>六、</w:t>
      </w:r>
      <w:r>
        <w:rPr>
          <w:rFonts w:ascii="宋体" w:hAnsi="宋体"/>
          <w:b/>
          <w:szCs w:val="21"/>
        </w:rPr>
        <w:t>采购标的的</w:t>
      </w:r>
      <w:r>
        <w:rPr>
          <w:rFonts w:hint="eastAsia" w:ascii="宋体" w:hAnsi="宋体"/>
          <w:b/>
          <w:szCs w:val="21"/>
        </w:rPr>
        <w:t>履约验收标准</w:t>
      </w:r>
    </w:p>
    <w:bookmarkEnd w:id="1"/>
    <w:bookmarkEnd w:id="2"/>
    <w:bookmarkEnd w:id="3"/>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5"/>
        <w:gridCol w:w="3694"/>
        <w:gridCol w:w="4601"/>
      </w:tblGrid>
      <w:tr w14:paraId="7ECB7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9060" w:type="dxa"/>
            <w:gridSpan w:val="3"/>
            <w:vAlign w:val="center"/>
          </w:tcPr>
          <w:p w14:paraId="7541F7C7">
            <w:pPr>
              <w:widowControl/>
              <w:adjustRightInd w:val="0"/>
              <w:snapToGrid w:val="0"/>
              <w:jc w:val="left"/>
              <w:textAlignment w:val="baseline"/>
              <w:rPr>
                <w:rFonts w:ascii="宋体" w:hAnsi="宋体"/>
                <w:b/>
                <w:bCs/>
                <w:color w:val="000000"/>
                <w:kern w:val="0"/>
                <w:szCs w:val="21"/>
              </w:rPr>
            </w:pPr>
            <w:bookmarkStart w:id="5" w:name="OLE_LINK3"/>
            <w:r>
              <w:rPr>
                <w:rFonts w:hint="eastAsia" w:ascii="宋体" w:hAnsi="宋体"/>
                <w:b/>
                <w:bCs/>
                <w:color w:val="000000"/>
                <w:kern w:val="0"/>
                <w:szCs w:val="21"/>
              </w:rPr>
              <w:t>一、货物类项目验收要求</w:t>
            </w:r>
          </w:p>
        </w:tc>
      </w:tr>
      <w:tr w14:paraId="1BB82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14:paraId="5E00C0EC">
            <w:pPr>
              <w:widowControl/>
              <w:adjustRightInd w:val="0"/>
              <w:snapToGrid w:val="0"/>
              <w:jc w:val="center"/>
              <w:textAlignment w:val="baseline"/>
              <w:rPr>
                <w:rFonts w:ascii="宋体" w:hAnsi="宋体"/>
                <w:color w:val="000000"/>
                <w:kern w:val="0"/>
                <w:szCs w:val="21"/>
              </w:rPr>
            </w:pPr>
            <w:r>
              <w:rPr>
                <w:rFonts w:hint="eastAsia" w:ascii="宋体" w:hAnsi="宋体"/>
                <w:color w:val="000000"/>
                <w:kern w:val="0"/>
                <w:szCs w:val="21"/>
              </w:rPr>
              <w:t>序号</w:t>
            </w:r>
          </w:p>
        </w:tc>
        <w:tc>
          <w:tcPr>
            <w:tcW w:w="3694" w:type="dxa"/>
            <w:vAlign w:val="center"/>
          </w:tcPr>
          <w:p w14:paraId="5DF60775">
            <w:pPr>
              <w:widowControl/>
              <w:adjustRightInd w:val="0"/>
              <w:snapToGrid w:val="0"/>
              <w:jc w:val="center"/>
              <w:textAlignment w:val="baseline"/>
              <w:rPr>
                <w:rFonts w:ascii="宋体" w:hAnsi="宋体"/>
                <w:color w:val="000000"/>
                <w:kern w:val="0"/>
                <w:szCs w:val="21"/>
              </w:rPr>
            </w:pPr>
            <w:r>
              <w:rPr>
                <w:rFonts w:hint="eastAsia" w:ascii="宋体" w:hAnsi="宋体"/>
                <w:color w:val="000000"/>
                <w:kern w:val="0"/>
                <w:szCs w:val="21"/>
              </w:rPr>
              <w:t>功能或指标</w:t>
            </w:r>
          </w:p>
        </w:tc>
        <w:tc>
          <w:tcPr>
            <w:tcW w:w="4601" w:type="dxa"/>
            <w:vAlign w:val="center"/>
          </w:tcPr>
          <w:p w14:paraId="4288F8A8">
            <w:pPr>
              <w:widowControl/>
              <w:adjustRightInd w:val="0"/>
              <w:snapToGrid w:val="0"/>
              <w:jc w:val="center"/>
              <w:textAlignment w:val="baseline"/>
              <w:rPr>
                <w:rFonts w:ascii="宋体" w:hAnsi="宋体"/>
                <w:color w:val="000000"/>
                <w:kern w:val="0"/>
                <w:szCs w:val="21"/>
              </w:rPr>
            </w:pPr>
            <w:r>
              <w:rPr>
                <w:rFonts w:hint="eastAsia" w:ascii="宋体" w:hAnsi="宋体"/>
                <w:color w:val="000000"/>
                <w:kern w:val="0"/>
                <w:szCs w:val="21"/>
              </w:rPr>
              <w:t>验收或测试方法</w:t>
            </w:r>
          </w:p>
        </w:tc>
      </w:tr>
      <w:tr w14:paraId="4DD1E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14:paraId="02C15476">
            <w:pPr>
              <w:widowControl/>
              <w:adjustRightInd w:val="0"/>
              <w:snapToGrid w:val="0"/>
              <w:jc w:val="left"/>
              <w:textAlignment w:val="baseline"/>
              <w:rPr>
                <w:rFonts w:ascii="宋体" w:hAnsi="宋体"/>
                <w:b/>
                <w:color w:val="000000"/>
                <w:kern w:val="0"/>
                <w:szCs w:val="21"/>
              </w:rPr>
            </w:pPr>
            <w:r>
              <w:rPr>
                <w:rFonts w:hint="eastAsia" w:ascii="宋体" w:hAnsi="宋体"/>
                <w:b/>
                <w:color w:val="000000"/>
                <w:kern w:val="0"/>
                <w:szCs w:val="21"/>
              </w:rPr>
              <w:t>项目建设单位验收要求：</w:t>
            </w:r>
          </w:p>
        </w:tc>
      </w:tr>
      <w:tr w14:paraId="5919C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14:paraId="097B8444">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1</w:t>
            </w:r>
          </w:p>
        </w:tc>
        <w:tc>
          <w:tcPr>
            <w:tcW w:w="3694" w:type="dxa"/>
            <w:vAlign w:val="center"/>
          </w:tcPr>
          <w:p w14:paraId="628DDD59">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货物外包装与外观无损伤</w:t>
            </w:r>
          </w:p>
        </w:tc>
        <w:tc>
          <w:tcPr>
            <w:tcW w:w="4601" w:type="dxa"/>
            <w:vAlign w:val="center"/>
          </w:tcPr>
          <w:p w14:paraId="77718575">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现场核查</w:t>
            </w:r>
          </w:p>
        </w:tc>
      </w:tr>
      <w:tr w14:paraId="3668E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14:paraId="4D5202A4">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2</w:t>
            </w:r>
          </w:p>
        </w:tc>
        <w:tc>
          <w:tcPr>
            <w:tcW w:w="3694" w:type="dxa"/>
            <w:vAlign w:val="center"/>
          </w:tcPr>
          <w:p w14:paraId="5E3C1A74">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货物配置、包括备品备件、耗品耗材等提供齐全，货物实物品牌、规格、型号、配置数量与采购结果、合同约定相符。</w:t>
            </w:r>
          </w:p>
        </w:tc>
        <w:tc>
          <w:tcPr>
            <w:tcW w:w="4601" w:type="dxa"/>
            <w:vAlign w:val="center"/>
          </w:tcPr>
          <w:p w14:paraId="42CFBBEB">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依据《合同》及其附件（包括但不限于《采购需求》《供应商投标（响应）文件》《投标澄清函》《技术协议》等）约定，现场核查。</w:t>
            </w:r>
          </w:p>
        </w:tc>
      </w:tr>
      <w:tr w14:paraId="5150B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14:paraId="72C4659C">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3</w:t>
            </w:r>
          </w:p>
        </w:tc>
        <w:tc>
          <w:tcPr>
            <w:tcW w:w="3694" w:type="dxa"/>
            <w:vAlign w:val="center"/>
          </w:tcPr>
          <w:p w14:paraId="737AFF37">
            <w:pPr>
              <w:widowControl/>
              <w:adjustRightInd w:val="0"/>
              <w:snapToGrid w:val="0"/>
              <w:textAlignment w:val="baseline"/>
              <w:rPr>
                <w:rFonts w:ascii="宋体" w:hAnsi="宋体"/>
                <w:color w:val="000000" w:themeColor="text1"/>
                <w:kern w:val="0"/>
                <w:szCs w:val="21"/>
                <w14:textFill>
                  <w14:solidFill>
                    <w14:schemeClr w14:val="tx1"/>
                  </w14:solidFill>
                </w14:textFill>
              </w:rPr>
            </w:pPr>
            <w:r>
              <w:rPr>
                <w:rFonts w:hint="eastAsia" w:ascii="宋体" w:hAnsi="宋体"/>
                <w:color w:val="000000"/>
                <w:kern w:val="0"/>
                <w:szCs w:val="21"/>
              </w:rPr>
              <w:t>所有功能和指标参数（包括边界极限值）达到采购结果合同约定要求。</w:t>
            </w:r>
          </w:p>
        </w:tc>
        <w:tc>
          <w:tcPr>
            <w:tcW w:w="4601" w:type="dxa"/>
            <w:vAlign w:val="center"/>
          </w:tcPr>
          <w:p w14:paraId="509DD066">
            <w:pPr>
              <w:adjustRightInd w:val="0"/>
              <w:snapToGrid w:val="0"/>
              <w:rPr>
                <w:rFonts w:ascii="宋体" w:hAnsi="宋体"/>
                <w:kern w:val="0"/>
                <w:szCs w:val="21"/>
              </w:rPr>
            </w:pPr>
            <w:r>
              <w:rPr>
                <w:rFonts w:hint="eastAsia" w:ascii="宋体" w:hAnsi="宋体"/>
                <w:color w:val="000000"/>
                <w:kern w:val="0"/>
                <w:szCs w:val="21"/>
              </w:rPr>
              <w:t>依据《合同》及其附件（包括但不限于《采购需求》《供应商投标（响应）文件》《投标澄清函》《技术协议》等）约定，通过现场核查、现场测试、供应商应提供《供应商货物类项目完工报告》《产品出厂检测报告》《产品合格证书》《第三方检测报告》（如有）等一种或多种方式进行验收。</w:t>
            </w:r>
          </w:p>
        </w:tc>
      </w:tr>
      <w:tr w14:paraId="1AFC3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14:paraId="20814624">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4</w:t>
            </w:r>
          </w:p>
        </w:tc>
        <w:tc>
          <w:tcPr>
            <w:tcW w:w="3694" w:type="dxa"/>
            <w:vAlign w:val="center"/>
          </w:tcPr>
          <w:p w14:paraId="1A6C95FE">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培训等合同服务要求完成情况。</w:t>
            </w:r>
          </w:p>
        </w:tc>
        <w:tc>
          <w:tcPr>
            <w:tcW w:w="4601" w:type="dxa"/>
            <w:vAlign w:val="center"/>
          </w:tcPr>
          <w:p w14:paraId="52C2EC9E">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现场核查。供应商须根据合同约定提供《培训视频》影像资料等。</w:t>
            </w:r>
          </w:p>
        </w:tc>
      </w:tr>
      <w:tr w14:paraId="08382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14:paraId="59DD5624">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5</w:t>
            </w:r>
          </w:p>
        </w:tc>
        <w:tc>
          <w:tcPr>
            <w:tcW w:w="3694" w:type="dxa"/>
            <w:vAlign w:val="center"/>
          </w:tcPr>
          <w:p w14:paraId="1B3E98A5">
            <w:pPr>
              <w:widowControl/>
              <w:adjustRightInd w:val="0"/>
              <w:snapToGrid w:val="0"/>
              <w:textAlignment w:val="baseline"/>
              <w:rPr>
                <w:rFonts w:ascii="宋体" w:hAnsi="宋体"/>
                <w:color w:val="000000" w:themeColor="text1"/>
                <w:kern w:val="0"/>
                <w:szCs w:val="21"/>
                <w14:textFill>
                  <w14:solidFill>
                    <w14:schemeClr w14:val="tx1"/>
                  </w14:solidFill>
                </w14:textFill>
              </w:rPr>
            </w:pPr>
            <w:r>
              <w:rPr>
                <w:rFonts w:hint="eastAsia" w:ascii="宋体" w:hAnsi="宋体"/>
                <w:color w:val="000000"/>
                <w:kern w:val="0"/>
                <w:szCs w:val="21"/>
              </w:rPr>
              <w:t>验证测试设备的运行稳定性</w:t>
            </w:r>
          </w:p>
        </w:tc>
        <w:tc>
          <w:tcPr>
            <w:tcW w:w="4601" w:type="dxa"/>
            <w:vAlign w:val="center"/>
          </w:tcPr>
          <w:p w14:paraId="4B72A531">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试运行验证测试设备运行稳定达标</w:t>
            </w:r>
          </w:p>
        </w:tc>
      </w:tr>
      <w:tr w14:paraId="66010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14:paraId="6DFA2F36">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6</w:t>
            </w:r>
          </w:p>
        </w:tc>
        <w:tc>
          <w:tcPr>
            <w:tcW w:w="8295" w:type="dxa"/>
            <w:gridSpan w:val="2"/>
            <w:vAlign w:val="center"/>
          </w:tcPr>
          <w:p w14:paraId="31F21E15">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提示：</w:t>
            </w:r>
          </w:p>
          <w:p w14:paraId="3078E206">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1.经费负责人应当按照采购合同及其附件规定的每一项技术、服务、安全标准组织对供应商履约情况进行验收。</w:t>
            </w:r>
          </w:p>
          <w:p w14:paraId="2883C437">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2.《供应商货物类项目完工报告》《项目建设单位货物类项目完工自验收报告》《第三方检测报告》（如有）等与验收相关的材料由经费负责人妥善保管存档。</w:t>
            </w:r>
          </w:p>
          <w:p w14:paraId="620B491F">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3.</w:t>
            </w:r>
            <w:bookmarkStart w:id="6" w:name="OLE_LINK4"/>
            <w:r>
              <w:rPr>
                <w:rFonts w:hint="eastAsia" w:ascii="宋体" w:hAnsi="宋体"/>
                <w:color w:val="000000"/>
                <w:kern w:val="0"/>
                <w:szCs w:val="21"/>
              </w:rPr>
              <w:t>《技术协议》</w:t>
            </w:r>
            <w:bookmarkEnd w:id="6"/>
            <w:r>
              <w:rPr>
                <w:rFonts w:hint="eastAsia" w:ascii="宋体" w:hAnsi="宋体"/>
                <w:color w:val="000000"/>
                <w:kern w:val="0"/>
                <w:szCs w:val="21"/>
              </w:rPr>
              <w:t>作为合同有效组成部分，由经费负责人和供应商应在招标完成后第一时间根据采购招标结果（即《采购需求》、《供应商投标（响应）文件》和《投标澄清函》等文件）签订，其内容应与采购招标结果保持一致。《技术协议》中一般包含配置、数量、价格、功能指标参数、服务承诺等内容。</w:t>
            </w:r>
            <w:r>
              <w:rPr>
                <w:rFonts w:ascii="宋体" w:hAnsi="宋体"/>
                <w:color w:val="000000"/>
                <w:kern w:val="0"/>
                <w:szCs w:val="21"/>
              </w:rPr>
              <w:t xml:space="preserve"> </w:t>
            </w:r>
          </w:p>
        </w:tc>
      </w:tr>
      <w:tr w14:paraId="72FC7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14:paraId="51743AB1">
            <w:pPr>
              <w:widowControl/>
              <w:adjustRightInd w:val="0"/>
              <w:snapToGrid w:val="0"/>
              <w:textAlignment w:val="baseline"/>
              <w:rPr>
                <w:rFonts w:ascii="宋体" w:hAnsi="宋体"/>
                <w:color w:val="000000"/>
                <w:kern w:val="0"/>
                <w:szCs w:val="21"/>
              </w:rPr>
            </w:pPr>
            <w:r>
              <w:rPr>
                <w:rFonts w:hint="eastAsia" w:ascii="宋体" w:hAnsi="宋体"/>
                <w:b/>
                <w:color w:val="000000"/>
                <w:kern w:val="0"/>
                <w:szCs w:val="21"/>
              </w:rPr>
              <w:t>学校验收复核要求：</w:t>
            </w:r>
            <w:r>
              <w:rPr>
                <w:rFonts w:hint="eastAsia" w:ascii="宋体" w:hAnsi="宋体"/>
                <w:color w:val="000000"/>
                <w:kern w:val="0"/>
                <w:szCs w:val="21"/>
              </w:rPr>
              <w:t>经费负责人自验收通过后，将《学校采购货物类项目验收复核申请表》《学校采购项目验收报告》《供应商履约情况评价表》《供应商货物类项目完工报告》《项目建设单位货物类项目完工自验收报告》等相关资料，递交学校国资处，由国资处组织专家现场验收复核。</w:t>
            </w:r>
          </w:p>
        </w:tc>
      </w:tr>
      <w:tr w14:paraId="5D456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59" w:type="dxa"/>
            <w:gridSpan w:val="2"/>
            <w:vAlign w:val="center"/>
          </w:tcPr>
          <w:p w14:paraId="14AE30AD">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验收时是否需要供应商提供样品</w:t>
            </w:r>
          </w:p>
        </w:tc>
        <w:tc>
          <w:tcPr>
            <w:tcW w:w="4601" w:type="dxa"/>
            <w:vAlign w:val="center"/>
          </w:tcPr>
          <w:p w14:paraId="798E259A">
            <w:pPr>
              <w:widowControl/>
              <w:adjustRightInd w:val="0"/>
              <w:snapToGrid w:val="0"/>
              <w:textAlignment w:val="baseline"/>
              <w:rPr>
                <w:rFonts w:ascii="宋体" w:hAnsi="宋体"/>
                <w:color w:val="000000"/>
                <w:kern w:val="0"/>
                <w:szCs w:val="21"/>
              </w:rPr>
            </w:pPr>
            <w:r>
              <w:rPr>
                <w:rFonts w:hint="eastAsia" w:ascii="宋体" w:hAnsi="宋体" w:cs="宋体"/>
                <w:color w:val="000000"/>
                <w:kern w:val="0"/>
                <w:szCs w:val="21"/>
              </w:rPr>
              <w:t>□</w:t>
            </w:r>
            <w:r>
              <w:rPr>
                <w:rFonts w:hint="eastAsia" w:ascii="宋体" w:hAnsi="宋体"/>
                <w:color w:val="000000"/>
                <w:kern w:val="0"/>
                <w:szCs w:val="21"/>
              </w:rPr>
              <w:t xml:space="preserve">是 </w:t>
            </w:r>
            <w:r>
              <w:rPr>
                <w:rFonts w:hint="eastAsia" w:ascii="宋体" w:hAnsi="宋体" w:cs="宋体"/>
                <w:color w:val="000000"/>
                <w:kern w:val="0"/>
                <w:szCs w:val="21"/>
              </w:rPr>
              <w:t>□</w:t>
            </w:r>
            <w:r>
              <w:rPr>
                <w:rFonts w:hint="eastAsia" w:ascii="宋体" w:hAnsi="宋体"/>
                <w:color w:val="000000"/>
                <w:kern w:val="0"/>
                <w:szCs w:val="21"/>
              </w:rPr>
              <w:t>否</w:t>
            </w:r>
          </w:p>
        </w:tc>
      </w:tr>
      <w:tr w14:paraId="38BCC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59" w:type="dxa"/>
            <w:gridSpan w:val="2"/>
            <w:vAlign w:val="center"/>
          </w:tcPr>
          <w:p w14:paraId="4B771E24">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验收时是否需供应商提供必要的其他设备</w:t>
            </w:r>
          </w:p>
        </w:tc>
        <w:tc>
          <w:tcPr>
            <w:tcW w:w="4601" w:type="dxa"/>
            <w:vAlign w:val="center"/>
          </w:tcPr>
          <w:p w14:paraId="33CC1E8D">
            <w:pPr>
              <w:widowControl/>
              <w:adjustRightInd w:val="0"/>
              <w:snapToGrid w:val="0"/>
              <w:textAlignment w:val="baseline"/>
              <w:rPr>
                <w:rFonts w:ascii="宋体" w:hAnsi="宋体"/>
                <w:color w:val="000000"/>
                <w:kern w:val="0"/>
                <w:szCs w:val="21"/>
              </w:rPr>
            </w:pPr>
            <w:r>
              <w:rPr>
                <w:rFonts w:hint="eastAsia" w:ascii="宋体" w:hAnsi="宋体" w:cs="宋体"/>
                <w:color w:val="000000"/>
                <w:kern w:val="0"/>
                <w:szCs w:val="21"/>
              </w:rPr>
              <w:t>□</w:t>
            </w:r>
            <w:r>
              <w:rPr>
                <w:rFonts w:ascii="宋体" w:hAnsi="宋体"/>
                <w:color w:val="000000"/>
                <w:kern w:val="0"/>
                <w:szCs w:val="21"/>
              </w:rPr>
              <w:t>是</w:t>
            </w:r>
            <w:r>
              <w:rPr>
                <w:rFonts w:hint="eastAsia" w:ascii="宋体" w:hAnsi="宋体"/>
                <w:color w:val="000000"/>
                <w:kern w:val="0"/>
                <w:szCs w:val="21"/>
              </w:rPr>
              <w:t xml:space="preserve"> </w:t>
            </w:r>
            <w:r>
              <w:rPr>
                <w:rFonts w:hint="eastAsia" w:ascii="宋体" w:hAnsi="宋体" w:cs="宋体"/>
                <w:color w:val="000000"/>
                <w:kern w:val="0"/>
                <w:szCs w:val="21"/>
              </w:rPr>
              <w:t>□</w:t>
            </w:r>
            <w:r>
              <w:rPr>
                <w:rFonts w:ascii="宋体" w:hAnsi="宋体"/>
                <w:color w:val="000000"/>
                <w:kern w:val="0"/>
                <w:szCs w:val="21"/>
              </w:rPr>
              <w:t>否</w:t>
            </w:r>
          </w:p>
        </w:tc>
      </w:tr>
      <w:tr w14:paraId="2F5BE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14:paraId="3D52DFAE">
            <w:pPr>
              <w:widowControl/>
              <w:adjustRightInd w:val="0"/>
              <w:snapToGrid w:val="0"/>
              <w:textAlignment w:val="baseline"/>
              <w:rPr>
                <w:rFonts w:ascii="宋体" w:hAnsi="宋体" w:cs="宋体"/>
                <w:color w:val="000000"/>
                <w:kern w:val="0"/>
                <w:szCs w:val="21"/>
              </w:rPr>
            </w:pPr>
            <w:r>
              <w:rPr>
                <w:rFonts w:hint="eastAsia" w:ascii="宋体" w:hAnsi="宋体"/>
                <w:color w:val="000000"/>
                <w:kern w:val="0"/>
                <w:szCs w:val="21"/>
              </w:rPr>
              <w:t>二、</w:t>
            </w:r>
            <w:r>
              <w:rPr>
                <w:rFonts w:hint="eastAsia" w:ascii="宋体" w:hAnsi="宋体"/>
                <w:b/>
                <w:bCs/>
                <w:color w:val="000000"/>
                <w:kern w:val="0"/>
                <w:szCs w:val="21"/>
              </w:rPr>
              <w:t>服务类项目验收要求</w:t>
            </w:r>
          </w:p>
        </w:tc>
      </w:tr>
      <w:tr w14:paraId="753C7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14:paraId="74517D30">
            <w:pPr>
              <w:widowControl/>
              <w:adjustRightInd w:val="0"/>
              <w:snapToGrid w:val="0"/>
              <w:textAlignment w:val="baseline"/>
              <w:rPr>
                <w:rFonts w:ascii="宋体" w:hAnsi="宋体" w:cs="宋体"/>
                <w:color w:val="000000"/>
                <w:kern w:val="0"/>
                <w:szCs w:val="21"/>
              </w:rPr>
            </w:pPr>
            <w:r>
              <w:rPr>
                <w:rFonts w:hint="eastAsia" w:ascii="宋体" w:hAnsi="宋体"/>
                <w:b/>
                <w:color w:val="000000"/>
                <w:kern w:val="0"/>
                <w:szCs w:val="21"/>
              </w:rPr>
              <w:t>项目建设单位验收要求：</w:t>
            </w:r>
            <w:bookmarkStart w:id="7" w:name="OLE_LINK35"/>
            <w:r>
              <w:rPr>
                <w:rFonts w:hint="eastAsia" w:ascii="宋体" w:hAnsi="宋体"/>
                <w:szCs w:val="21"/>
              </w:rPr>
              <w:t>根据项目特点对服务期内的服务履约实施情况进行考核，结合考核情况和服务效果进行验收。验收报告须经国资处备案。</w:t>
            </w:r>
            <w:bookmarkEnd w:id="7"/>
          </w:p>
        </w:tc>
      </w:tr>
      <w:tr w14:paraId="45622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14:paraId="2CF4C624">
            <w:pPr>
              <w:widowControl/>
              <w:adjustRightInd w:val="0"/>
              <w:snapToGrid w:val="0"/>
              <w:textAlignment w:val="baseline"/>
              <w:rPr>
                <w:rFonts w:ascii="宋体" w:hAnsi="宋体" w:cs="宋体"/>
                <w:color w:val="000000"/>
                <w:kern w:val="0"/>
                <w:szCs w:val="21"/>
              </w:rPr>
            </w:pPr>
            <w:r>
              <w:rPr>
                <w:rFonts w:hint="eastAsia" w:ascii="宋体" w:hAnsi="宋体"/>
                <w:b/>
                <w:color w:val="000000"/>
                <w:kern w:val="0"/>
                <w:szCs w:val="21"/>
              </w:rPr>
              <w:t>学校验收备案要求：</w:t>
            </w:r>
            <w:r>
              <w:rPr>
                <w:rFonts w:hint="eastAsia" w:ascii="宋体" w:hAnsi="宋体"/>
                <w:bCs/>
                <w:color w:val="000000"/>
                <w:kern w:val="0"/>
                <w:szCs w:val="21"/>
              </w:rPr>
              <w:t>项目单位提供《学校采购服务类项目验收报告》《服务类供应商履约情况评价表》</w:t>
            </w:r>
            <w:r>
              <w:rPr>
                <w:rFonts w:hint="eastAsia" w:ascii="宋体" w:hAnsi="宋体"/>
                <w:szCs w:val="21"/>
              </w:rPr>
              <w:t>。国资处可根据项目情况采用抽查等方式进行复核。</w:t>
            </w:r>
          </w:p>
        </w:tc>
      </w:tr>
      <w:tr w14:paraId="51A8B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14:paraId="62B84129">
            <w:pPr>
              <w:widowControl/>
              <w:adjustRightInd w:val="0"/>
              <w:snapToGrid w:val="0"/>
              <w:jc w:val="left"/>
              <w:textAlignment w:val="baseline"/>
              <w:rPr>
                <w:rFonts w:ascii="宋体" w:hAnsi="宋体"/>
                <w:color w:val="000000"/>
                <w:kern w:val="0"/>
                <w:szCs w:val="21"/>
              </w:rPr>
            </w:pPr>
            <w:r>
              <w:rPr>
                <w:rFonts w:hint="eastAsia" w:ascii="宋体" w:hAnsi="宋体"/>
                <w:b/>
                <w:bCs/>
                <w:color w:val="000000"/>
                <w:kern w:val="0"/>
                <w:szCs w:val="21"/>
              </w:rPr>
              <w:t>三、除现场验收外，需提供的其他验收要求</w:t>
            </w:r>
          </w:p>
        </w:tc>
      </w:tr>
      <w:tr w14:paraId="43173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59" w:type="dxa"/>
            <w:gridSpan w:val="2"/>
            <w:vAlign w:val="center"/>
          </w:tcPr>
          <w:p w14:paraId="50D21A46">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验收时是否</w:t>
            </w:r>
            <w:r>
              <w:rPr>
                <w:rFonts w:ascii="宋体" w:hAnsi="宋体"/>
                <w:color w:val="000000"/>
                <w:kern w:val="0"/>
                <w:szCs w:val="21"/>
              </w:rPr>
              <w:t>需提供第三方检测报告</w:t>
            </w:r>
          </w:p>
        </w:tc>
        <w:tc>
          <w:tcPr>
            <w:tcW w:w="4601" w:type="dxa"/>
            <w:vAlign w:val="center"/>
          </w:tcPr>
          <w:p w14:paraId="2746C4A0">
            <w:pPr>
              <w:widowControl/>
              <w:adjustRightInd w:val="0"/>
              <w:snapToGrid w:val="0"/>
              <w:textAlignment w:val="baseline"/>
              <w:rPr>
                <w:rFonts w:ascii="宋体" w:hAnsi="宋体" w:cs="宋体"/>
                <w:color w:val="000000"/>
                <w:kern w:val="0"/>
                <w:szCs w:val="21"/>
              </w:rPr>
            </w:pPr>
          </w:p>
          <w:p w14:paraId="60F1F5C1">
            <w:pPr>
              <w:widowControl/>
              <w:adjustRightInd w:val="0"/>
              <w:snapToGrid w:val="0"/>
              <w:textAlignment w:val="baseline"/>
              <w:rPr>
                <w:rFonts w:ascii="宋体" w:hAnsi="宋体"/>
                <w:color w:val="000000"/>
                <w:kern w:val="0"/>
                <w:szCs w:val="21"/>
              </w:rPr>
            </w:pPr>
            <w:r>
              <w:rPr>
                <w:rFonts w:hint="eastAsia" w:ascii="宋体" w:hAnsi="宋体" w:cs="宋体"/>
                <w:color w:val="000000"/>
                <w:kern w:val="0"/>
                <w:szCs w:val="21"/>
              </w:rPr>
              <w:t>□</w:t>
            </w:r>
            <w:r>
              <w:rPr>
                <w:rFonts w:ascii="宋体" w:hAnsi="宋体"/>
                <w:color w:val="000000"/>
                <w:kern w:val="0"/>
                <w:szCs w:val="21"/>
              </w:rPr>
              <w:t>是</w:t>
            </w:r>
            <w:r>
              <w:rPr>
                <w:rFonts w:hint="eastAsia" w:ascii="宋体" w:hAnsi="宋体"/>
                <w:color w:val="000000"/>
                <w:kern w:val="0"/>
                <w:szCs w:val="21"/>
              </w:rPr>
              <w:t xml:space="preserve"> </w:t>
            </w:r>
            <w:r>
              <w:rPr>
                <w:rFonts w:hint="eastAsia" w:ascii="宋体" w:hAnsi="宋体" w:cs="宋体"/>
                <w:color w:val="000000"/>
                <w:kern w:val="0"/>
                <w:szCs w:val="21"/>
              </w:rPr>
              <w:t>☑</w:t>
            </w:r>
            <w:r>
              <w:rPr>
                <w:rFonts w:ascii="宋体" w:hAnsi="宋体"/>
                <w:color w:val="000000"/>
                <w:kern w:val="0"/>
                <w:szCs w:val="21"/>
              </w:rPr>
              <w:t>否</w:t>
            </w:r>
          </w:p>
          <w:p w14:paraId="3D6DDFD4">
            <w:pPr>
              <w:widowControl/>
              <w:adjustRightInd w:val="0"/>
              <w:snapToGrid w:val="0"/>
              <w:textAlignment w:val="baseline"/>
              <w:rPr>
                <w:rFonts w:ascii="宋体" w:hAnsi="宋体"/>
                <w:color w:val="000000"/>
                <w:kern w:val="0"/>
                <w:szCs w:val="21"/>
              </w:rPr>
            </w:pPr>
          </w:p>
          <w:p w14:paraId="3B30A560">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如需提供第三方检测报告，需满足下列要求：</w:t>
            </w:r>
          </w:p>
          <w:p w14:paraId="54453A27">
            <w:pPr>
              <w:widowControl/>
              <w:adjustRightInd w:val="0"/>
              <w:snapToGrid w:val="0"/>
              <w:textAlignment w:val="baseline"/>
              <w:rPr>
                <w:rFonts w:ascii="宋体" w:hAnsi="宋体"/>
                <w:color w:val="000000"/>
                <w:kern w:val="0"/>
                <w:szCs w:val="21"/>
              </w:rPr>
            </w:pPr>
            <w:r>
              <w:rPr>
                <w:rFonts w:ascii="宋体" w:hAnsi="宋体"/>
                <w:color w:val="000000"/>
                <w:kern w:val="0"/>
                <w:szCs w:val="21"/>
              </w:rPr>
              <w:t>对于检测机构的要求：国家正规检测机构，出具的检测报告由验收复核专家认可之后作为验收复核通过的主要依据。</w:t>
            </w:r>
          </w:p>
          <w:p w14:paraId="7ED4C1AE">
            <w:pPr>
              <w:widowControl/>
              <w:adjustRightInd w:val="0"/>
              <w:snapToGrid w:val="0"/>
              <w:textAlignment w:val="baseline"/>
              <w:rPr>
                <w:rFonts w:ascii="宋体" w:hAnsi="宋体"/>
                <w:color w:val="000000"/>
                <w:kern w:val="0"/>
                <w:szCs w:val="21"/>
              </w:rPr>
            </w:pPr>
            <w:r>
              <w:rPr>
                <w:rFonts w:ascii="宋体" w:hAnsi="宋体"/>
                <w:color w:val="000000"/>
                <w:kern w:val="0"/>
                <w:szCs w:val="21"/>
              </w:rPr>
              <w:t>对于检测执行标准的要求：各项检测项目标准以检测机构按照行业相关要求最新适用并执行的标准为准。</w:t>
            </w:r>
          </w:p>
        </w:tc>
      </w:tr>
      <w:bookmarkEnd w:id="5"/>
    </w:tbl>
    <w:p w14:paraId="793C7502">
      <w:pPr>
        <w:adjustRightInd w:val="0"/>
        <w:snapToGrid w:val="0"/>
        <w:spacing w:line="360" w:lineRule="auto"/>
        <w:ind w:firstLine="420" w:firstLineChars="200"/>
      </w:pPr>
    </w:p>
    <w:sectPr>
      <w:footerReference r:id="rId3" w:type="default"/>
      <w:pgSz w:w="11906" w:h="16838"/>
      <w:pgMar w:top="1871" w:right="1418" w:bottom="1588" w:left="1418"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ADA28B">
    <w:pPr>
      <w:pStyle w:val="7"/>
      <w:jc w:val="center"/>
    </w:pPr>
    <w:r>
      <w:fldChar w:fldCharType="begin"/>
    </w:r>
    <w:r>
      <w:instrText xml:space="preserve">PAGE   \* MERGEFORMAT</w:instrText>
    </w:r>
    <w:r>
      <w:fldChar w:fldCharType="separate"/>
    </w:r>
    <w:r>
      <w:rPr>
        <w:lang w:val="zh-CN"/>
      </w:rPr>
      <w:t>5</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6D6C8E"/>
    <w:multiLevelType w:val="singleLevel"/>
    <w:tmpl w:val="116D6C8E"/>
    <w:lvl w:ilvl="0" w:tentative="0">
      <w:start w:val="4"/>
      <w:numFmt w:val="chineseCounting"/>
      <w:suff w:val="nothing"/>
      <w:lvlText w:val="%1、"/>
      <w:lvlJc w:val="left"/>
      <w:rPr>
        <w:rFonts w:hint="eastAsia"/>
      </w:rPr>
    </w:lvl>
  </w:abstractNum>
  <w:abstractNum w:abstractNumId="1">
    <w:nsid w:val="365ECACA"/>
    <w:multiLevelType w:val="singleLevel"/>
    <w:tmpl w:val="365ECACA"/>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1FC"/>
    <w:rsid w:val="00000ADB"/>
    <w:rsid w:val="000045B7"/>
    <w:rsid w:val="0000609F"/>
    <w:rsid w:val="00012B28"/>
    <w:rsid w:val="000170BA"/>
    <w:rsid w:val="00017928"/>
    <w:rsid w:val="00017C9A"/>
    <w:rsid w:val="000345B6"/>
    <w:rsid w:val="00037EB6"/>
    <w:rsid w:val="0004707F"/>
    <w:rsid w:val="000578DF"/>
    <w:rsid w:val="00060610"/>
    <w:rsid w:val="00063B9E"/>
    <w:rsid w:val="000666C0"/>
    <w:rsid w:val="000816A4"/>
    <w:rsid w:val="00090056"/>
    <w:rsid w:val="00092B2E"/>
    <w:rsid w:val="00094C16"/>
    <w:rsid w:val="000A209A"/>
    <w:rsid w:val="000A21C5"/>
    <w:rsid w:val="000A57A8"/>
    <w:rsid w:val="000B5F74"/>
    <w:rsid w:val="000C588B"/>
    <w:rsid w:val="000C5FD7"/>
    <w:rsid w:val="000D1438"/>
    <w:rsid w:val="000E50F5"/>
    <w:rsid w:val="000F1FA8"/>
    <w:rsid w:val="000F2A29"/>
    <w:rsid w:val="00102045"/>
    <w:rsid w:val="00105428"/>
    <w:rsid w:val="001118D9"/>
    <w:rsid w:val="0011348A"/>
    <w:rsid w:val="00121267"/>
    <w:rsid w:val="001218F7"/>
    <w:rsid w:val="00121B7F"/>
    <w:rsid w:val="001262EF"/>
    <w:rsid w:val="0012727F"/>
    <w:rsid w:val="0013226A"/>
    <w:rsid w:val="00134751"/>
    <w:rsid w:val="00140AF0"/>
    <w:rsid w:val="00140C41"/>
    <w:rsid w:val="00141299"/>
    <w:rsid w:val="0014178C"/>
    <w:rsid w:val="001507CE"/>
    <w:rsid w:val="00150952"/>
    <w:rsid w:val="00150BB2"/>
    <w:rsid w:val="0015496B"/>
    <w:rsid w:val="00157667"/>
    <w:rsid w:val="001609FC"/>
    <w:rsid w:val="00162A76"/>
    <w:rsid w:val="00163196"/>
    <w:rsid w:val="00176534"/>
    <w:rsid w:val="00177BD4"/>
    <w:rsid w:val="0018461B"/>
    <w:rsid w:val="00192B6A"/>
    <w:rsid w:val="001B03C0"/>
    <w:rsid w:val="001B0A84"/>
    <w:rsid w:val="001B1B91"/>
    <w:rsid w:val="001B38ED"/>
    <w:rsid w:val="001B712C"/>
    <w:rsid w:val="001C0880"/>
    <w:rsid w:val="001C19BA"/>
    <w:rsid w:val="001C3356"/>
    <w:rsid w:val="001C3D78"/>
    <w:rsid w:val="001C41C3"/>
    <w:rsid w:val="001C5915"/>
    <w:rsid w:val="001C7C84"/>
    <w:rsid w:val="001E0980"/>
    <w:rsid w:val="001E1FDF"/>
    <w:rsid w:val="001E5B8B"/>
    <w:rsid w:val="001F2F73"/>
    <w:rsid w:val="0021026B"/>
    <w:rsid w:val="00214F3E"/>
    <w:rsid w:val="002204EA"/>
    <w:rsid w:val="002262A0"/>
    <w:rsid w:val="00230B96"/>
    <w:rsid w:val="00233C66"/>
    <w:rsid w:val="00237253"/>
    <w:rsid w:val="002440C5"/>
    <w:rsid w:val="00244594"/>
    <w:rsid w:val="00244A77"/>
    <w:rsid w:val="00245208"/>
    <w:rsid w:val="002501FD"/>
    <w:rsid w:val="002529C7"/>
    <w:rsid w:val="00255503"/>
    <w:rsid w:val="00255550"/>
    <w:rsid w:val="002569F5"/>
    <w:rsid w:val="00264031"/>
    <w:rsid w:val="0027521E"/>
    <w:rsid w:val="00277679"/>
    <w:rsid w:val="00280353"/>
    <w:rsid w:val="002815C8"/>
    <w:rsid w:val="002878EA"/>
    <w:rsid w:val="00290359"/>
    <w:rsid w:val="00293B6E"/>
    <w:rsid w:val="00297819"/>
    <w:rsid w:val="002A4902"/>
    <w:rsid w:val="002A6571"/>
    <w:rsid w:val="002B287A"/>
    <w:rsid w:val="002B3A1B"/>
    <w:rsid w:val="002B4D3B"/>
    <w:rsid w:val="002C0CC3"/>
    <w:rsid w:val="002C1D63"/>
    <w:rsid w:val="002C7863"/>
    <w:rsid w:val="002D06B9"/>
    <w:rsid w:val="002D68DE"/>
    <w:rsid w:val="002D7991"/>
    <w:rsid w:val="002D7EBC"/>
    <w:rsid w:val="002E1EFE"/>
    <w:rsid w:val="002F0BEB"/>
    <w:rsid w:val="00300CA8"/>
    <w:rsid w:val="003027D7"/>
    <w:rsid w:val="00303423"/>
    <w:rsid w:val="00305D95"/>
    <w:rsid w:val="00306DA8"/>
    <w:rsid w:val="003078A0"/>
    <w:rsid w:val="00310E17"/>
    <w:rsid w:val="003113D4"/>
    <w:rsid w:val="00311594"/>
    <w:rsid w:val="0031502A"/>
    <w:rsid w:val="00323357"/>
    <w:rsid w:val="003243F0"/>
    <w:rsid w:val="00327213"/>
    <w:rsid w:val="0033313D"/>
    <w:rsid w:val="003458D7"/>
    <w:rsid w:val="00345D8D"/>
    <w:rsid w:val="00351AB0"/>
    <w:rsid w:val="00353168"/>
    <w:rsid w:val="00353C03"/>
    <w:rsid w:val="00353EC3"/>
    <w:rsid w:val="00361390"/>
    <w:rsid w:val="0036352F"/>
    <w:rsid w:val="003649AF"/>
    <w:rsid w:val="00365116"/>
    <w:rsid w:val="00371949"/>
    <w:rsid w:val="00375975"/>
    <w:rsid w:val="0037638F"/>
    <w:rsid w:val="00381C4A"/>
    <w:rsid w:val="00390F4C"/>
    <w:rsid w:val="003A243E"/>
    <w:rsid w:val="003B1B61"/>
    <w:rsid w:val="003B4712"/>
    <w:rsid w:val="003C207F"/>
    <w:rsid w:val="003C277F"/>
    <w:rsid w:val="003D06DB"/>
    <w:rsid w:val="003D4AEF"/>
    <w:rsid w:val="003E4113"/>
    <w:rsid w:val="003E4FDA"/>
    <w:rsid w:val="003E5394"/>
    <w:rsid w:val="003E675E"/>
    <w:rsid w:val="003F1D71"/>
    <w:rsid w:val="003F341A"/>
    <w:rsid w:val="003F37A4"/>
    <w:rsid w:val="003F4F91"/>
    <w:rsid w:val="003F5577"/>
    <w:rsid w:val="003F57FA"/>
    <w:rsid w:val="003F7CB0"/>
    <w:rsid w:val="003F7E54"/>
    <w:rsid w:val="00400968"/>
    <w:rsid w:val="00406295"/>
    <w:rsid w:val="00410B1E"/>
    <w:rsid w:val="004151CD"/>
    <w:rsid w:val="00415A37"/>
    <w:rsid w:val="00426CB3"/>
    <w:rsid w:val="00436B73"/>
    <w:rsid w:val="004374DA"/>
    <w:rsid w:val="00440EDB"/>
    <w:rsid w:val="00442A4D"/>
    <w:rsid w:val="00453832"/>
    <w:rsid w:val="00455ED6"/>
    <w:rsid w:val="004712B7"/>
    <w:rsid w:val="0048154C"/>
    <w:rsid w:val="00481EE9"/>
    <w:rsid w:val="00485CA0"/>
    <w:rsid w:val="00490D0E"/>
    <w:rsid w:val="00491E5A"/>
    <w:rsid w:val="00492DD3"/>
    <w:rsid w:val="004951D7"/>
    <w:rsid w:val="00495B30"/>
    <w:rsid w:val="004A43F0"/>
    <w:rsid w:val="004A69FE"/>
    <w:rsid w:val="004B3DFE"/>
    <w:rsid w:val="004C0EDE"/>
    <w:rsid w:val="004C6E57"/>
    <w:rsid w:val="004D47EE"/>
    <w:rsid w:val="004D7FAC"/>
    <w:rsid w:val="004E36C2"/>
    <w:rsid w:val="004E4B14"/>
    <w:rsid w:val="004F27FB"/>
    <w:rsid w:val="00501176"/>
    <w:rsid w:val="00501E8E"/>
    <w:rsid w:val="0051081D"/>
    <w:rsid w:val="00510891"/>
    <w:rsid w:val="0051141F"/>
    <w:rsid w:val="00524AB7"/>
    <w:rsid w:val="0052535A"/>
    <w:rsid w:val="005307ED"/>
    <w:rsid w:val="0053111A"/>
    <w:rsid w:val="00537D96"/>
    <w:rsid w:val="00544653"/>
    <w:rsid w:val="00545874"/>
    <w:rsid w:val="00551F52"/>
    <w:rsid w:val="00555D36"/>
    <w:rsid w:val="00557A2C"/>
    <w:rsid w:val="00557F71"/>
    <w:rsid w:val="00562C62"/>
    <w:rsid w:val="00562FB7"/>
    <w:rsid w:val="005633CE"/>
    <w:rsid w:val="00571ADE"/>
    <w:rsid w:val="00572CCF"/>
    <w:rsid w:val="005732C7"/>
    <w:rsid w:val="005737B7"/>
    <w:rsid w:val="00575012"/>
    <w:rsid w:val="005774B1"/>
    <w:rsid w:val="00582A16"/>
    <w:rsid w:val="005853E9"/>
    <w:rsid w:val="00585AD7"/>
    <w:rsid w:val="00586153"/>
    <w:rsid w:val="0059304A"/>
    <w:rsid w:val="005951EF"/>
    <w:rsid w:val="005B02D0"/>
    <w:rsid w:val="005B0AC7"/>
    <w:rsid w:val="005B317C"/>
    <w:rsid w:val="005B5B9E"/>
    <w:rsid w:val="005B62C9"/>
    <w:rsid w:val="005B698D"/>
    <w:rsid w:val="005B6A13"/>
    <w:rsid w:val="005C3DA0"/>
    <w:rsid w:val="005D1A12"/>
    <w:rsid w:val="005E0008"/>
    <w:rsid w:val="005E373A"/>
    <w:rsid w:val="005E6A0A"/>
    <w:rsid w:val="005E7748"/>
    <w:rsid w:val="005E7C85"/>
    <w:rsid w:val="005F06FA"/>
    <w:rsid w:val="005F1571"/>
    <w:rsid w:val="005F26A4"/>
    <w:rsid w:val="005F271F"/>
    <w:rsid w:val="005F3727"/>
    <w:rsid w:val="005F401F"/>
    <w:rsid w:val="0060360E"/>
    <w:rsid w:val="00605B14"/>
    <w:rsid w:val="00611202"/>
    <w:rsid w:val="00611E61"/>
    <w:rsid w:val="006139E7"/>
    <w:rsid w:val="00620197"/>
    <w:rsid w:val="00620652"/>
    <w:rsid w:val="006237BE"/>
    <w:rsid w:val="00634FF1"/>
    <w:rsid w:val="00636F27"/>
    <w:rsid w:val="00640733"/>
    <w:rsid w:val="00642B2A"/>
    <w:rsid w:val="0064334B"/>
    <w:rsid w:val="00643D51"/>
    <w:rsid w:val="006538FB"/>
    <w:rsid w:val="006706FD"/>
    <w:rsid w:val="006772FA"/>
    <w:rsid w:val="00681FDD"/>
    <w:rsid w:val="006873DB"/>
    <w:rsid w:val="006878E9"/>
    <w:rsid w:val="006A6A2F"/>
    <w:rsid w:val="006C2706"/>
    <w:rsid w:val="006C2918"/>
    <w:rsid w:val="006C4154"/>
    <w:rsid w:val="006C511C"/>
    <w:rsid w:val="006C687D"/>
    <w:rsid w:val="006C782C"/>
    <w:rsid w:val="006D095D"/>
    <w:rsid w:val="006D2C2D"/>
    <w:rsid w:val="006D3A11"/>
    <w:rsid w:val="006E1E8B"/>
    <w:rsid w:val="006E330A"/>
    <w:rsid w:val="006F3B7B"/>
    <w:rsid w:val="006F5B28"/>
    <w:rsid w:val="006F5E53"/>
    <w:rsid w:val="006F7061"/>
    <w:rsid w:val="007011DF"/>
    <w:rsid w:val="00703AC6"/>
    <w:rsid w:val="00710AA5"/>
    <w:rsid w:val="00711E56"/>
    <w:rsid w:val="007132C5"/>
    <w:rsid w:val="00715B3F"/>
    <w:rsid w:val="0071642D"/>
    <w:rsid w:val="00717C94"/>
    <w:rsid w:val="00721306"/>
    <w:rsid w:val="007234E0"/>
    <w:rsid w:val="00725D8A"/>
    <w:rsid w:val="00727C0A"/>
    <w:rsid w:val="00730287"/>
    <w:rsid w:val="007369E1"/>
    <w:rsid w:val="0074203F"/>
    <w:rsid w:val="007435CD"/>
    <w:rsid w:val="007437CA"/>
    <w:rsid w:val="00746CF7"/>
    <w:rsid w:val="007554BB"/>
    <w:rsid w:val="00755FDD"/>
    <w:rsid w:val="0075752D"/>
    <w:rsid w:val="00760039"/>
    <w:rsid w:val="00763273"/>
    <w:rsid w:val="0076501A"/>
    <w:rsid w:val="00770F4F"/>
    <w:rsid w:val="007803AD"/>
    <w:rsid w:val="007839AE"/>
    <w:rsid w:val="00785146"/>
    <w:rsid w:val="00791CD0"/>
    <w:rsid w:val="007A059E"/>
    <w:rsid w:val="007A41C0"/>
    <w:rsid w:val="007A5A82"/>
    <w:rsid w:val="007A5DE1"/>
    <w:rsid w:val="007A7B4C"/>
    <w:rsid w:val="007B0025"/>
    <w:rsid w:val="007B0FEB"/>
    <w:rsid w:val="007B4412"/>
    <w:rsid w:val="007C7E7D"/>
    <w:rsid w:val="007D270D"/>
    <w:rsid w:val="007D2C32"/>
    <w:rsid w:val="007D423E"/>
    <w:rsid w:val="007D4F3E"/>
    <w:rsid w:val="007D72DA"/>
    <w:rsid w:val="007D7B8D"/>
    <w:rsid w:val="007E1C48"/>
    <w:rsid w:val="007E62AE"/>
    <w:rsid w:val="007E73EB"/>
    <w:rsid w:val="007F1338"/>
    <w:rsid w:val="007F2546"/>
    <w:rsid w:val="007F4BD9"/>
    <w:rsid w:val="007F4C10"/>
    <w:rsid w:val="007F5C59"/>
    <w:rsid w:val="00800E12"/>
    <w:rsid w:val="00801053"/>
    <w:rsid w:val="0080610F"/>
    <w:rsid w:val="00810968"/>
    <w:rsid w:val="00811918"/>
    <w:rsid w:val="008153D5"/>
    <w:rsid w:val="008174D5"/>
    <w:rsid w:val="00823CA9"/>
    <w:rsid w:val="00824562"/>
    <w:rsid w:val="00825F4C"/>
    <w:rsid w:val="00831869"/>
    <w:rsid w:val="00833A4F"/>
    <w:rsid w:val="00834FF0"/>
    <w:rsid w:val="0083650B"/>
    <w:rsid w:val="008403A0"/>
    <w:rsid w:val="0084652E"/>
    <w:rsid w:val="00846FC6"/>
    <w:rsid w:val="00847A0B"/>
    <w:rsid w:val="00860344"/>
    <w:rsid w:val="00860346"/>
    <w:rsid w:val="008627C7"/>
    <w:rsid w:val="008635D7"/>
    <w:rsid w:val="00870113"/>
    <w:rsid w:val="00873F09"/>
    <w:rsid w:val="008775E2"/>
    <w:rsid w:val="00881F75"/>
    <w:rsid w:val="008875CA"/>
    <w:rsid w:val="0089621F"/>
    <w:rsid w:val="008A7248"/>
    <w:rsid w:val="008B21EB"/>
    <w:rsid w:val="008B5DBC"/>
    <w:rsid w:val="008C0BE7"/>
    <w:rsid w:val="008C49D1"/>
    <w:rsid w:val="008C7368"/>
    <w:rsid w:val="008D094B"/>
    <w:rsid w:val="008D11A7"/>
    <w:rsid w:val="008D17DD"/>
    <w:rsid w:val="008D4186"/>
    <w:rsid w:val="008D5F08"/>
    <w:rsid w:val="008E111B"/>
    <w:rsid w:val="008E38CF"/>
    <w:rsid w:val="008E5DAA"/>
    <w:rsid w:val="008E5F1D"/>
    <w:rsid w:val="008E6FAC"/>
    <w:rsid w:val="008F2ED3"/>
    <w:rsid w:val="008F3C13"/>
    <w:rsid w:val="008F6AEC"/>
    <w:rsid w:val="00902581"/>
    <w:rsid w:val="00912013"/>
    <w:rsid w:val="00915D65"/>
    <w:rsid w:val="00925E61"/>
    <w:rsid w:val="0092649F"/>
    <w:rsid w:val="0093090F"/>
    <w:rsid w:val="00946EF5"/>
    <w:rsid w:val="0095685D"/>
    <w:rsid w:val="0095718B"/>
    <w:rsid w:val="009604BB"/>
    <w:rsid w:val="009618B7"/>
    <w:rsid w:val="00962CDE"/>
    <w:rsid w:val="0099177F"/>
    <w:rsid w:val="00992532"/>
    <w:rsid w:val="00995789"/>
    <w:rsid w:val="009A7391"/>
    <w:rsid w:val="009B2EF0"/>
    <w:rsid w:val="009B3732"/>
    <w:rsid w:val="009B4C25"/>
    <w:rsid w:val="009B628C"/>
    <w:rsid w:val="009C2163"/>
    <w:rsid w:val="009C257D"/>
    <w:rsid w:val="009C3957"/>
    <w:rsid w:val="009C5FCD"/>
    <w:rsid w:val="009D18B6"/>
    <w:rsid w:val="009D2D9F"/>
    <w:rsid w:val="009D33C2"/>
    <w:rsid w:val="009D3518"/>
    <w:rsid w:val="009E0F69"/>
    <w:rsid w:val="009F0011"/>
    <w:rsid w:val="009F206D"/>
    <w:rsid w:val="009F3B77"/>
    <w:rsid w:val="009F66DE"/>
    <w:rsid w:val="009F6CAB"/>
    <w:rsid w:val="009F7A2C"/>
    <w:rsid w:val="00A01710"/>
    <w:rsid w:val="00A047F0"/>
    <w:rsid w:val="00A14ED7"/>
    <w:rsid w:val="00A161FC"/>
    <w:rsid w:val="00A2430D"/>
    <w:rsid w:val="00A30C68"/>
    <w:rsid w:val="00A4094F"/>
    <w:rsid w:val="00A50038"/>
    <w:rsid w:val="00A500A4"/>
    <w:rsid w:val="00A61746"/>
    <w:rsid w:val="00A63300"/>
    <w:rsid w:val="00A701AE"/>
    <w:rsid w:val="00A7512D"/>
    <w:rsid w:val="00A75C48"/>
    <w:rsid w:val="00A75D88"/>
    <w:rsid w:val="00A765E9"/>
    <w:rsid w:val="00A76D9E"/>
    <w:rsid w:val="00A865ED"/>
    <w:rsid w:val="00A86C18"/>
    <w:rsid w:val="00A93FD2"/>
    <w:rsid w:val="00AA1A80"/>
    <w:rsid w:val="00AA2AC3"/>
    <w:rsid w:val="00AB4712"/>
    <w:rsid w:val="00AB48E9"/>
    <w:rsid w:val="00AC005D"/>
    <w:rsid w:val="00AC2EB1"/>
    <w:rsid w:val="00AC6F95"/>
    <w:rsid w:val="00AD4C30"/>
    <w:rsid w:val="00AD6EAD"/>
    <w:rsid w:val="00AE18CF"/>
    <w:rsid w:val="00AE1AFA"/>
    <w:rsid w:val="00AE67A6"/>
    <w:rsid w:val="00AF7468"/>
    <w:rsid w:val="00B015CE"/>
    <w:rsid w:val="00B01FBC"/>
    <w:rsid w:val="00B03658"/>
    <w:rsid w:val="00B04427"/>
    <w:rsid w:val="00B070EF"/>
    <w:rsid w:val="00B0779B"/>
    <w:rsid w:val="00B149B5"/>
    <w:rsid w:val="00B151BE"/>
    <w:rsid w:val="00B209E9"/>
    <w:rsid w:val="00B236CB"/>
    <w:rsid w:val="00B30D51"/>
    <w:rsid w:val="00B33451"/>
    <w:rsid w:val="00B33F63"/>
    <w:rsid w:val="00B35632"/>
    <w:rsid w:val="00B43698"/>
    <w:rsid w:val="00B4481B"/>
    <w:rsid w:val="00B4710C"/>
    <w:rsid w:val="00B47D50"/>
    <w:rsid w:val="00B7018C"/>
    <w:rsid w:val="00B7019E"/>
    <w:rsid w:val="00B7185F"/>
    <w:rsid w:val="00B72BD6"/>
    <w:rsid w:val="00B869C6"/>
    <w:rsid w:val="00B87CB4"/>
    <w:rsid w:val="00B91989"/>
    <w:rsid w:val="00B94A57"/>
    <w:rsid w:val="00B97895"/>
    <w:rsid w:val="00BA115A"/>
    <w:rsid w:val="00BA1466"/>
    <w:rsid w:val="00BA15B5"/>
    <w:rsid w:val="00BA359E"/>
    <w:rsid w:val="00BA6CF4"/>
    <w:rsid w:val="00BB03C1"/>
    <w:rsid w:val="00BB2053"/>
    <w:rsid w:val="00BB469B"/>
    <w:rsid w:val="00BB7A38"/>
    <w:rsid w:val="00BC04A3"/>
    <w:rsid w:val="00BC3D86"/>
    <w:rsid w:val="00BC7870"/>
    <w:rsid w:val="00BD0727"/>
    <w:rsid w:val="00BD11BC"/>
    <w:rsid w:val="00BD305E"/>
    <w:rsid w:val="00BE04B2"/>
    <w:rsid w:val="00BE12E8"/>
    <w:rsid w:val="00BE1EF1"/>
    <w:rsid w:val="00BE5444"/>
    <w:rsid w:val="00BF1C8F"/>
    <w:rsid w:val="00BF7E50"/>
    <w:rsid w:val="00C1098B"/>
    <w:rsid w:val="00C10C07"/>
    <w:rsid w:val="00C10F61"/>
    <w:rsid w:val="00C15054"/>
    <w:rsid w:val="00C163BC"/>
    <w:rsid w:val="00C23258"/>
    <w:rsid w:val="00C27434"/>
    <w:rsid w:val="00C32ADD"/>
    <w:rsid w:val="00C34505"/>
    <w:rsid w:val="00C35B3B"/>
    <w:rsid w:val="00C36A51"/>
    <w:rsid w:val="00C459CE"/>
    <w:rsid w:val="00C479F8"/>
    <w:rsid w:val="00C51CEE"/>
    <w:rsid w:val="00C53AA9"/>
    <w:rsid w:val="00C56D21"/>
    <w:rsid w:val="00C63818"/>
    <w:rsid w:val="00C643DA"/>
    <w:rsid w:val="00C74982"/>
    <w:rsid w:val="00C82348"/>
    <w:rsid w:val="00C92D3F"/>
    <w:rsid w:val="00C950B9"/>
    <w:rsid w:val="00C95481"/>
    <w:rsid w:val="00CA1559"/>
    <w:rsid w:val="00CA1D32"/>
    <w:rsid w:val="00CC44C8"/>
    <w:rsid w:val="00CD1229"/>
    <w:rsid w:val="00CD153F"/>
    <w:rsid w:val="00CD2230"/>
    <w:rsid w:val="00CD50E0"/>
    <w:rsid w:val="00CD5C95"/>
    <w:rsid w:val="00CE0FFF"/>
    <w:rsid w:val="00CE546B"/>
    <w:rsid w:val="00CF3F57"/>
    <w:rsid w:val="00CF5863"/>
    <w:rsid w:val="00CF7DC8"/>
    <w:rsid w:val="00D04B4C"/>
    <w:rsid w:val="00D07E51"/>
    <w:rsid w:val="00D12F04"/>
    <w:rsid w:val="00D156F3"/>
    <w:rsid w:val="00D17B51"/>
    <w:rsid w:val="00D21F75"/>
    <w:rsid w:val="00D22E33"/>
    <w:rsid w:val="00D324D9"/>
    <w:rsid w:val="00D333CD"/>
    <w:rsid w:val="00D36298"/>
    <w:rsid w:val="00D41788"/>
    <w:rsid w:val="00D44196"/>
    <w:rsid w:val="00D449F2"/>
    <w:rsid w:val="00D44E67"/>
    <w:rsid w:val="00D45ED1"/>
    <w:rsid w:val="00D512BD"/>
    <w:rsid w:val="00D532CD"/>
    <w:rsid w:val="00D55A25"/>
    <w:rsid w:val="00D56E82"/>
    <w:rsid w:val="00D6619A"/>
    <w:rsid w:val="00D7490B"/>
    <w:rsid w:val="00D76AA8"/>
    <w:rsid w:val="00D8060D"/>
    <w:rsid w:val="00D81319"/>
    <w:rsid w:val="00D8247A"/>
    <w:rsid w:val="00D82B79"/>
    <w:rsid w:val="00D87F17"/>
    <w:rsid w:val="00D94396"/>
    <w:rsid w:val="00D97FEA"/>
    <w:rsid w:val="00DA1B3C"/>
    <w:rsid w:val="00DA2BF3"/>
    <w:rsid w:val="00DA57C1"/>
    <w:rsid w:val="00DB1D64"/>
    <w:rsid w:val="00DB6ED1"/>
    <w:rsid w:val="00DC1928"/>
    <w:rsid w:val="00DD1742"/>
    <w:rsid w:val="00DD2AD3"/>
    <w:rsid w:val="00DE15E5"/>
    <w:rsid w:val="00DF1EA0"/>
    <w:rsid w:val="00DF245C"/>
    <w:rsid w:val="00DF5062"/>
    <w:rsid w:val="00DF65CB"/>
    <w:rsid w:val="00E023CC"/>
    <w:rsid w:val="00E02FC1"/>
    <w:rsid w:val="00E0462B"/>
    <w:rsid w:val="00E0581E"/>
    <w:rsid w:val="00E07247"/>
    <w:rsid w:val="00E10251"/>
    <w:rsid w:val="00E1130A"/>
    <w:rsid w:val="00E14E80"/>
    <w:rsid w:val="00E17608"/>
    <w:rsid w:val="00E22081"/>
    <w:rsid w:val="00E26107"/>
    <w:rsid w:val="00E34A5B"/>
    <w:rsid w:val="00E36D46"/>
    <w:rsid w:val="00E4264C"/>
    <w:rsid w:val="00E458B0"/>
    <w:rsid w:val="00E501AE"/>
    <w:rsid w:val="00E506CD"/>
    <w:rsid w:val="00E512A8"/>
    <w:rsid w:val="00E538A0"/>
    <w:rsid w:val="00E57E43"/>
    <w:rsid w:val="00E65CE7"/>
    <w:rsid w:val="00E6628A"/>
    <w:rsid w:val="00E71DB9"/>
    <w:rsid w:val="00E72D7F"/>
    <w:rsid w:val="00E72F6F"/>
    <w:rsid w:val="00E73399"/>
    <w:rsid w:val="00E744D3"/>
    <w:rsid w:val="00E74CB1"/>
    <w:rsid w:val="00E75230"/>
    <w:rsid w:val="00E7573D"/>
    <w:rsid w:val="00E821CF"/>
    <w:rsid w:val="00E822B6"/>
    <w:rsid w:val="00E83E2F"/>
    <w:rsid w:val="00E85911"/>
    <w:rsid w:val="00E85E97"/>
    <w:rsid w:val="00E8749A"/>
    <w:rsid w:val="00E90A5E"/>
    <w:rsid w:val="00E93031"/>
    <w:rsid w:val="00E931F1"/>
    <w:rsid w:val="00E972E0"/>
    <w:rsid w:val="00EA4358"/>
    <w:rsid w:val="00EA4482"/>
    <w:rsid w:val="00EA5BB2"/>
    <w:rsid w:val="00EA67C5"/>
    <w:rsid w:val="00EA7524"/>
    <w:rsid w:val="00EB42C3"/>
    <w:rsid w:val="00EB5304"/>
    <w:rsid w:val="00ED27A4"/>
    <w:rsid w:val="00ED5154"/>
    <w:rsid w:val="00EE2CE9"/>
    <w:rsid w:val="00EE39D9"/>
    <w:rsid w:val="00EF2087"/>
    <w:rsid w:val="00EF4FBA"/>
    <w:rsid w:val="00F02423"/>
    <w:rsid w:val="00F072C1"/>
    <w:rsid w:val="00F07693"/>
    <w:rsid w:val="00F10369"/>
    <w:rsid w:val="00F13265"/>
    <w:rsid w:val="00F14B96"/>
    <w:rsid w:val="00F1681C"/>
    <w:rsid w:val="00F17DEA"/>
    <w:rsid w:val="00F202C1"/>
    <w:rsid w:val="00F223B3"/>
    <w:rsid w:val="00F33F13"/>
    <w:rsid w:val="00F35137"/>
    <w:rsid w:val="00F43286"/>
    <w:rsid w:val="00F438F3"/>
    <w:rsid w:val="00F57DCD"/>
    <w:rsid w:val="00F63AEB"/>
    <w:rsid w:val="00F65DFE"/>
    <w:rsid w:val="00F72305"/>
    <w:rsid w:val="00F7623C"/>
    <w:rsid w:val="00F77F3E"/>
    <w:rsid w:val="00F8648C"/>
    <w:rsid w:val="00F908A8"/>
    <w:rsid w:val="00F93AA6"/>
    <w:rsid w:val="00F94194"/>
    <w:rsid w:val="00F959C8"/>
    <w:rsid w:val="00F9750C"/>
    <w:rsid w:val="00F9789E"/>
    <w:rsid w:val="00FA67D4"/>
    <w:rsid w:val="00FB00E1"/>
    <w:rsid w:val="00FB12A5"/>
    <w:rsid w:val="00FB1587"/>
    <w:rsid w:val="00FB322D"/>
    <w:rsid w:val="00FB42CB"/>
    <w:rsid w:val="00FB43C6"/>
    <w:rsid w:val="00FB5401"/>
    <w:rsid w:val="00FC1111"/>
    <w:rsid w:val="00FC194B"/>
    <w:rsid w:val="00FC3BB8"/>
    <w:rsid w:val="00FD6CA8"/>
    <w:rsid w:val="00FE1B41"/>
    <w:rsid w:val="00FF21F2"/>
    <w:rsid w:val="00FF339E"/>
    <w:rsid w:val="00FF40F9"/>
    <w:rsid w:val="00FF47AD"/>
    <w:rsid w:val="00FF6875"/>
    <w:rsid w:val="00FF698C"/>
    <w:rsid w:val="17380073"/>
    <w:rsid w:val="1BC72B84"/>
    <w:rsid w:val="24052364"/>
    <w:rsid w:val="3733331E"/>
    <w:rsid w:val="4E190BBA"/>
    <w:rsid w:val="4E55136A"/>
    <w:rsid w:val="4FAF6015"/>
    <w:rsid w:val="67C0084F"/>
    <w:rsid w:val="6E441807"/>
    <w:rsid w:val="6FD3723B"/>
    <w:rsid w:val="700C6911"/>
    <w:rsid w:val="732D1D2C"/>
    <w:rsid w:val="7DB33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13">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2">
    <w:name w:val="toc 1"/>
    <w:basedOn w:val="1"/>
    <w:next w:val="1"/>
    <w:qFormat/>
    <w:uiPriority w:val="39"/>
  </w:style>
  <w:style w:type="paragraph" w:styleId="3">
    <w:name w:val="annotation text"/>
    <w:basedOn w:val="1"/>
    <w:link w:val="28"/>
    <w:semiHidden/>
    <w:unhideWhenUsed/>
    <w:qFormat/>
    <w:uiPriority w:val="99"/>
    <w:pPr>
      <w:jc w:val="left"/>
    </w:pPr>
  </w:style>
  <w:style w:type="paragraph" w:styleId="4">
    <w:name w:val="Body Text"/>
    <w:basedOn w:val="1"/>
    <w:qFormat/>
    <w:uiPriority w:val="0"/>
    <w:pPr>
      <w:spacing w:after="120"/>
    </w:pPr>
  </w:style>
  <w:style w:type="paragraph" w:styleId="5">
    <w:name w:val="Plain Text"/>
    <w:basedOn w:val="1"/>
    <w:link w:val="18"/>
    <w:qFormat/>
    <w:uiPriority w:val="0"/>
    <w:rPr>
      <w:rFonts w:ascii="宋体" w:hAnsi="Courier New" w:cstheme="minorBidi"/>
      <w:szCs w:val="22"/>
    </w:rPr>
  </w:style>
  <w:style w:type="paragraph" w:styleId="6">
    <w:name w:val="Balloon Text"/>
    <w:basedOn w:val="1"/>
    <w:link w:val="26"/>
    <w:semiHidden/>
    <w:unhideWhenUsed/>
    <w:qFormat/>
    <w:uiPriority w:val="99"/>
    <w:rPr>
      <w:sz w:val="18"/>
      <w:szCs w:val="18"/>
    </w:rPr>
  </w:style>
  <w:style w:type="paragraph" w:styleId="7">
    <w:name w:val="footer"/>
    <w:basedOn w:val="1"/>
    <w:link w:val="19"/>
    <w:qFormat/>
    <w:uiPriority w:val="0"/>
    <w:pPr>
      <w:tabs>
        <w:tab w:val="center" w:pos="4153"/>
        <w:tab w:val="right" w:pos="8306"/>
      </w:tabs>
      <w:snapToGrid w:val="0"/>
      <w:jc w:val="left"/>
    </w:pPr>
    <w:rPr>
      <w:rFonts w:asciiTheme="minorHAnsi" w:hAnsiTheme="minorHAnsi" w:eastAsiaTheme="minorEastAsia" w:cstheme="minorBidi"/>
      <w:sz w:val="18"/>
      <w:szCs w:val="22"/>
    </w:rPr>
  </w:style>
  <w:style w:type="paragraph" w:styleId="8">
    <w:name w:val="header"/>
    <w:basedOn w:val="1"/>
    <w:link w:val="2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itle"/>
    <w:basedOn w:val="1"/>
    <w:link w:val="20"/>
    <w:qFormat/>
    <w:uiPriority w:val="0"/>
    <w:pPr>
      <w:spacing w:before="240" w:after="60"/>
      <w:jc w:val="center"/>
      <w:outlineLvl w:val="0"/>
    </w:pPr>
    <w:rPr>
      <w:rFonts w:ascii="Arial" w:hAnsi="Arial" w:cs="Arial"/>
      <w:b/>
      <w:bCs/>
      <w:sz w:val="32"/>
      <w:szCs w:val="32"/>
    </w:rPr>
  </w:style>
  <w:style w:type="paragraph" w:styleId="10">
    <w:name w:val="annotation subject"/>
    <w:basedOn w:val="3"/>
    <w:next w:val="3"/>
    <w:link w:val="29"/>
    <w:semiHidden/>
    <w:unhideWhenUsed/>
    <w:qFormat/>
    <w:uiPriority w:val="99"/>
    <w:rPr>
      <w:b/>
      <w:bCs/>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22"/>
    <w:rPr>
      <w:b/>
      <w:bCs/>
    </w:rPr>
  </w:style>
  <w:style w:type="character" w:styleId="15">
    <w:name w:val="Emphasis"/>
    <w:basedOn w:val="13"/>
    <w:qFormat/>
    <w:uiPriority w:val="20"/>
    <w:rPr>
      <w:i/>
      <w:iCs/>
    </w:rPr>
  </w:style>
  <w:style w:type="character" w:styleId="16">
    <w:name w:val="Hyperlink"/>
    <w:basedOn w:val="13"/>
    <w:semiHidden/>
    <w:unhideWhenUsed/>
    <w:qFormat/>
    <w:uiPriority w:val="99"/>
    <w:rPr>
      <w:color w:val="0000FF"/>
      <w:u w:val="single"/>
    </w:rPr>
  </w:style>
  <w:style w:type="character" w:styleId="17">
    <w:name w:val="annotation reference"/>
    <w:basedOn w:val="13"/>
    <w:semiHidden/>
    <w:unhideWhenUsed/>
    <w:qFormat/>
    <w:uiPriority w:val="99"/>
    <w:rPr>
      <w:sz w:val="21"/>
      <w:szCs w:val="21"/>
    </w:rPr>
  </w:style>
  <w:style w:type="character" w:customStyle="1" w:styleId="18">
    <w:name w:val="纯文本 字符"/>
    <w:link w:val="5"/>
    <w:qFormat/>
    <w:uiPriority w:val="0"/>
    <w:rPr>
      <w:rFonts w:ascii="宋体" w:hAnsi="Courier New" w:eastAsia="宋体"/>
    </w:rPr>
  </w:style>
  <w:style w:type="character" w:customStyle="1" w:styleId="19">
    <w:name w:val="页脚 字符"/>
    <w:link w:val="7"/>
    <w:qFormat/>
    <w:uiPriority w:val="0"/>
    <w:rPr>
      <w:sz w:val="18"/>
    </w:rPr>
  </w:style>
  <w:style w:type="character" w:customStyle="1" w:styleId="20">
    <w:name w:val="标题 字符"/>
    <w:link w:val="9"/>
    <w:qFormat/>
    <w:uiPriority w:val="0"/>
    <w:rPr>
      <w:rFonts w:ascii="Arial" w:hAnsi="Arial" w:eastAsia="宋体" w:cs="Arial"/>
      <w:b/>
      <w:bCs/>
      <w:sz w:val="32"/>
      <w:szCs w:val="32"/>
    </w:rPr>
  </w:style>
  <w:style w:type="character" w:customStyle="1" w:styleId="21">
    <w:name w:val="页脚 Char"/>
    <w:basedOn w:val="13"/>
    <w:semiHidden/>
    <w:qFormat/>
    <w:uiPriority w:val="99"/>
    <w:rPr>
      <w:rFonts w:ascii="Times New Roman" w:hAnsi="Times New Roman" w:eastAsia="宋体" w:cs="Times New Roman"/>
      <w:sz w:val="18"/>
      <w:szCs w:val="18"/>
    </w:rPr>
  </w:style>
  <w:style w:type="character" w:customStyle="1" w:styleId="22">
    <w:name w:val="标题 Char"/>
    <w:basedOn w:val="13"/>
    <w:qFormat/>
    <w:uiPriority w:val="10"/>
    <w:rPr>
      <w:rFonts w:eastAsia="宋体" w:asciiTheme="majorHAnsi" w:hAnsiTheme="majorHAnsi" w:cstheme="majorBidi"/>
      <w:b/>
      <w:bCs/>
      <w:sz w:val="32"/>
      <w:szCs w:val="32"/>
    </w:rPr>
  </w:style>
  <w:style w:type="character" w:customStyle="1" w:styleId="23">
    <w:name w:val="纯文本 Char"/>
    <w:basedOn w:val="13"/>
    <w:semiHidden/>
    <w:qFormat/>
    <w:uiPriority w:val="99"/>
    <w:rPr>
      <w:rFonts w:ascii="宋体" w:hAnsi="Courier New" w:eastAsia="宋体" w:cs="Courier New"/>
      <w:szCs w:val="21"/>
    </w:rPr>
  </w:style>
  <w:style w:type="character" w:customStyle="1" w:styleId="24">
    <w:name w:val="页眉 字符"/>
    <w:basedOn w:val="13"/>
    <w:link w:val="8"/>
    <w:qFormat/>
    <w:uiPriority w:val="99"/>
    <w:rPr>
      <w:rFonts w:ascii="Times New Roman" w:hAnsi="Times New Roman" w:eastAsia="宋体" w:cs="Times New Roman"/>
      <w:sz w:val="18"/>
      <w:szCs w:val="18"/>
    </w:rPr>
  </w:style>
  <w:style w:type="paragraph" w:styleId="25">
    <w:name w:val="List Paragraph"/>
    <w:basedOn w:val="1"/>
    <w:qFormat/>
    <w:uiPriority w:val="34"/>
    <w:pPr>
      <w:ind w:firstLine="420" w:firstLineChars="200"/>
    </w:pPr>
  </w:style>
  <w:style w:type="character" w:customStyle="1" w:styleId="26">
    <w:name w:val="批注框文本 字符"/>
    <w:basedOn w:val="13"/>
    <w:link w:val="6"/>
    <w:semiHidden/>
    <w:qFormat/>
    <w:uiPriority w:val="99"/>
    <w:rPr>
      <w:rFonts w:ascii="Times New Roman" w:hAnsi="Times New Roman" w:eastAsia="宋体" w:cs="Times New Roman"/>
      <w:sz w:val="18"/>
      <w:szCs w:val="18"/>
    </w:rPr>
  </w:style>
  <w:style w:type="paragraph" w:customStyle="1" w:styleId="27">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character" w:customStyle="1" w:styleId="28">
    <w:name w:val="批注文字 字符"/>
    <w:basedOn w:val="13"/>
    <w:link w:val="3"/>
    <w:semiHidden/>
    <w:qFormat/>
    <w:uiPriority w:val="99"/>
    <w:rPr>
      <w:rFonts w:ascii="Times New Roman" w:hAnsi="Times New Roman" w:eastAsia="宋体" w:cs="Times New Roman"/>
      <w:kern w:val="2"/>
      <w:sz w:val="21"/>
    </w:rPr>
  </w:style>
  <w:style w:type="character" w:customStyle="1" w:styleId="29">
    <w:name w:val="批注主题 字符"/>
    <w:basedOn w:val="28"/>
    <w:link w:val="10"/>
    <w:semiHidden/>
    <w:qFormat/>
    <w:uiPriority w:val="99"/>
    <w:rPr>
      <w:rFonts w:ascii="Times New Roman" w:hAnsi="Times New Roman" w:eastAsia="宋体" w:cs="Times New Roman"/>
      <w:b/>
      <w:bCs/>
      <w:kern w:val="2"/>
      <w:sz w:val="21"/>
    </w:rPr>
  </w:style>
  <w:style w:type="paragraph" w:customStyle="1" w:styleId="30">
    <w:name w:val="修订1"/>
    <w:hidden/>
    <w:semiHidden/>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2545</Words>
  <Characters>2738</Characters>
  <Lines>22</Lines>
  <Paragraphs>6</Paragraphs>
  <TotalTime>2</TotalTime>
  <ScaleCrop>false</ScaleCrop>
  <LinksUpToDate>false</LinksUpToDate>
  <CharactersWithSpaces>2894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2021-03-17T07:37:00Z</dcterms:created>
  <dc:creator>User</dc:creator>
  <cp:lastModifiedBy>WPS_1673506211</cp:lastModifiedBy>
  <dcterms:modified xsi:type="dcterms:W3CDTF">2026-08-05T01:22:37Z</dcterms:modified>
  <cp:revision>709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777F4D14BED146D3A95D8C947156E662_13</vt:lpwstr>
  </property>
  <property fmtid="{D5CDD505-2E9C-101B-9397-08002B2CF9AE}" pid="4" name="KSOTemplateDocerSaveRecord">
    <vt:lpwstr>eyJoZGlkIjoiNWE0NWNiZTMxZmJiODYzYjFkMmI0Y2ZjMzAzZDc0MDYiLCJ1c2VySWQiOiIxNDY3NDY5MjU0In0=</vt:lpwstr>
  </property>
</Properties>
</file>