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53DBF">
      <w:pPr>
        <w:pStyle w:val="7"/>
        <w:adjustRightInd w:val="0"/>
        <w:snapToGrid w:val="0"/>
        <w:spacing w:before="0" w:after="0" w:line="360" w:lineRule="auto"/>
        <w:outlineLvl w:val="9"/>
        <w:rPr>
          <w:rFonts w:ascii="Times New Roman" w:hAnsi="Times New Roman" w:eastAsia="方正小标宋简体" w:cs="Times New Roman"/>
          <w:b w:val="0"/>
          <w:bCs w:val="0"/>
          <w:sz w:val="36"/>
        </w:rPr>
      </w:pPr>
      <w:bookmarkStart w:id="0" w:name="_Toc38367762"/>
      <w:r>
        <w:rPr>
          <w:rFonts w:ascii="Times New Roman" w:hAnsi="Times New Roman" w:eastAsia="方正小标宋简体" w:cs="Times New Roman"/>
          <w:b w:val="0"/>
          <w:bCs w:val="0"/>
          <w:sz w:val="36"/>
        </w:rPr>
        <w:t>【脉冲功率驱动源及同步触发设备】采购需求</w:t>
      </w:r>
      <w:bookmarkEnd w:id="0"/>
    </w:p>
    <w:p w14:paraId="117FE9C4">
      <w:pPr>
        <w:tabs>
          <w:tab w:val="left" w:pos="900"/>
        </w:tabs>
        <w:adjustRightInd w:val="0"/>
        <w:snapToGrid w:val="0"/>
        <w:spacing w:line="360" w:lineRule="auto"/>
        <w:ind w:firstLine="422" w:firstLineChars="200"/>
        <w:rPr>
          <w:b/>
          <w:szCs w:val="21"/>
        </w:rPr>
      </w:pPr>
      <w:bookmarkStart w:id="1" w:name="_Toc172360661"/>
      <w:bookmarkStart w:id="2" w:name="_Toc219271393"/>
      <w:bookmarkStart w:id="3" w:name="_Toc158978330"/>
      <w:r>
        <w:rPr>
          <w:b/>
          <w:szCs w:val="21"/>
        </w:rPr>
        <w:t>一、采购标的需实现的功能或者目标，以及为落实政府采购政策需满足的要求：</w:t>
      </w:r>
    </w:p>
    <w:p w14:paraId="3191B0B9">
      <w:pPr>
        <w:tabs>
          <w:tab w:val="left" w:pos="900"/>
        </w:tabs>
        <w:adjustRightInd w:val="0"/>
        <w:snapToGrid w:val="0"/>
        <w:spacing w:line="360" w:lineRule="auto"/>
        <w:ind w:firstLine="422" w:firstLineChars="200"/>
        <w:rPr>
          <w:b/>
          <w:szCs w:val="21"/>
        </w:rPr>
      </w:pPr>
      <w:r>
        <w:rPr>
          <w:b/>
          <w:szCs w:val="21"/>
        </w:rPr>
        <w:t>（一）采购标的需实现的功能或者目标</w:t>
      </w:r>
    </w:p>
    <w:p w14:paraId="66788ECC">
      <w:pPr>
        <w:tabs>
          <w:tab w:val="left" w:pos="900"/>
        </w:tabs>
        <w:adjustRightInd w:val="0"/>
        <w:snapToGrid w:val="0"/>
        <w:spacing w:line="360" w:lineRule="auto"/>
        <w:ind w:firstLine="420" w:firstLineChars="200"/>
        <w:rPr>
          <w:b/>
          <w:szCs w:val="21"/>
        </w:rPr>
      </w:pPr>
      <w:r>
        <w:rPr>
          <w:szCs w:val="24"/>
        </w:rPr>
        <w:t>本项目拟采购脉冲功率驱动系统1套；电缆考核平台1套。脉冲功率驱动系统由5台脉冲功率驱动源及一套同步触发设备组成；电缆考核平台由1台脉冲功率驱动源、配套测量设备及其他核心辅助配件构成。所有设备主要应用于闪光照相系统中动载荷飞片的加速试验、现场工况验证，以及电缆的综合性能评估。其中，脉冲功率驱动系统由5台脉冲功率驱动源与1套同步触发设备组建形成脉冲驱动源阵列，需具备单台独立运行、多台串联运行、多台并联运行及串并联组合运行等多种模式，且可实现分时、分步运行，满足不同试验工况的需求。电缆考核平台可完成对放电电缆的通流能力检测、绝缘性能验证、通电温升特性测试及使用寿命考核等全维度试验</w:t>
      </w:r>
      <w:r>
        <w:rPr>
          <w:b/>
          <w:szCs w:val="21"/>
        </w:rPr>
        <w:t>。</w:t>
      </w:r>
    </w:p>
    <w:p w14:paraId="7B24B3EE">
      <w:pPr>
        <w:tabs>
          <w:tab w:val="left" w:pos="900"/>
        </w:tabs>
        <w:adjustRightInd w:val="0"/>
        <w:snapToGrid w:val="0"/>
        <w:spacing w:line="360" w:lineRule="auto"/>
        <w:ind w:firstLine="422" w:firstLineChars="200"/>
        <w:rPr>
          <w:b/>
          <w:szCs w:val="21"/>
        </w:rPr>
      </w:pPr>
      <w:r>
        <w:rPr>
          <w:b/>
          <w:szCs w:val="21"/>
        </w:rPr>
        <w:t>（二）政府采购政策落实要求</w:t>
      </w:r>
    </w:p>
    <w:p w14:paraId="3C17DDD7">
      <w:pPr>
        <w:tabs>
          <w:tab w:val="left" w:pos="900"/>
        </w:tabs>
        <w:adjustRightInd w:val="0"/>
        <w:snapToGrid w:val="0"/>
        <w:spacing w:line="360" w:lineRule="auto"/>
        <w:ind w:firstLine="420" w:firstLineChars="200"/>
        <w:rPr>
          <w:szCs w:val="21"/>
        </w:rPr>
      </w:pPr>
      <w:r>
        <w:rPr>
          <w:szCs w:val="24"/>
        </w:rPr>
        <w:t>1. 中小企业扶持政策：根据</w:t>
      </w:r>
      <w:r>
        <w:t>《政府采购促进中小企业发展管理办法》（财库〔2020〕46号）规定，本项目采购标的为中小型企业制造、承建或承接</w:t>
      </w:r>
      <w:r>
        <w:rPr>
          <w:szCs w:val="24"/>
        </w:rPr>
        <w:t>的，</w:t>
      </w:r>
      <w:r>
        <w:t>投标人应提供办法规定的</w:t>
      </w:r>
      <w:r>
        <w:rPr>
          <w:szCs w:val="21"/>
        </w:rPr>
        <w:t>《中小企业声明函》，否则不得享受相关中小企业扶持政策</w:t>
      </w:r>
      <w:r>
        <w:rPr>
          <w:szCs w:val="24"/>
        </w:rPr>
        <w:t>。投标人应对提交的中小企业声明函的真实性负责，提交的中小企业声明函不真实的，应承担相应的法律责任</w:t>
      </w:r>
      <w:r>
        <w:rPr>
          <w:szCs w:val="21"/>
        </w:rPr>
        <w:t>。</w:t>
      </w:r>
    </w:p>
    <w:p w14:paraId="5548FE78">
      <w:pPr>
        <w:tabs>
          <w:tab w:val="left" w:pos="900"/>
        </w:tabs>
        <w:adjustRightInd w:val="0"/>
        <w:snapToGrid w:val="0"/>
        <w:spacing w:line="360" w:lineRule="auto"/>
        <w:ind w:firstLine="420" w:firstLineChars="200"/>
        <w:rPr>
          <w:szCs w:val="24"/>
        </w:rPr>
      </w:pPr>
      <w:r>
        <w:rPr>
          <w:szCs w:val="24"/>
        </w:rPr>
        <w:t>本项目</w:t>
      </w:r>
      <w:bookmarkStart w:id="4" w:name="OLE_LINK23"/>
      <w:r>
        <w:rPr>
          <w:szCs w:val="24"/>
        </w:rPr>
        <w:t>采购标的对应的《中小企业划型标准规定》所属行业</w:t>
      </w:r>
      <w:bookmarkEnd w:id="4"/>
      <w:r>
        <w:rPr>
          <w:szCs w:val="24"/>
        </w:rPr>
        <w:t>为：</w:t>
      </w:r>
      <w:r>
        <w:rPr>
          <w:szCs w:val="24"/>
          <w:u w:val="single"/>
        </w:rPr>
        <w:t xml:space="preserve">  工业   </w:t>
      </w:r>
      <w:r>
        <w:rPr>
          <w:szCs w:val="24"/>
        </w:rPr>
        <w:t>。</w:t>
      </w:r>
    </w:p>
    <w:p w14:paraId="5FB7134C">
      <w:pPr>
        <w:tabs>
          <w:tab w:val="left" w:pos="900"/>
        </w:tabs>
        <w:adjustRightInd w:val="0"/>
        <w:snapToGrid w:val="0"/>
        <w:spacing w:line="360" w:lineRule="auto"/>
        <w:ind w:firstLine="420" w:firstLineChars="200"/>
        <w:rPr>
          <w:szCs w:val="24"/>
        </w:rPr>
      </w:pPr>
      <w:r>
        <w:rPr>
          <w:szCs w:val="24"/>
        </w:rPr>
        <w:t>2. 进口产品政策：本采购项目 □允许 ☑不允许 进口产品参加。（未进行勾选的，视为只接受本国产品参加）</w:t>
      </w:r>
    </w:p>
    <w:p w14:paraId="5BB9B24F">
      <w:pPr>
        <w:tabs>
          <w:tab w:val="left" w:pos="900"/>
        </w:tabs>
        <w:adjustRightInd w:val="0"/>
        <w:snapToGrid w:val="0"/>
        <w:spacing w:line="360" w:lineRule="auto"/>
        <w:ind w:firstLine="422" w:firstLineChars="200"/>
        <w:rPr>
          <w:b/>
          <w:szCs w:val="21"/>
        </w:rPr>
      </w:pPr>
      <w:r>
        <w:rPr>
          <w:b/>
          <w:szCs w:val="21"/>
        </w:rPr>
        <w:t>二、采购标的需执行的国家相关标准、行业标准、地方标准或者其他标准、规范：</w:t>
      </w:r>
    </w:p>
    <w:p w14:paraId="52B48AEF">
      <w:pPr>
        <w:tabs>
          <w:tab w:val="left" w:pos="900"/>
        </w:tabs>
        <w:adjustRightInd w:val="0"/>
        <w:snapToGrid w:val="0"/>
        <w:spacing w:line="360" w:lineRule="auto"/>
        <w:ind w:firstLine="420" w:firstLineChars="200"/>
      </w:pPr>
      <w:r>
        <w:t>脉冲源中各分项部件（主要包括直流电源、脉冲电容器、固态开关等）需满足相应的国家标准，具体包括但不限于：高压直流充电电源</w:t>
      </w:r>
      <w:r>
        <w:rPr>
          <w:rFonts w:hint="eastAsia"/>
        </w:rPr>
        <w:t>应</w:t>
      </w:r>
      <w:r>
        <w:t>符合 DL/T 848.1-2019 技术要求、脉冲电容器应符合JB／T 8168-2023标准、固态开关</w:t>
      </w:r>
      <w:r>
        <w:rPr>
          <w:rFonts w:hint="eastAsia"/>
        </w:rPr>
        <w:t>应</w:t>
      </w:r>
      <w:r>
        <w:t>依据GB/T 29332-2012、GB/T 15291-2015检测，整机电气安全、防护等级、环境可靠性需满足 GB 4793.1-2020、GB 4793.2-2019 等环境标准。</w:t>
      </w:r>
    </w:p>
    <w:p w14:paraId="31746BE3">
      <w:pPr>
        <w:tabs>
          <w:tab w:val="left" w:pos="900"/>
        </w:tabs>
        <w:adjustRightInd w:val="0"/>
        <w:snapToGrid w:val="0"/>
        <w:spacing w:line="360" w:lineRule="auto"/>
        <w:ind w:firstLine="422" w:firstLineChars="200"/>
        <w:rPr>
          <w:b/>
          <w:szCs w:val="21"/>
        </w:rPr>
      </w:pPr>
      <w:r>
        <w:rPr>
          <w:b/>
          <w:szCs w:val="21"/>
        </w:rPr>
        <w:t>三、采购标的概况</w:t>
      </w:r>
    </w:p>
    <w:p w14:paraId="1E0E55C7">
      <w:pPr>
        <w:adjustRightInd w:val="0"/>
        <w:snapToGrid w:val="0"/>
        <w:spacing w:line="360" w:lineRule="auto"/>
        <w:ind w:firstLine="420" w:firstLineChars="200"/>
        <w:rPr>
          <w:szCs w:val="21"/>
        </w:rPr>
      </w:pPr>
      <w:r>
        <w:rPr>
          <w:szCs w:val="21"/>
        </w:rPr>
        <w:t>（一）采购项目名称：</w:t>
      </w:r>
      <w:r>
        <w:rPr>
          <w:szCs w:val="21"/>
          <w:u w:val="single"/>
        </w:rPr>
        <w:t xml:space="preserve"> 脉冲功率驱动源及同步触发设备                                </w:t>
      </w:r>
    </w:p>
    <w:p w14:paraId="6951652A">
      <w:pPr>
        <w:adjustRightInd w:val="0"/>
        <w:snapToGrid w:val="0"/>
        <w:spacing w:line="360" w:lineRule="auto"/>
        <w:ind w:firstLine="420" w:firstLineChars="200"/>
        <w:rPr>
          <w:szCs w:val="21"/>
          <w:u w:val="single"/>
        </w:rPr>
      </w:pPr>
      <w:r>
        <w:rPr>
          <w:szCs w:val="21"/>
        </w:rPr>
        <w:t>（二）采购数量及计量单位：</w:t>
      </w:r>
      <w:r>
        <w:rPr>
          <w:szCs w:val="24"/>
          <w:u w:val="single"/>
        </w:rPr>
        <w:t>脉冲功率驱动系统1套；电缆考核平台1套;</w:t>
      </w:r>
      <w:r>
        <w:rPr>
          <w:szCs w:val="21"/>
          <w:u w:val="single"/>
        </w:rPr>
        <w:t xml:space="preserve">            </w:t>
      </w:r>
    </w:p>
    <w:p w14:paraId="29201301">
      <w:pPr>
        <w:adjustRightInd w:val="0"/>
        <w:snapToGrid w:val="0"/>
        <w:spacing w:line="360" w:lineRule="auto"/>
        <w:ind w:firstLine="420" w:firstLineChars="200"/>
        <w:rPr>
          <w:szCs w:val="21"/>
        </w:rPr>
      </w:pPr>
      <w:r>
        <w:rPr>
          <w:szCs w:val="21"/>
        </w:rPr>
        <w:t>（三）最高限价：人民币</w:t>
      </w:r>
      <w:r>
        <w:rPr>
          <w:szCs w:val="21"/>
          <w:u w:val="single"/>
        </w:rPr>
        <w:t xml:space="preserve">  908 万</w:t>
      </w:r>
      <w:r>
        <w:rPr>
          <w:szCs w:val="21"/>
        </w:rPr>
        <w:t>元（大写：</w:t>
      </w:r>
      <w:r>
        <w:rPr>
          <w:szCs w:val="21"/>
          <w:u w:val="single"/>
        </w:rPr>
        <w:t xml:space="preserve">  玖佰零捌万元整                  </w:t>
      </w:r>
      <w:r>
        <w:rPr>
          <w:szCs w:val="21"/>
        </w:rPr>
        <w:t>）</w:t>
      </w:r>
    </w:p>
    <w:p w14:paraId="71778B9E">
      <w:pPr>
        <w:adjustRightInd w:val="0"/>
        <w:snapToGrid w:val="0"/>
        <w:spacing w:line="360" w:lineRule="auto"/>
        <w:ind w:firstLine="420" w:firstLineChars="200"/>
        <w:rPr>
          <w:szCs w:val="21"/>
        </w:rPr>
      </w:pPr>
      <w:r>
        <w:rPr>
          <w:szCs w:val="21"/>
        </w:rPr>
        <w:t>（四）交付时间：</w:t>
      </w:r>
      <w:r>
        <w:t>合同签订后</w:t>
      </w:r>
      <w:r>
        <w:rPr>
          <w:u w:val="single"/>
        </w:rPr>
        <w:t xml:space="preserve">  270 </w:t>
      </w:r>
      <w:r>
        <w:t>天内</w:t>
      </w:r>
    </w:p>
    <w:p w14:paraId="563EAA1F">
      <w:pPr>
        <w:tabs>
          <w:tab w:val="left" w:pos="420"/>
          <w:tab w:val="left" w:pos="900"/>
        </w:tabs>
        <w:adjustRightInd w:val="0"/>
        <w:snapToGrid w:val="0"/>
        <w:spacing w:line="360" w:lineRule="auto"/>
        <w:ind w:firstLine="420" w:firstLineChars="200"/>
        <w:rPr>
          <w:szCs w:val="21"/>
        </w:rPr>
      </w:pPr>
      <w:r>
        <w:rPr>
          <w:szCs w:val="21"/>
        </w:rPr>
        <w:t>（五）交付地点：</w:t>
      </w:r>
      <w:r>
        <w:rPr>
          <w:szCs w:val="21"/>
          <w:u w:val="single"/>
        </w:rPr>
        <w:t xml:space="preserve">  西安交通大学创新港E板块大科学装置园区闪光照相楼            </w:t>
      </w:r>
    </w:p>
    <w:p w14:paraId="25048709">
      <w:pPr>
        <w:tabs>
          <w:tab w:val="left" w:pos="900"/>
        </w:tabs>
        <w:adjustRightInd w:val="0"/>
        <w:snapToGrid w:val="0"/>
        <w:spacing w:line="360" w:lineRule="auto"/>
        <w:ind w:firstLine="420" w:firstLineChars="200"/>
        <w:rPr>
          <w:szCs w:val="21"/>
        </w:rPr>
      </w:pPr>
      <w:r>
        <w:rPr>
          <w:szCs w:val="21"/>
        </w:rPr>
        <w:t>（六）付款进度安排：</w:t>
      </w:r>
      <w:r>
        <w:rPr>
          <w:b/>
          <w:kern w:val="0"/>
          <w:szCs w:val="21"/>
        </w:rPr>
        <w:t>☑</w:t>
      </w:r>
      <w:r>
        <w:rPr>
          <w:szCs w:val="21"/>
        </w:rPr>
        <w:t xml:space="preserve"> 按采购文件要求。</w:t>
      </w:r>
    </w:p>
    <w:p w14:paraId="76F869F3">
      <w:pPr>
        <w:tabs>
          <w:tab w:val="left" w:pos="900"/>
        </w:tabs>
        <w:adjustRightInd w:val="0"/>
        <w:snapToGrid w:val="0"/>
        <w:spacing w:line="360" w:lineRule="auto"/>
        <w:ind w:firstLine="402" w:firstLineChars="200"/>
        <w:rPr>
          <w:szCs w:val="21"/>
        </w:rPr>
        <w:sectPr>
          <w:footerReference r:id="rId3" w:type="default"/>
          <w:pgSz w:w="11906" w:h="16838"/>
          <w:pgMar w:top="1871" w:right="1418" w:bottom="1588" w:left="1418" w:header="851" w:footer="992" w:gutter="0"/>
          <w:pgBorders>
            <w:top w:val="none" w:sz="0" w:space="0"/>
            <w:left w:val="none" w:sz="0" w:space="0"/>
            <w:bottom w:val="none" w:sz="0" w:space="0"/>
            <w:right w:val="none" w:sz="0" w:space="0"/>
          </w:pgBorders>
          <w:pgNumType w:start="1"/>
          <w:cols w:space="425" w:num="1"/>
          <w:docGrid w:type="lines" w:linePitch="312" w:charSpace="0"/>
        </w:sectPr>
      </w:pPr>
      <w:r>
        <w:rPr>
          <w:b/>
          <w:kern w:val="0"/>
          <w:sz w:val="20"/>
          <w:szCs w:val="21"/>
        </w:rPr>
        <w:tab/>
      </w:r>
      <w:r>
        <w:rPr>
          <w:b/>
          <w:kern w:val="0"/>
          <w:sz w:val="20"/>
          <w:szCs w:val="21"/>
        </w:rPr>
        <w:tab/>
      </w:r>
      <w:r>
        <w:rPr>
          <w:b/>
          <w:kern w:val="0"/>
          <w:sz w:val="20"/>
          <w:szCs w:val="21"/>
        </w:rPr>
        <w:tab/>
      </w:r>
      <w:r>
        <w:rPr>
          <w:b/>
          <w:kern w:val="0"/>
          <w:sz w:val="20"/>
          <w:szCs w:val="21"/>
        </w:rPr>
        <w:tab/>
      </w:r>
      <w:r>
        <w:rPr>
          <w:b/>
          <w:kern w:val="0"/>
          <w:sz w:val="20"/>
          <w:szCs w:val="21"/>
        </w:rPr>
        <w:tab/>
      </w:r>
      <w:r>
        <w:rPr>
          <w:b/>
          <w:kern w:val="0"/>
          <w:sz w:val="20"/>
          <w:szCs w:val="21"/>
        </w:rPr>
        <w:t>□</w:t>
      </w:r>
      <w:r>
        <w:rPr>
          <w:szCs w:val="21"/>
        </w:rPr>
        <w:t>其他要求：</w:t>
      </w:r>
      <w:r>
        <w:rPr>
          <w:szCs w:val="21"/>
          <w:u w:val="single"/>
        </w:rPr>
        <w:t xml:space="preserve">货到验收合格后一次性付款95% ；一年后无质量问题无息付剩余5% </w:t>
      </w:r>
      <w:r>
        <w:rPr>
          <w:szCs w:val="21"/>
        </w:rPr>
        <w:t>。</w:t>
      </w:r>
    </w:p>
    <w:p w14:paraId="272DA5F8">
      <w:pPr>
        <w:tabs>
          <w:tab w:val="left" w:pos="900"/>
        </w:tabs>
        <w:adjustRightInd w:val="0"/>
        <w:snapToGrid w:val="0"/>
        <w:spacing w:line="360" w:lineRule="auto"/>
        <w:ind w:firstLine="420" w:firstLineChars="200"/>
        <w:rPr>
          <w:szCs w:val="21"/>
        </w:rPr>
      </w:pPr>
    </w:p>
    <w:p w14:paraId="76851DBA">
      <w:pPr>
        <w:tabs>
          <w:tab w:val="left" w:pos="900"/>
        </w:tabs>
        <w:spacing w:line="276" w:lineRule="auto"/>
        <w:ind w:left="-2" w:leftChars="-1" w:firstLine="1"/>
        <w:jc w:val="center"/>
        <w:rPr>
          <w:szCs w:val="21"/>
        </w:rPr>
      </w:pPr>
      <w:r>
        <w:rPr>
          <w:szCs w:val="21"/>
        </w:rPr>
        <w:t xml:space="preserve">表1 </w:t>
      </w:r>
      <w:r>
        <w:rPr>
          <w:rFonts w:hint="eastAsia"/>
          <w:szCs w:val="21"/>
        </w:rPr>
        <w:t>脉冲功率驱动</w:t>
      </w:r>
      <w:r>
        <w:rPr>
          <w:rFonts w:hint="eastAsia"/>
          <w:szCs w:val="21"/>
          <w:highlight w:val="none"/>
        </w:rPr>
        <w:t>系统与电缆考核平台</w:t>
      </w:r>
      <w:r>
        <w:rPr>
          <w:szCs w:val="21"/>
          <w:highlight w:val="none"/>
        </w:rPr>
        <w:t>采购清单</w:t>
      </w:r>
      <w:r>
        <w:rPr>
          <w:rFonts w:hint="eastAsia"/>
          <w:szCs w:val="21"/>
          <w:highlight w:val="none"/>
        </w:rPr>
        <w:t>(</w:t>
      </w:r>
      <w:r>
        <w:rPr>
          <w:rFonts w:hint="eastAsia"/>
          <w:szCs w:val="21"/>
          <w:highlight w:val="none"/>
          <w:lang w:val="en-US" w:eastAsia="zh-CN"/>
        </w:rPr>
        <w:t>需</w:t>
      </w:r>
      <w:r>
        <w:rPr>
          <w:rFonts w:hint="eastAsia"/>
          <w:szCs w:val="21"/>
          <w:highlight w:val="none"/>
        </w:rPr>
        <w:t>分项报价</w:t>
      </w:r>
      <w:r>
        <w:rPr>
          <w:szCs w:val="21"/>
          <w:highlight w:val="none"/>
        </w:rPr>
        <w:t>)</w:t>
      </w:r>
    </w:p>
    <w:tbl>
      <w:tblPr>
        <w:tblStyle w:val="9"/>
        <w:tblW w:w="0" w:type="auto"/>
        <w:jc w:val="center"/>
        <w:tblLayout w:type="autofit"/>
        <w:tblCellMar>
          <w:top w:w="0" w:type="dxa"/>
          <w:left w:w="108" w:type="dxa"/>
          <w:bottom w:w="0" w:type="dxa"/>
          <w:right w:w="108" w:type="dxa"/>
        </w:tblCellMar>
      </w:tblPr>
      <w:tblGrid>
        <w:gridCol w:w="1896"/>
        <w:gridCol w:w="5046"/>
        <w:gridCol w:w="4416"/>
        <w:gridCol w:w="800"/>
      </w:tblGrid>
      <w:tr w14:paraId="49A2D711">
        <w:tblPrEx>
          <w:tblCellMar>
            <w:top w:w="0" w:type="dxa"/>
            <w:left w:w="108" w:type="dxa"/>
            <w:bottom w:w="0" w:type="dxa"/>
            <w:right w:w="108" w:type="dxa"/>
          </w:tblCellMar>
        </w:tblPrEx>
        <w:trPr>
          <w:trHeight w:val="280" w:hRule="atLeast"/>
          <w:jc w:val="center"/>
        </w:trPr>
        <w:tc>
          <w:tcPr>
            <w:tcW w:w="0" w:type="auto"/>
            <w:tcBorders>
              <w:top w:val="single" w:color="auto" w:sz="4" w:space="0"/>
              <w:left w:val="single" w:color="auto" w:sz="4" w:space="0"/>
              <w:bottom w:val="nil"/>
              <w:right w:val="single" w:color="auto" w:sz="4" w:space="0"/>
            </w:tcBorders>
            <w:noWrap/>
            <w:vAlign w:val="center"/>
          </w:tcPr>
          <w:p w14:paraId="294B896C">
            <w:pPr>
              <w:widowControl/>
              <w:spacing w:line="276" w:lineRule="auto"/>
              <w:jc w:val="center"/>
              <w:rPr>
                <w:kern w:val="0"/>
                <w:szCs w:val="21"/>
              </w:rPr>
            </w:pPr>
            <w:r>
              <w:rPr>
                <w:kern w:val="0"/>
                <w:szCs w:val="21"/>
              </w:rPr>
              <w:t>系统</w:t>
            </w:r>
          </w:p>
        </w:tc>
        <w:tc>
          <w:tcPr>
            <w:tcW w:w="0" w:type="auto"/>
            <w:tcBorders>
              <w:top w:val="single" w:color="auto" w:sz="4" w:space="0"/>
              <w:left w:val="nil"/>
              <w:bottom w:val="single" w:color="auto" w:sz="4" w:space="0"/>
              <w:right w:val="single" w:color="auto" w:sz="4" w:space="0"/>
            </w:tcBorders>
            <w:noWrap/>
            <w:vAlign w:val="center"/>
          </w:tcPr>
          <w:p w14:paraId="0AEBCD3D">
            <w:pPr>
              <w:widowControl/>
              <w:spacing w:line="276" w:lineRule="auto"/>
              <w:jc w:val="center"/>
              <w:rPr>
                <w:kern w:val="0"/>
                <w:szCs w:val="21"/>
              </w:rPr>
            </w:pPr>
            <w:r>
              <w:rPr>
                <w:kern w:val="0"/>
                <w:szCs w:val="21"/>
              </w:rPr>
              <w:t>关键部件名称</w:t>
            </w:r>
          </w:p>
        </w:tc>
        <w:tc>
          <w:tcPr>
            <w:tcW w:w="4416" w:type="dxa"/>
            <w:tcBorders>
              <w:top w:val="single" w:color="auto" w:sz="4" w:space="0"/>
              <w:left w:val="nil"/>
              <w:bottom w:val="single" w:color="auto" w:sz="4" w:space="0"/>
              <w:right w:val="single" w:color="auto" w:sz="4" w:space="0"/>
            </w:tcBorders>
            <w:noWrap/>
            <w:vAlign w:val="center"/>
          </w:tcPr>
          <w:p w14:paraId="199A76CD">
            <w:pPr>
              <w:widowControl/>
              <w:spacing w:line="276" w:lineRule="auto"/>
              <w:jc w:val="center"/>
              <w:rPr>
                <w:kern w:val="0"/>
                <w:szCs w:val="21"/>
              </w:rPr>
            </w:pPr>
            <w:r>
              <w:rPr>
                <w:kern w:val="0"/>
                <w:szCs w:val="21"/>
              </w:rPr>
              <w:t>功能</w:t>
            </w:r>
          </w:p>
        </w:tc>
        <w:tc>
          <w:tcPr>
            <w:tcW w:w="800" w:type="dxa"/>
            <w:tcBorders>
              <w:top w:val="single" w:color="auto" w:sz="4" w:space="0"/>
              <w:left w:val="nil"/>
              <w:bottom w:val="single" w:color="auto" w:sz="4" w:space="0"/>
              <w:right w:val="single" w:color="auto" w:sz="4" w:space="0"/>
            </w:tcBorders>
            <w:noWrap/>
            <w:vAlign w:val="center"/>
          </w:tcPr>
          <w:p w14:paraId="5AA9DD4A">
            <w:pPr>
              <w:widowControl/>
              <w:spacing w:line="276" w:lineRule="auto"/>
              <w:jc w:val="center"/>
              <w:rPr>
                <w:kern w:val="0"/>
                <w:szCs w:val="21"/>
              </w:rPr>
            </w:pPr>
            <w:r>
              <w:rPr>
                <w:kern w:val="0"/>
                <w:szCs w:val="21"/>
              </w:rPr>
              <w:t>数量</w:t>
            </w:r>
          </w:p>
        </w:tc>
      </w:tr>
      <w:tr w14:paraId="5EF1641C">
        <w:tblPrEx>
          <w:tblCellMar>
            <w:top w:w="0" w:type="dxa"/>
            <w:left w:w="108" w:type="dxa"/>
            <w:bottom w:w="0" w:type="dxa"/>
            <w:right w:w="108" w:type="dxa"/>
          </w:tblCellMar>
        </w:tblPrEx>
        <w:trPr>
          <w:trHeight w:val="280" w:hRule="atLeast"/>
          <w:jc w:val="center"/>
        </w:trPr>
        <w:tc>
          <w:tcPr>
            <w:tcW w:w="0" w:type="auto"/>
            <w:vMerge w:val="restart"/>
            <w:tcBorders>
              <w:top w:val="nil"/>
              <w:left w:val="single" w:color="auto" w:sz="4" w:space="0"/>
              <w:bottom w:val="single" w:color="auto" w:sz="4" w:space="0"/>
              <w:right w:val="single" w:color="auto" w:sz="4" w:space="0"/>
            </w:tcBorders>
            <w:noWrap/>
            <w:vAlign w:val="center"/>
          </w:tcPr>
          <w:p w14:paraId="1E301D99">
            <w:pPr>
              <w:widowControl/>
              <w:spacing w:line="276" w:lineRule="auto"/>
              <w:jc w:val="left"/>
              <w:rPr>
                <w:kern w:val="0"/>
                <w:szCs w:val="21"/>
              </w:rPr>
            </w:pPr>
            <w:r>
              <w:rPr>
                <w:rFonts w:hint="eastAsia"/>
                <w:kern w:val="0"/>
                <w:szCs w:val="21"/>
              </w:rPr>
              <w:t>脉冲功率驱动系统</w:t>
            </w:r>
          </w:p>
        </w:tc>
        <w:tc>
          <w:tcPr>
            <w:tcW w:w="0" w:type="auto"/>
            <w:tcBorders>
              <w:top w:val="nil"/>
              <w:left w:val="nil"/>
              <w:bottom w:val="single" w:color="auto" w:sz="4" w:space="0"/>
              <w:right w:val="single" w:color="auto" w:sz="4" w:space="0"/>
            </w:tcBorders>
            <w:noWrap/>
            <w:vAlign w:val="center"/>
          </w:tcPr>
          <w:p w14:paraId="66279554">
            <w:pPr>
              <w:widowControl/>
              <w:spacing w:line="276" w:lineRule="auto"/>
              <w:jc w:val="left"/>
              <w:rPr>
                <w:kern w:val="0"/>
                <w:szCs w:val="21"/>
              </w:rPr>
            </w:pPr>
            <w:r>
              <w:rPr>
                <w:rFonts w:hint="eastAsia"/>
                <w:kern w:val="0"/>
                <w:szCs w:val="21"/>
              </w:rPr>
              <w:t>高压直流电源</w:t>
            </w:r>
          </w:p>
        </w:tc>
        <w:tc>
          <w:tcPr>
            <w:tcW w:w="4416" w:type="dxa"/>
            <w:tcBorders>
              <w:top w:val="nil"/>
              <w:left w:val="nil"/>
              <w:bottom w:val="single" w:color="auto" w:sz="4" w:space="0"/>
              <w:right w:val="single" w:color="auto" w:sz="4" w:space="0"/>
            </w:tcBorders>
            <w:noWrap/>
            <w:vAlign w:val="center"/>
          </w:tcPr>
          <w:p w14:paraId="0053EB71">
            <w:pPr>
              <w:widowControl/>
              <w:spacing w:line="276" w:lineRule="auto"/>
              <w:jc w:val="left"/>
              <w:rPr>
                <w:kern w:val="0"/>
                <w:szCs w:val="21"/>
              </w:rPr>
            </w:pPr>
            <w:r>
              <w:rPr>
                <w:rFonts w:hint="eastAsia"/>
                <w:kern w:val="0"/>
                <w:szCs w:val="21"/>
              </w:rPr>
              <w:t>用于脉冲源充电</w:t>
            </w:r>
          </w:p>
        </w:tc>
        <w:tc>
          <w:tcPr>
            <w:tcW w:w="800" w:type="dxa"/>
            <w:tcBorders>
              <w:top w:val="nil"/>
              <w:left w:val="nil"/>
              <w:bottom w:val="single" w:color="auto" w:sz="4" w:space="0"/>
              <w:right w:val="single" w:color="auto" w:sz="4" w:space="0"/>
            </w:tcBorders>
            <w:noWrap/>
            <w:vAlign w:val="center"/>
          </w:tcPr>
          <w:p w14:paraId="46965F75">
            <w:pPr>
              <w:widowControl/>
              <w:spacing w:line="276" w:lineRule="auto"/>
              <w:jc w:val="left"/>
              <w:rPr>
                <w:kern w:val="0"/>
                <w:szCs w:val="21"/>
              </w:rPr>
            </w:pPr>
            <w:r>
              <w:rPr>
                <w:rFonts w:hint="eastAsia"/>
                <w:kern w:val="0"/>
                <w:szCs w:val="21"/>
              </w:rPr>
              <w:t>5</w:t>
            </w:r>
            <w:r>
              <w:rPr>
                <w:kern w:val="0"/>
                <w:szCs w:val="21"/>
              </w:rPr>
              <w:t>套</w:t>
            </w:r>
          </w:p>
        </w:tc>
      </w:tr>
      <w:tr w14:paraId="239472E0">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1D53F3A9">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79BE7E87">
            <w:pPr>
              <w:widowControl/>
              <w:spacing w:line="276" w:lineRule="auto"/>
              <w:jc w:val="left"/>
              <w:rPr>
                <w:kern w:val="0"/>
                <w:szCs w:val="21"/>
              </w:rPr>
            </w:pPr>
            <w:r>
              <w:rPr>
                <w:rFonts w:hint="eastAsia"/>
                <w:kern w:val="0"/>
                <w:szCs w:val="21"/>
              </w:rPr>
              <w:t>脉冲电容器</w:t>
            </w:r>
          </w:p>
        </w:tc>
        <w:tc>
          <w:tcPr>
            <w:tcW w:w="4416" w:type="dxa"/>
            <w:tcBorders>
              <w:top w:val="nil"/>
              <w:left w:val="nil"/>
              <w:bottom w:val="single" w:color="auto" w:sz="4" w:space="0"/>
              <w:right w:val="single" w:color="auto" w:sz="4" w:space="0"/>
            </w:tcBorders>
            <w:noWrap/>
            <w:vAlign w:val="center"/>
          </w:tcPr>
          <w:p w14:paraId="5A68BBFF">
            <w:pPr>
              <w:widowControl/>
              <w:spacing w:line="276" w:lineRule="auto"/>
              <w:jc w:val="left"/>
              <w:rPr>
                <w:kern w:val="0"/>
                <w:szCs w:val="21"/>
              </w:rPr>
            </w:pPr>
            <w:r>
              <w:rPr>
                <w:rFonts w:hint="eastAsia"/>
                <w:kern w:val="0"/>
                <w:szCs w:val="21"/>
              </w:rPr>
              <w:t>用于储存电能</w:t>
            </w:r>
          </w:p>
        </w:tc>
        <w:tc>
          <w:tcPr>
            <w:tcW w:w="800" w:type="dxa"/>
            <w:tcBorders>
              <w:top w:val="nil"/>
              <w:left w:val="nil"/>
              <w:bottom w:val="single" w:color="auto" w:sz="4" w:space="0"/>
              <w:right w:val="single" w:color="auto" w:sz="4" w:space="0"/>
            </w:tcBorders>
            <w:noWrap/>
            <w:vAlign w:val="center"/>
          </w:tcPr>
          <w:p w14:paraId="207D2182">
            <w:pPr>
              <w:widowControl/>
              <w:spacing w:line="276" w:lineRule="auto"/>
              <w:jc w:val="left"/>
              <w:rPr>
                <w:kern w:val="0"/>
                <w:szCs w:val="21"/>
              </w:rPr>
            </w:pPr>
            <w:r>
              <w:rPr>
                <w:rFonts w:hint="eastAsia"/>
                <w:kern w:val="0"/>
                <w:szCs w:val="21"/>
              </w:rPr>
              <w:t>5</w:t>
            </w:r>
            <w:r>
              <w:rPr>
                <w:kern w:val="0"/>
                <w:szCs w:val="21"/>
              </w:rPr>
              <w:t>套</w:t>
            </w:r>
          </w:p>
        </w:tc>
      </w:tr>
      <w:tr w14:paraId="1B493060">
        <w:tblPrEx>
          <w:tblCellMar>
            <w:top w:w="0" w:type="dxa"/>
            <w:left w:w="108" w:type="dxa"/>
            <w:bottom w:w="0" w:type="dxa"/>
            <w:right w:w="108" w:type="dxa"/>
          </w:tblCellMar>
        </w:tblPrEx>
        <w:trPr>
          <w:trHeight w:val="286"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2AC65C32">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1A48B8CB">
            <w:pPr>
              <w:widowControl/>
              <w:spacing w:line="276" w:lineRule="auto"/>
              <w:jc w:val="left"/>
              <w:rPr>
                <w:kern w:val="0"/>
                <w:szCs w:val="21"/>
              </w:rPr>
            </w:pPr>
            <w:r>
              <w:rPr>
                <w:rFonts w:hint="eastAsia"/>
                <w:kern w:val="0"/>
                <w:szCs w:val="21"/>
              </w:rPr>
              <w:t>固态开关组</w:t>
            </w:r>
          </w:p>
        </w:tc>
        <w:tc>
          <w:tcPr>
            <w:tcW w:w="4416" w:type="dxa"/>
            <w:tcBorders>
              <w:top w:val="nil"/>
              <w:left w:val="nil"/>
              <w:bottom w:val="single" w:color="auto" w:sz="4" w:space="0"/>
              <w:right w:val="single" w:color="auto" w:sz="4" w:space="0"/>
            </w:tcBorders>
            <w:noWrap/>
            <w:vAlign w:val="center"/>
          </w:tcPr>
          <w:p w14:paraId="3A1033A9">
            <w:pPr>
              <w:widowControl/>
              <w:spacing w:line="276" w:lineRule="auto"/>
              <w:jc w:val="left"/>
              <w:rPr>
                <w:kern w:val="0"/>
                <w:szCs w:val="21"/>
              </w:rPr>
            </w:pPr>
            <w:r>
              <w:rPr>
                <w:rFonts w:hint="eastAsia"/>
                <w:kern w:val="0"/>
                <w:szCs w:val="21"/>
              </w:rPr>
              <w:t>用于控制放电过程</w:t>
            </w:r>
          </w:p>
        </w:tc>
        <w:tc>
          <w:tcPr>
            <w:tcW w:w="800" w:type="dxa"/>
            <w:tcBorders>
              <w:top w:val="nil"/>
              <w:left w:val="nil"/>
              <w:bottom w:val="single" w:color="auto" w:sz="4" w:space="0"/>
              <w:right w:val="single" w:color="auto" w:sz="4" w:space="0"/>
            </w:tcBorders>
            <w:noWrap/>
            <w:vAlign w:val="center"/>
          </w:tcPr>
          <w:p w14:paraId="5F5B7CE2">
            <w:pPr>
              <w:widowControl/>
              <w:spacing w:line="276" w:lineRule="auto"/>
              <w:jc w:val="left"/>
              <w:rPr>
                <w:kern w:val="0"/>
                <w:szCs w:val="21"/>
              </w:rPr>
            </w:pPr>
            <w:r>
              <w:rPr>
                <w:rFonts w:hint="eastAsia"/>
                <w:kern w:val="0"/>
                <w:szCs w:val="21"/>
              </w:rPr>
              <w:t>5</w:t>
            </w:r>
            <w:r>
              <w:rPr>
                <w:kern w:val="0"/>
                <w:szCs w:val="21"/>
              </w:rPr>
              <w:t>套</w:t>
            </w:r>
          </w:p>
        </w:tc>
      </w:tr>
      <w:tr w14:paraId="58E741CA">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6A96D981">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1E3AB889">
            <w:pPr>
              <w:widowControl/>
              <w:spacing w:line="276" w:lineRule="auto"/>
              <w:jc w:val="left"/>
              <w:rPr>
                <w:kern w:val="0"/>
                <w:szCs w:val="21"/>
              </w:rPr>
            </w:pPr>
            <w:r>
              <w:rPr>
                <w:rFonts w:hint="eastAsia"/>
                <w:kern w:val="0"/>
                <w:szCs w:val="21"/>
              </w:rPr>
              <w:t>高压输出电缆</w:t>
            </w:r>
          </w:p>
        </w:tc>
        <w:tc>
          <w:tcPr>
            <w:tcW w:w="4416" w:type="dxa"/>
            <w:tcBorders>
              <w:top w:val="nil"/>
              <w:left w:val="nil"/>
              <w:bottom w:val="single" w:color="auto" w:sz="4" w:space="0"/>
              <w:right w:val="single" w:color="auto" w:sz="4" w:space="0"/>
            </w:tcBorders>
            <w:noWrap/>
            <w:vAlign w:val="center"/>
          </w:tcPr>
          <w:p w14:paraId="566BAB0A">
            <w:pPr>
              <w:widowControl/>
              <w:spacing w:line="276" w:lineRule="auto"/>
              <w:jc w:val="left"/>
              <w:rPr>
                <w:kern w:val="0"/>
                <w:szCs w:val="21"/>
              </w:rPr>
            </w:pPr>
            <w:r>
              <w:rPr>
                <w:rFonts w:hint="eastAsia"/>
                <w:kern w:val="0"/>
                <w:szCs w:val="21"/>
              </w:rPr>
              <w:t>用于传输电能</w:t>
            </w:r>
          </w:p>
        </w:tc>
        <w:tc>
          <w:tcPr>
            <w:tcW w:w="800" w:type="dxa"/>
            <w:tcBorders>
              <w:top w:val="nil"/>
              <w:left w:val="nil"/>
              <w:bottom w:val="single" w:color="auto" w:sz="4" w:space="0"/>
              <w:right w:val="single" w:color="auto" w:sz="4" w:space="0"/>
            </w:tcBorders>
            <w:noWrap/>
            <w:vAlign w:val="center"/>
          </w:tcPr>
          <w:p w14:paraId="4A2C55C2">
            <w:pPr>
              <w:widowControl/>
              <w:spacing w:line="276" w:lineRule="auto"/>
              <w:jc w:val="left"/>
              <w:rPr>
                <w:kern w:val="0"/>
                <w:szCs w:val="21"/>
              </w:rPr>
            </w:pPr>
            <w:r>
              <w:rPr>
                <w:rFonts w:hint="eastAsia"/>
                <w:kern w:val="0"/>
                <w:szCs w:val="21"/>
              </w:rPr>
              <w:t>750m</w:t>
            </w:r>
          </w:p>
        </w:tc>
      </w:tr>
      <w:tr w14:paraId="08B7001E">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31695C72">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4D1709EC">
            <w:pPr>
              <w:widowControl/>
              <w:spacing w:line="276" w:lineRule="auto"/>
              <w:jc w:val="left"/>
              <w:rPr>
                <w:kern w:val="0"/>
                <w:szCs w:val="21"/>
              </w:rPr>
            </w:pPr>
            <w:r>
              <w:rPr>
                <w:rFonts w:hint="eastAsia"/>
                <w:kern w:val="0"/>
                <w:szCs w:val="21"/>
              </w:rPr>
              <w:t>电参数测量探头（电压、电流）</w:t>
            </w:r>
          </w:p>
        </w:tc>
        <w:tc>
          <w:tcPr>
            <w:tcW w:w="4416" w:type="dxa"/>
            <w:tcBorders>
              <w:top w:val="nil"/>
              <w:left w:val="nil"/>
              <w:bottom w:val="single" w:color="auto" w:sz="4" w:space="0"/>
              <w:right w:val="single" w:color="auto" w:sz="4" w:space="0"/>
            </w:tcBorders>
            <w:noWrap/>
            <w:vAlign w:val="center"/>
          </w:tcPr>
          <w:p w14:paraId="565C883F">
            <w:pPr>
              <w:widowControl/>
              <w:spacing w:line="276" w:lineRule="auto"/>
              <w:jc w:val="left"/>
              <w:rPr>
                <w:kern w:val="0"/>
                <w:szCs w:val="21"/>
              </w:rPr>
            </w:pPr>
            <w:r>
              <w:rPr>
                <w:rFonts w:hint="eastAsia"/>
                <w:kern w:val="0"/>
                <w:szCs w:val="21"/>
              </w:rPr>
              <w:t>用于对放电回路电压与电流的监测</w:t>
            </w:r>
          </w:p>
        </w:tc>
        <w:tc>
          <w:tcPr>
            <w:tcW w:w="800" w:type="dxa"/>
            <w:tcBorders>
              <w:top w:val="nil"/>
              <w:left w:val="nil"/>
              <w:bottom w:val="single" w:color="auto" w:sz="4" w:space="0"/>
              <w:right w:val="single" w:color="auto" w:sz="4" w:space="0"/>
            </w:tcBorders>
            <w:noWrap/>
            <w:vAlign w:val="center"/>
          </w:tcPr>
          <w:p w14:paraId="10B9EA37">
            <w:pPr>
              <w:widowControl/>
              <w:spacing w:line="276" w:lineRule="auto"/>
              <w:jc w:val="left"/>
              <w:rPr>
                <w:kern w:val="0"/>
                <w:szCs w:val="21"/>
              </w:rPr>
            </w:pPr>
            <w:r>
              <w:rPr>
                <w:rFonts w:hint="eastAsia"/>
                <w:kern w:val="0"/>
                <w:szCs w:val="21"/>
              </w:rPr>
              <w:t>6</w:t>
            </w:r>
            <w:r>
              <w:rPr>
                <w:kern w:val="0"/>
                <w:szCs w:val="21"/>
              </w:rPr>
              <w:t>套</w:t>
            </w:r>
          </w:p>
        </w:tc>
      </w:tr>
      <w:tr w14:paraId="1044A6E9">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09A9AEB4">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13130872">
            <w:pPr>
              <w:widowControl/>
              <w:spacing w:line="276" w:lineRule="auto"/>
              <w:jc w:val="left"/>
              <w:rPr>
                <w:kern w:val="0"/>
                <w:szCs w:val="21"/>
              </w:rPr>
            </w:pPr>
            <w:r>
              <w:rPr>
                <w:rFonts w:hint="eastAsia"/>
                <w:kern w:val="0"/>
                <w:szCs w:val="21"/>
              </w:rPr>
              <w:t>电缆同轴连接附件</w:t>
            </w:r>
          </w:p>
        </w:tc>
        <w:tc>
          <w:tcPr>
            <w:tcW w:w="4416" w:type="dxa"/>
            <w:tcBorders>
              <w:top w:val="nil"/>
              <w:left w:val="nil"/>
              <w:bottom w:val="single" w:color="auto" w:sz="4" w:space="0"/>
              <w:right w:val="single" w:color="auto" w:sz="4" w:space="0"/>
            </w:tcBorders>
            <w:noWrap/>
            <w:vAlign w:val="center"/>
          </w:tcPr>
          <w:p w14:paraId="3938F617">
            <w:pPr>
              <w:widowControl/>
              <w:spacing w:line="276" w:lineRule="auto"/>
              <w:jc w:val="left"/>
              <w:rPr>
                <w:kern w:val="0"/>
                <w:szCs w:val="21"/>
              </w:rPr>
            </w:pPr>
            <w:r>
              <w:rPr>
                <w:rFonts w:hint="eastAsia"/>
                <w:kern w:val="0"/>
                <w:szCs w:val="21"/>
              </w:rPr>
              <w:t>用于连接电缆与脉冲源</w:t>
            </w:r>
          </w:p>
        </w:tc>
        <w:tc>
          <w:tcPr>
            <w:tcW w:w="800" w:type="dxa"/>
            <w:tcBorders>
              <w:top w:val="nil"/>
              <w:left w:val="nil"/>
              <w:bottom w:val="single" w:color="auto" w:sz="4" w:space="0"/>
              <w:right w:val="single" w:color="auto" w:sz="4" w:space="0"/>
            </w:tcBorders>
            <w:noWrap/>
            <w:vAlign w:val="center"/>
          </w:tcPr>
          <w:p w14:paraId="1F44FD16">
            <w:pPr>
              <w:widowControl/>
              <w:spacing w:line="276" w:lineRule="auto"/>
              <w:jc w:val="left"/>
              <w:rPr>
                <w:kern w:val="0"/>
                <w:szCs w:val="21"/>
              </w:rPr>
            </w:pPr>
            <w:r>
              <w:rPr>
                <w:rFonts w:hint="eastAsia"/>
                <w:kern w:val="0"/>
                <w:szCs w:val="21"/>
              </w:rPr>
              <w:t>5</w:t>
            </w:r>
            <w:r>
              <w:rPr>
                <w:kern w:val="0"/>
                <w:szCs w:val="21"/>
              </w:rPr>
              <w:t>套</w:t>
            </w:r>
          </w:p>
        </w:tc>
      </w:tr>
      <w:tr w14:paraId="6A0986A2">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20ED78C8">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723B8D4E">
            <w:pPr>
              <w:widowControl/>
              <w:spacing w:line="276" w:lineRule="auto"/>
              <w:jc w:val="left"/>
              <w:rPr>
                <w:kern w:val="0"/>
                <w:szCs w:val="21"/>
              </w:rPr>
            </w:pPr>
            <w:r>
              <w:rPr>
                <w:rFonts w:hint="eastAsia"/>
                <w:kern w:val="0"/>
                <w:szCs w:val="21"/>
              </w:rPr>
              <w:t>脉冲源保护组件（继电器、接地电阻、保护器件等）</w:t>
            </w:r>
          </w:p>
        </w:tc>
        <w:tc>
          <w:tcPr>
            <w:tcW w:w="4416" w:type="dxa"/>
            <w:tcBorders>
              <w:top w:val="nil"/>
              <w:left w:val="nil"/>
              <w:bottom w:val="single" w:color="auto" w:sz="4" w:space="0"/>
              <w:right w:val="single" w:color="auto" w:sz="4" w:space="0"/>
            </w:tcBorders>
            <w:noWrap/>
            <w:vAlign w:val="center"/>
          </w:tcPr>
          <w:p w14:paraId="619975C4">
            <w:pPr>
              <w:widowControl/>
              <w:spacing w:line="276" w:lineRule="auto"/>
              <w:jc w:val="left"/>
              <w:rPr>
                <w:kern w:val="0"/>
                <w:szCs w:val="21"/>
              </w:rPr>
            </w:pPr>
            <w:r>
              <w:rPr>
                <w:rFonts w:hint="eastAsia"/>
                <w:kern w:val="0"/>
                <w:szCs w:val="21"/>
              </w:rPr>
              <w:t>用于对脉冲源接地保护</w:t>
            </w:r>
          </w:p>
        </w:tc>
        <w:tc>
          <w:tcPr>
            <w:tcW w:w="800" w:type="dxa"/>
            <w:tcBorders>
              <w:top w:val="nil"/>
              <w:left w:val="nil"/>
              <w:bottom w:val="single" w:color="auto" w:sz="4" w:space="0"/>
              <w:right w:val="single" w:color="auto" w:sz="4" w:space="0"/>
            </w:tcBorders>
            <w:noWrap/>
            <w:vAlign w:val="center"/>
          </w:tcPr>
          <w:p w14:paraId="10CA0C79">
            <w:pPr>
              <w:widowControl/>
              <w:spacing w:line="276" w:lineRule="auto"/>
              <w:jc w:val="left"/>
              <w:rPr>
                <w:kern w:val="0"/>
                <w:szCs w:val="21"/>
              </w:rPr>
            </w:pPr>
            <w:r>
              <w:rPr>
                <w:rFonts w:hint="eastAsia"/>
                <w:kern w:val="0"/>
                <w:szCs w:val="21"/>
              </w:rPr>
              <w:t>5</w:t>
            </w:r>
            <w:r>
              <w:rPr>
                <w:kern w:val="0"/>
                <w:szCs w:val="21"/>
              </w:rPr>
              <w:t>套</w:t>
            </w:r>
          </w:p>
        </w:tc>
      </w:tr>
      <w:tr w14:paraId="0C2BE9FD">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7EA47FEA">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44629151">
            <w:pPr>
              <w:widowControl/>
              <w:spacing w:line="276" w:lineRule="auto"/>
              <w:jc w:val="left"/>
              <w:rPr>
                <w:kern w:val="0"/>
                <w:szCs w:val="21"/>
              </w:rPr>
            </w:pPr>
            <w:r>
              <w:rPr>
                <w:rFonts w:hint="eastAsia"/>
                <w:kern w:val="0"/>
                <w:szCs w:val="21"/>
              </w:rPr>
              <w:t>同步触发器</w:t>
            </w:r>
          </w:p>
        </w:tc>
        <w:tc>
          <w:tcPr>
            <w:tcW w:w="4416" w:type="dxa"/>
            <w:tcBorders>
              <w:top w:val="nil"/>
              <w:left w:val="nil"/>
              <w:bottom w:val="single" w:color="auto" w:sz="4" w:space="0"/>
              <w:right w:val="single" w:color="auto" w:sz="4" w:space="0"/>
            </w:tcBorders>
            <w:noWrap/>
            <w:vAlign w:val="center"/>
          </w:tcPr>
          <w:p w14:paraId="4F803FBF">
            <w:pPr>
              <w:widowControl/>
              <w:spacing w:line="276" w:lineRule="auto"/>
              <w:jc w:val="left"/>
              <w:rPr>
                <w:kern w:val="0"/>
                <w:szCs w:val="21"/>
              </w:rPr>
            </w:pPr>
            <w:r>
              <w:rPr>
                <w:rFonts w:hint="eastAsia"/>
                <w:kern w:val="0"/>
                <w:szCs w:val="21"/>
              </w:rPr>
              <w:t>用于控制脉冲源间的触发控制</w:t>
            </w:r>
          </w:p>
        </w:tc>
        <w:tc>
          <w:tcPr>
            <w:tcW w:w="800" w:type="dxa"/>
            <w:tcBorders>
              <w:top w:val="nil"/>
              <w:left w:val="nil"/>
              <w:bottom w:val="single" w:color="auto" w:sz="4" w:space="0"/>
              <w:right w:val="single" w:color="auto" w:sz="4" w:space="0"/>
            </w:tcBorders>
            <w:noWrap/>
            <w:vAlign w:val="center"/>
          </w:tcPr>
          <w:p w14:paraId="0D74BC8C">
            <w:pPr>
              <w:widowControl/>
              <w:spacing w:line="276" w:lineRule="auto"/>
              <w:jc w:val="left"/>
              <w:rPr>
                <w:kern w:val="0"/>
                <w:szCs w:val="21"/>
              </w:rPr>
            </w:pPr>
            <w:r>
              <w:rPr>
                <w:rFonts w:hint="eastAsia"/>
                <w:kern w:val="0"/>
                <w:szCs w:val="21"/>
              </w:rPr>
              <w:t>1套</w:t>
            </w:r>
          </w:p>
        </w:tc>
      </w:tr>
      <w:tr w14:paraId="785F79B1">
        <w:tblPrEx>
          <w:tblCellMar>
            <w:top w:w="0" w:type="dxa"/>
            <w:left w:w="108" w:type="dxa"/>
            <w:bottom w:w="0" w:type="dxa"/>
            <w:right w:w="108" w:type="dxa"/>
          </w:tblCellMar>
        </w:tblPrEx>
        <w:trPr>
          <w:trHeight w:val="280"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ign w:val="center"/>
          </w:tcPr>
          <w:p w14:paraId="1A171C84">
            <w:pPr>
              <w:widowControl/>
              <w:spacing w:line="276" w:lineRule="auto"/>
              <w:jc w:val="left"/>
              <w:rPr>
                <w:kern w:val="0"/>
                <w:szCs w:val="21"/>
              </w:rPr>
            </w:pPr>
            <w:r>
              <w:rPr>
                <w:rFonts w:hint="eastAsia"/>
                <w:kern w:val="0"/>
                <w:szCs w:val="21"/>
              </w:rPr>
              <w:t>电缆考核平台</w:t>
            </w:r>
          </w:p>
        </w:tc>
        <w:tc>
          <w:tcPr>
            <w:tcW w:w="0" w:type="auto"/>
            <w:tcBorders>
              <w:top w:val="nil"/>
              <w:left w:val="nil"/>
              <w:bottom w:val="single" w:color="auto" w:sz="4" w:space="0"/>
              <w:right w:val="single" w:color="auto" w:sz="4" w:space="0"/>
            </w:tcBorders>
            <w:noWrap/>
            <w:vAlign w:val="center"/>
          </w:tcPr>
          <w:p w14:paraId="1FFAD314">
            <w:pPr>
              <w:widowControl/>
              <w:spacing w:line="276" w:lineRule="auto"/>
              <w:jc w:val="left"/>
              <w:rPr>
                <w:kern w:val="0"/>
                <w:szCs w:val="21"/>
              </w:rPr>
            </w:pPr>
            <w:r>
              <w:rPr>
                <w:rFonts w:hint="eastAsia"/>
                <w:kern w:val="0"/>
                <w:szCs w:val="21"/>
              </w:rPr>
              <w:t>高压直流电源</w:t>
            </w:r>
          </w:p>
        </w:tc>
        <w:tc>
          <w:tcPr>
            <w:tcW w:w="4416" w:type="dxa"/>
            <w:tcBorders>
              <w:top w:val="nil"/>
              <w:left w:val="nil"/>
              <w:bottom w:val="single" w:color="auto" w:sz="4" w:space="0"/>
              <w:right w:val="single" w:color="auto" w:sz="4" w:space="0"/>
            </w:tcBorders>
            <w:noWrap/>
            <w:vAlign w:val="center"/>
          </w:tcPr>
          <w:p w14:paraId="26B94618">
            <w:pPr>
              <w:widowControl/>
              <w:spacing w:line="276" w:lineRule="auto"/>
              <w:jc w:val="left"/>
              <w:rPr>
                <w:kern w:val="0"/>
                <w:szCs w:val="21"/>
              </w:rPr>
            </w:pPr>
            <w:r>
              <w:rPr>
                <w:rFonts w:hint="eastAsia"/>
                <w:kern w:val="0"/>
                <w:szCs w:val="21"/>
              </w:rPr>
              <w:t>用于脉冲源充电</w:t>
            </w:r>
          </w:p>
        </w:tc>
        <w:tc>
          <w:tcPr>
            <w:tcW w:w="800" w:type="dxa"/>
            <w:tcBorders>
              <w:top w:val="nil"/>
              <w:left w:val="nil"/>
              <w:bottom w:val="single" w:color="auto" w:sz="4" w:space="0"/>
              <w:right w:val="single" w:color="auto" w:sz="4" w:space="0"/>
            </w:tcBorders>
            <w:noWrap/>
            <w:vAlign w:val="center"/>
          </w:tcPr>
          <w:p w14:paraId="1B6DB643">
            <w:pPr>
              <w:widowControl/>
              <w:spacing w:line="276" w:lineRule="auto"/>
              <w:jc w:val="left"/>
              <w:rPr>
                <w:kern w:val="0"/>
                <w:szCs w:val="21"/>
              </w:rPr>
            </w:pPr>
            <w:r>
              <w:rPr>
                <w:kern w:val="0"/>
                <w:szCs w:val="21"/>
              </w:rPr>
              <w:t>1套</w:t>
            </w:r>
          </w:p>
        </w:tc>
      </w:tr>
      <w:tr w14:paraId="10D3F101">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04625F13">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5DF350C4">
            <w:pPr>
              <w:widowControl/>
              <w:spacing w:line="276" w:lineRule="auto"/>
              <w:jc w:val="left"/>
              <w:rPr>
                <w:kern w:val="0"/>
                <w:szCs w:val="21"/>
              </w:rPr>
            </w:pPr>
            <w:r>
              <w:rPr>
                <w:rFonts w:hint="eastAsia"/>
                <w:kern w:val="0"/>
                <w:szCs w:val="21"/>
              </w:rPr>
              <w:t>脉冲电容器</w:t>
            </w:r>
          </w:p>
        </w:tc>
        <w:tc>
          <w:tcPr>
            <w:tcW w:w="4416" w:type="dxa"/>
            <w:tcBorders>
              <w:top w:val="nil"/>
              <w:left w:val="nil"/>
              <w:bottom w:val="single" w:color="auto" w:sz="4" w:space="0"/>
              <w:right w:val="single" w:color="auto" w:sz="4" w:space="0"/>
            </w:tcBorders>
            <w:noWrap/>
            <w:vAlign w:val="center"/>
          </w:tcPr>
          <w:p w14:paraId="69F11671">
            <w:pPr>
              <w:widowControl/>
              <w:spacing w:line="276" w:lineRule="auto"/>
              <w:jc w:val="left"/>
              <w:rPr>
                <w:kern w:val="0"/>
                <w:szCs w:val="21"/>
              </w:rPr>
            </w:pPr>
            <w:r>
              <w:rPr>
                <w:rFonts w:hint="eastAsia"/>
                <w:kern w:val="0"/>
                <w:szCs w:val="21"/>
              </w:rPr>
              <w:t>用于储存电能</w:t>
            </w:r>
          </w:p>
        </w:tc>
        <w:tc>
          <w:tcPr>
            <w:tcW w:w="800" w:type="dxa"/>
            <w:tcBorders>
              <w:top w:val="nil"/>
              <w:left w:val="nil"/>
              <w:bottom w:val="single" w:color="auto" w:sz="4" w:space="0"/>
              <w:right w:val="single" w:color="auto" w:sz="4" w:space="0"/>
            </w:tcBorders>
            <w:noWrap/>
            <w:vAlign w:val="center"/>
          </w:tcPr>
          <w:p w14:paraId="10619ED7">
            <w:pPr>
              <w:widowControl/>
              <w:spacing w:line="276" w:lineRule="auto"/>
              <w:jc w:val="left"/>
              <w:rPr>
                <w:kern w:val="0"/>
                <w:szCs w:val="21"/>
              </w:rPr>
            </w:pPr>
            <w:r>
              <w:rPr>
                <w:kern w:val="0"/>
                <w:szCs w:val="21"/>
              </w:rPr>
              <w:t>1套</w:t>
            </w:r>
          </w:p>
        </w:tc>
      </w:tr>
      <w:tr w14:paraId="511EC3C9">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4823E047">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06397AF2">
            <w:pPr>
              <w:widowControl/>
              <w:spacing w:line="276" w:lineRule="auto"/>
              <w:jc w:val="left"/>
              <w:rPr>
                <w:kern w:val="0"/>
                <w:szCs w:val="21"/>
              </w:rPr>
            </w:pPr>
            <w:r>
              <w:rPr>
                <w:rFonts w:hint="eastAsia"/>
                <w:kern w:val="0"/>
                <w:szCs w:val="21"/>
              </w:rPr>
              <w:t>固态开关组</w:t>
            </w:r>
          </w:p>
        </w:tc>
        <w:tc>
          <w:tcPr>
            <w:tcW w:w="4416" w:type="dxa"/>
            <w:tcBorders>
              <w:top w:val="nil"/>
              <w:left w:val="nil"/>
              <w:bottom w:val="single" w:color="auto" w:sz="4" w:space="0"/>
              <w:right w:val="single" w:color="auto" w:sz="4" w:space="0"/>
            </w:tcBorders>
            <w:noWrap/>
            <w:vAlign w:val="center"/>
          </w:tcPr>
          <w:p w14:paraId="0CAF71E3">
            <w:pPr>
              <w:widowControl/>
              <w:spacing w:line="276" w:lineRule="auto"/>
              <w:jc w:val="left"/>
              <w:rPr>
                <w:kern w:val="0"/>
                <w:szCs w:val="21"/>
              </w:rPr>
            </w:pPr>
            <w:r>
              <w:rPr>
                <w:rFonts w:hint="eastAsia"/>
                <w:kern w:val="0"/>
                <w:szCs w:val="21"/>
              </w:rPr>
              <w:t>用于控制放电过程</w:t>
            </w:r>
          </w:p>
        </w:tc>
        <w:tc>
          <w:tcPr>
            <w:tcW w:w="800" w:type="dxa"/>
            <w:tcBorders>
              <w:top w:val="nil"/>
              <w:left w:val="nil"/>
              <w:bottom w:val="single" w:color="auto" w:sz="4" w:space="0"/>
              <w:right w:val="single" w:color="auto" w:sz="4" w:space="0"/>
            </w:tcBorders>
            <w:noWrap/>
            <w:vAlign w:val="center"/>
          </w:tcPr>
          <w:p w14:paraId="1F1FCA30">
            <w:pPr>
              <w:widowControl/>
              <w:spacing w:line="276" w:lineRule="auto"/>
              <w:jc w:val="left"/>
              <w:rPr>
                <w:kern w:val="0"/>
                <w:szCs w:val="21"/>
              </w:rPr>
            </w:pPr>
            <w:r>
              <w:rPr>
                <w:kern w:val="0"/>
                <w:szCs w:val="21"/>
              </w:rPr>
              <w:t>1套</w:t>
            </w:r>
          </w:p>
        </w:tc>
      </w:tr>
      <w:tr w14:paraId="1054ACC9">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703B999D">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3155F114">
            <w:pPr>
              <w:widowControl/>
              <w:spacing w:line="276" w:lineRule="auto"/>
              <w:jc w:val="left"/>
              <w:rPr>
                <w:kern w:val="0"/>
                <w:szCs w:val="21"/>
              </w:rPr>
            </w:pPr>
            <w:r>
              <w:rPr>
                <w:rFonts w:hint="eastAsia"/>
                <w:kern w:val="0"/>
                <w:szCs w:val="21"/>
              </w:rPr>
              <w:t>高压输出电缆</w:t>
            </w:r>
          </w:p>
        </w:tc>
        <w:tc>
          <w:tcPr>
            <w:tcW w:w="4416" w:type="dxa"/>
            <w:tcBorders>
              <w:top w:val="nil"/>
              <w:left w:val="nil"/>
              <w:bottom w:val="single" w:color="auto" w:sz="4" w:space="0"/>
              <w:right w:val="single" w:color="auto" w:sz="4" w:space="0"/>
            </w:tcBorders>
            <w:noWrap/>
            <w:vAlign w:val="center"/>
          </w:tcPr>
          <w:p w14:paraId="285A6293">
            <w:pPr>
              <w:widowControl/>
              <w:spacing w:line="276" w:lineRule="auto"/>
              <w:jc w:val="left"/>
              <w:rPr>
                <w:kern w:val="0"/>
                <w:szCs w:val="21"/>
              </w:rPr>
            </w:pPr>
            <w:r>
              <w:rPr>
                <w:rFonts w:hint="eastAsia"/>
                <w:kern w:val="0"/>
                <w:szCs w:val="21"/>
              </w:rPr>
              <w:t>用于传输电能</w:t>
            </w:r>
          </w:p>
        </w:tc>
        <w:tc>
          <w:tcPr>
            <w:tcW w:w="800" w:type="dxa"/>
            <w:tcBorders>
              <w:top w:val="nil"/>
              <w:left w:val="nil"/>
              <w:bottom w:val="single" w:color="auto" w:sz="4" w:space="0"/>
              <w:right w:val="single" w:color="auto" w:sz="4" w:space="0"/>
            </w:tcBorders>
            <w:noWrap/>
            <w:vAlign w:val="center"/>
          </w:tcPr>
          <w:p w14:paraId="02238F4D">
            <w:pPr>
              <w:widowControl/>
              <w:spacing w:line="276" w:lineRule="auto"/>
              <w:jc w:val="left"/>
              <w:rPr>
                <w:kern w:val="0"/>
                <w:szCs w:val="21"/>
              </w:rPr>
            </w:pPr>
            <w:r>
              <w:rPr>
                <w:rFonts w:hint="eastAsia"/>
                <w:kern w:val="0"/>
                <w:szCs w:val="21"/>
              </w:rPr>
              <w:t>250m</w:t>
            </w:r>
          </w:p>
        </w:tc>
      </w:tr>
      <w:tr w14:paraId="7E749975">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430FFC67">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49571EC2">
            <w:pPr>
              <w:widowControl/>
              <w:spacing w:line="276" w:lineRule="auto"/>
              <w:jc w:val="left"/>
              <w:rPr>
                <w:kern w:val="0"/>
                <w:szCs w:val="21"/>
              </w:rPr>
            </w:pPr>
            <w:r>
              <w:rPr>
                <w:rFonts w:hint="eastAsia"/>
                <w:kern w:val="0"/>
                <w:szCs w:val="21"/>
              </w:rPr>
              <w:t>电参数测量探头（电压、电流、温度）</w:t>
            </w:r>
          </w:p>
        </w:tc>
        <w:tc>
          <w:tcPr>
            <w:tcW w:w="4416" w:type="dxa"/>
            <w:tcBorders>
              <w:top w:val="nil"/>
              <w:left w:val="nil"/>
              <w:bottom w:val="single" w:color="auto" w:sz="4" w:space="0"/>
              <w:right w:val="single" w:color="auto" w:sz="4" w:space="0"/>
            </w:tcBorders>
            <w:noWrap/>
            <w:vAlign w:val="center"/>
          </w:tcPr>
          <w:p w14:paraId="2EAD08B5">
            <w:pPr>
              <w:widowControl/>
              <w:spacing w:line="276" w:lineRule="auto"/>
              <w:jc w:val="left"/>
              <w:rPr>
                <w:kern w:val="0"/>
                <w:szCs w:val="21"/>
              </w:rPr>
            </w:pPr>
            <w:r>
              <w:rPr>
                <w:rFonts w:hint="eastAsia"/>
                <w:kern w:val="0"/>
                <w:szCs w:val="21"/>
              </w:rPr>
              <w:t>用于对放电回路电压与电流及电缆温度的监测</w:t>
            </w:r>
          </w:p>
        </w:tc>
        <w:tc>
          <w:tcPr>
            <w:tcW w:w="800" w:type="dxa"/>
            <w:tcBorders>
              <w:top w:val="nil"/>
              <w:left w:val="nil"/>
              <w:bottom w:val="single" w:color="auto" w:sz="4" w:space="0"/>
              <w:right w:val="single" w:color="auto" w:sz="4" w:space="0"/>
            </w:tcBorders>
            <w:noWrap/>
            <w:vAlign w:val="center"/>
          </w:tcPr>
          <w:p w14:paraId="118D8539">
            <w:pPr>
              <w:widowControl/>
              <w:spacing w:line="276" w:lineRule="auto"/>
              <w:jc w:val="left"/>
              <w:rPr>
                <w:kern w:val="0"/>
                <w:szCs w:val="21"/>
              </w:rPr>
            </w:pPr>
            <w:r>
              <w:rPr>
                <w:rFonts w:hint="eastAsia"/>
                <w:kern w:val="0"/>
                <w:szCs w:val="21"/>
              </w:rPr>
              <w:t>2</w:t>
            </w:r>
            <w:r>
              <w:rPr>
                <w:kern w:val="0"/>
                <w:szCs w:val="21"/>
              </w:rPr>
              <w:t>套</w:t>
            </w:r>
          </w:p>
        </w:tc>
      </w:tr>
      <w:tr w14:paraId="0D8055B3">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611C9EEC">
            <w:pPr>
              <w:widowControl/>
              <w:spacing w:line="276" w:lineRule="auto"/>
              <w:jc w:val="left"/>
              <w:rPr>
                <w:kern w:val="0"/>
                <w:szCs w:val="21"/>
              </w:rPr>
            </w:pPr>
          </w:p>
        </w:tc>
        <w:tc>
          <w:tcPr>
            <w:tcW w:w="0" w:type="auto"/>
            <w:tcBorders>
              <w:top w:val="nil"/>
              <w:left w:val="nil"/>
              <w:bottom w:val="single" w:color="auto" w:sz="4" w:space="0"/>
              <w:right w:val="single" w:color="auto" w:sz="4" w:space="0"/>
            </w:tcBorders>
            <w:noWrap/>
            <w:vAlign w:val="center"/>
          </w:tcPr>
          <w:p w14:paraId="08E8934F">
            <w:pPr>
              <w:widowControl/>
              <w:spacing w:line="276" w:lineRule="auto"/>
              <w:jc w:val="left"/>
              <w:rPr>
                <w:kern w:val="0"/>
                <w:szCs w:val="21"/>
              </w:rPr>
            </w:pPr>
            <w:r>
              <w:rPr>
                <w:rFonts w:hint="eastAsia"/>
                <w:kern w:val="0"/>
                <w:szCs w:val="21"/>
              </w:rPr>
              <w:t>假负载</w:t>
            </w:r>
          </w:p>
        </w:tc>
        <w:tc>
          <w:tcPr>
            <w:tcW w:w="4416" w:type="dxa"/>
            <w:tcBorders>
              <w:top w:val="nil"/>
              <w:left w:val="nil"/>
              <w:bottom w:val="single" w:color="auto" w:sz="4" w:space="0"/>
              <w:right w:val="single" w:color="auto" w:sz="4" w:space="0"/>
            </w:tcBorders>
            <w:noWrap/>
            <w:vAlign w:val="center"/>
          </w:tcPr>
          <w:p w14:paraId="0EEE0649">
            <w:pPr>
              <w:widowControl/>
              <w:spacing w:line="276" w:lineRule="auto"/>
              <w:jc w:val="left"/>
              <w:rPr>
                <w:kern w:val="0"/>
                <w:szCs w:val="21"/>
              </w:rPr>
            </w:pPr>
            <w:r>
              <w:rPr>
                <w:rFonts w:hint="eastAsia"/>
                <w:kern w:val="0"/>
                <w:szCs w:val="21"/>
              </w:rPr>
              <w:t>用于电缆考核</w:t>
            </w:r>
          </w:p>
        </w:tc>
        <w:tc>
          <w:tcPr>
            <w:tcW w:w="800" w:type="dxa"/>
            <w:tcBorders>
              <w:top w:val="nil"/>
              <w:left w:val="nil"/>
              <w:bottom w:val="single" w:color="auto" w:sz="4" w:space="0"/>
              <w:right w:val="single" w:color="auto" w:sz="4" w:space="0"/>
            </w:tcBorders>
            <w:noWrap/>
            <w:vAlign w:val="center"/>
          </w:tcPr>
          <w:p w14:paraId="20F4C4D0">
            <w:pPr>
              <w:widowControl/>
              <w:spacing w:line="276" w:lineRule="auto"/>
              <w:jc w:val="left"/>
              <w:rPr>
                <w:kern w:val="0"/>
                <w:szCs w:val="21"/>
              </w:rPr>
            </w:pPr>
            <w:r>
              <w:rPr>
                <w:rFonts w:hint="eastAsia"/>
                <w:kern w:val="0"/>
                <w:szCs w:val="21"/>
              </w:rPr>
              <w:t>2套</w:t>
            </w:r>
          </w:p>
        </w:tc>
      </w:tr>
      <w:tr w14:paraId="64047EFD">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2AD841B0">
            <w:pPr>
              <w:widowControl/>
              <w:spacing w:line="276" w:lineRule="auto"/>
              <w:jc w:val="left"/>
              <w:rPr>
                <w:kern w:val="0"/>
                <w:szCs w:val="21"/>
              </w:rPr>
            </w:pPr>
          </w:p>
        </w:tc>
        <w:tc>
          <w:tcPr>
            <w:tcW w:w="0" w:type="auto"/>
            <w:tcBorders>
              <w:top w:val="nil"/>
              <w:left w:val="nil"/>
              <w:bottom w:val="single" w:color="auto" w:sz="4" w:space="0"/>
              <w:right w:val="single" w:color="auto" w:sz="4" w:space="0"/>
            </w:tcBorders>
            <w:shd w:val="clear" w:color="auto" w:fill="auto"/>
            <w:noWrap/>
            <w:vAlign w:val="center"/>
          </w:tcPr>
          <w:p w14:paraId="54942EC9">
            <w:pPr>
              <w:widowControl/>
              <w:spacing w:line="276" w:lineRule="auto"/>
              <w:jc w:val="left"/>
              <w:rPr>
                <w:kern w:val="0"/>
                <w:szCs w:val="21"/>
              </w:rPr>
            </w:pPr>
            <w:r>
              <w:rPr>
                <w:rFonts w:hint="eastAsia"/>
                <w:kern w:val="0"/>
                <w:szCs w:val="21"/>
              </w:rPr>
              <w:t>电缆同轴连接附件</w:t>
            </w:r>
          </w:p>
        </w:tc>
        <w:tc>
          <w:tcPr>
            <w:tcW w:w="4416" w:type="dxa"/>
            <w:tcBorders>
              <w:top w:val="nil"/>
              <w:left w:val="nil"/>
              <w:bottom w:val="single" w:color="auto" w:sz="4" w:space="0"/>
              <w:right w:val="single" w:color="auto" w:sz="4" w:space="0"/>
            </w:tcBorders>
            <w:shd w:val="clear" w:color="auto" w:fill="auto"/>
            <w:noWrap/>
            <w:vAlign w:val="center"/>
          </w:tcPr>
          <w:p w14:paraId="73C6FAD8">
            <w:pPr>
              <w:widowControl/>
              <w:spacing w:line="276" w:lineRule="auto"/>
              <w:jc w:val="left"/>
              <w:rPr>
                <w:kern w:val="0"/>
                <w:szCs w:val="21"/>
              </w:rPr>
            </w:pPr>
            <w:r>
              <w:rPr>
                <w:rFonts w:hint="eastAsia"/>
                <w:kern w:val="0"/>
                <w:szCs w:val="21"/>
              </w:rPr>
              <w:t>用于连接电缆与脉冲源</w:t>
            </w:r>
          </w:p>
        </w:tc>
        <w:tc>
          <w:tcPr>
            <w:tcW w:w="800" w:type="dxa"/>
            <w:tcBorders>
              <w:top w:val="nil"/>
              <w:left w:val="nil"/>
              <w:bottom w:val="single" w:color="auto" w:sz="4" w:space="0"/>
              <w:right w:val="single" w:color="auto" w:sz="4" w:space="0"/>
            </w:tcBorders>
            <w:noWrap/>
            <w:vAlign w:val="center"/>
          </w:tcPr>
          <w:p w14:paraId="4490CC19">
            <w:pPr>
              <w:widowControl/>
              <w:spacing w:line="276" w:lineRule="auto"/>
              <w:jc w:val="left"/>
              <w:rPr>
                <w:kern w:val="0"/>
                <w:szCs w:val="21"/>
              </w:rPr>
            </w:pPr>
            <w:r>
              <w:rPr>
                <w:rFonts w:hint="eastAsia"/>
                <w:kern w:val="0"/>
                <w:szCs w:val="21"/>
              </w:rPr>
              <w:t>1套</w:t>
            </w:r>
          </w:p>
        </w:tc>
      </w:tr>
      <w:tr w14:paraId="08DFDDB7">
        <w:tblPrEx>
          <w:tblCellMar>
            <w:top w:w="0" w:type="dxa"/>
            <w:left w:w="108" w:type="dxa"/>
            <w:bottom w:w="0" w:type="dxa"/>
            <w:right w:w="108" w:type="dxa"/>
          </w:tblCellMar>
        </w:tblPrEx>
        <w:trPr>
          <w:trHeight w:val="2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4E2E3B4F">
            <w:pPr>
              <w:widowControl/>
              <w:spacing w:line="276" w:lineRule="auto"/>
              <w:jc w:val="left"/>
              <w:rPr>
                <w:kern w:val="0"/>
                <w:szCs w:val="21"/>
              </w:rPr>
            </w:pPr>
          </w:p>
        </w:tc>
        <w:tc>
          <w:tcPr>
            <w:tcW w:w="0" w:type="auto"/>
            <w:tcBorders>
              <w:top w:val="nil"/>
              <w:left w:val="nil"/>
              <w:bottom w:val="single" w:color="auto" w:sz="4" w:space="0"/>
              <w:right w:val="single" w:color="auto" w:sz="4" w:space="0"/>
            </w:tcBorders>
            <w:shd w:val="clear" w:color="auto" w:fill="auto"/>
            <w:noWrap/>
            <w:vAlign w:val="center"/>
          </w:tcPr>
          <w:p w14:paraId="335F44A8">
            <w:pPr>
              <w:widowControl/>
              <w:spacing w:line="276" w:lineRule="auto"/>
              <w:jc w:val="left"/>
              <w:rPr>
                <w:kern w:val="0"/>
                <w:szCs w:val="21"/>
              </w:rPr>
            </w:pPr>
            <w:r>
              <w:rPr>
                <w:rFonts w:hint="eastAsia"/>
                <w:kern w:val="0"/>
                <w:szCs w:val="21"/>
              </w:rPr>
              <w:t>脉冲源保护组件（继电器、接地电阻、保护器件等）</w:t>
            </w:r>
          </w:p>
        </w:tc>
        <w:tc>
          <w:tcPr>
            <w:tcW w:w="4416" w:type="dxa"/>
            <w:tcBorders>
              <w:top w:val="nil"/>
              <w:left w:val="nil"/>
              <w:bottom w:val="single" w:color="auto" w:sz="4" w:space="0"/>
              <w:right w:val="single" w:color="auto" w:sz="4" w:space="0"/>
            </w:tcBorders>
            <w:shd w:val="clear" w:color="auto" w:fill="auto"/>
            <w:noWrap/>
            <w:vAlign w:val="center"/>
          </w:tcPr>
          <w:p w14:paraId="7B20A4A5">
            <w:pPr>
              <w:widowControl/>
              <w:spacing w:line="276" w:lineRule="auto"/>
              <w:jc w:val="left"/>
              <w:rPr>
                <w:kern w:val="0"/>
                <w:szCs w:val="21"/>
              </w:rPr>
            </w:pPr>
            <w:r>
              <w:rPr>
                <w:rFonts w:hint="eastAsia"/>
                <w:kern w:val="0"/>
                <w:szCs w:val="21"/>
              </w:rPr>
              <w:t>用于对脉冲源接地保护</w:t>
            </w:r>
          </w:p>
        </w:tc>
        <w:tc>
          <w:tcPr>
            <w:tcW w:w="800" w:type="dxa"/>
            <w:tcBorders>
              <w:top w:val="nil"/>
              <w:left w:val="nil"/>
              <w:bottom w:val="single" w:color="auto" w:sz="4" w:space="0"/>
              <w:right w:val="single" w:color="auto" w:sz="4" w:space="0"/>
            </w:tcBorders>
            <w:noWrap/>
            <w:vAlign w:val="center"/>
          </w:tcPr>
          <w:p w14:paraId="44404885">
            <w:pPr>
              <w:widowControl/>
              <w:spacing w:line="276" w:lineRule="auto"/>
              <w:jc w:val="left"/>
              <w:rPr>
                <w:kern w:val="0"/>
                <w:szCs w:val="21"/>
              </w:rPr>
            </w:pPr>
            <w:r>
              <w:rPr>
                <w:rFonts w:hint="eastAsia"/>
                <w:kern w:val="0"/>
                <w:szCs w:val="21"/>
              </w:rPr>
              <w:t>1套</w:t>
            </w:r>
          </w:p>
        </w:tc>
      </w:tr>
      <w:tr w14:paraId="309E9709">
        <w:tblPrEx>
          <w:tblCellMar>
            <w:top w:w="0" w:type="dxa"/>
            <w:left w:w="108" w:type="dxa"/>
            <w:bottom w:w="0" w:type="dxa"/>
            <w:right w:w="108" w:type="dxa"/>
          </w:tblCellMar>
        </w:tblPrEx>
        <w:trPr>
          <w:trHeight w:val="280" w:hRule="atLeast"/>
          <w:jc w:val="center"/>
        </w:trPr>
        <w:tc>
          <w:tcPr>
            <w:tcW w:w="1896" w:type="dxa"/>
            <w:vMerge w:val="restart"/>
            <w:tcBorders>
              <w:top w:val="single" w:color="auto" w:sz="4" w:space="0"/>
              <w:left w:val="single" w:color="auto" w:sz="4" w:space="0"/>
              <w:bottom w:val="single" w:color="auto" w:sz="4" w:space="0"/>
              <w:right w:val="single" w:color="auto" w:sz="4" w:space="0"/>
            </w:tcBorders>
            <w:noWrap/>
            <w:vAlign w:val="center"/>
          </w:tcPr>
          <w:p w14:paraId="5AC411AB">
            <w:pPr>
              <w:widowControl/>
              <w:spacing w:line="276" w:lineRule="auto"/>
              <w:jc w:val="left"/>
              <w:rPr>
                <w:kern w:val="0"/>
                <w:szCs w:val="21"/>
              </w:rPr>
            </w:pPr>
            <w:r>
              <w:rPr>
                <w:rFonts w:hint="eastAsia"/>
                <w:kern w:val="0"/>
                <w:szCs w:val="21"/>
              </w:rPr>
              <w:t>易损件及备份配件</w:t>
            </w:r>
          </w:p>
        </w:tc>
        <w:tc>
          <w:tcPr>
            <w:tcW w:w="0" w:type="auto"/>
            <w:tcBorders>
              <w:top w:val="nil"/>
              <w:left w:val="nil"/>
              <w:bottom w:val="single" w:color="auto" w:sz="4" w:space="0"/>
              <w:right w:val="single" w:color="auto" w:sz="4" w:space="0"/>
            </w:tcBorders>
            <w:noWrap/>
            <w:vAlign w:val="center"/>
          </w:tcPr>
          <w:p w14:paraId="1809C095">
            <w:pPr>
              <w:widowControl/>
              <w:spacing w:line="276" w:lineRule="auto"/>
              <w:jc w:val="left"/>
              <w:rPr>
                <w:kern w:val="0"/>
                <w:szCs w:val="21"/>
              </w:rPr>
            </w:pPr>
            <w:r>
              <w:rPr>
                <w:rFonts w:hint="eastAsia"/>
                <w:kern w:val="0"/>
                <w:szCs w:val="21"/>
              </w:rPr>
              <w:t>电缆同轴连接件</w:t>
            </w:r>
          </w:p>
        </w:tc>
        <w:tc>
          <w:tcPr>
            <w:tcW w:w="4416" w:type="dxa"/>
            <w:tcBorders>
              <w:top w:val="nil"/>
              <w:left w:val="nil"/>
              <w:bottom w:val="single" w:color="auto" w:sz="4" w:space="0"/>
              <w:right w:val="single" w:color="auto" w:sz="4" w:space="0"/>
            </w:tcBorders>
            <w:noWrap/>
            <w:vAlign w:val="center"/>
          </w:tcPr>
          <w:p w14:paraId="1A9539C2">
            <w:pPr>
              <w:widowControl/>
              <w:spacing w:line="276" w:lineRule="auto"/>
              <w:jc w:val="left"/>
              <w:rPr>
                <w:kern w:val="0"/>
                <w:szCs w:val="21"/>
              </w:rPr>
            </w:pPr>
            <w:r>
              <w:rPr>
                <w:rFonts w:hint="eastAsia"/>
                <w:kern w:val="0"/>
                <w:szCs w:val="21"/>
              </w:rPr>
              <w:t>用于连接电缆与脉冲源（易损件）</w:t>
            </w:r>
          </w:p>
        </w:tc>
        <w:tc>
          <w:tcPr>
            <w:tcW w:w="800" w:type="dxa"/>
            <w:tcBorders>
              <w:top w:val="nil"/>
              <w:left w:val="nil"/>
              <w:bottom w:val="single" w:color="auto" w:sz="4" w:space="0"/>
              <w:right w:val="single" w:color="auto" w:sz="4" w:space="0"/>
            </w:tcBorders>
            <w:noWrap/>
            <w:vAlign w:val="center"/>
          </w:tcPr>
          <w:p w14:paraId="02F69593">
            <w:pPr>
              <w:widowControl/>
              <w:spacing w:line="276" w:lineRule="auto"/>
              <w:jc w:val="left"/>
              <w:rPr>
                <w:kern w:val="0"/>
                <w:szCs w:val="21"/>
              </w:rPr>
            </w:pPr>
            <w:r>
              <w:rPr>
                <w:rFonts w:hint="eastAsia"/>
                <w:kern w:val="0"/>
                <w:szCs w:val="21"/>
              </w:rPr>
              <w:t>12</w:t>
            </w:r>
            <w:r>
              <w:rPr>
                <w:kern w:val="0"/>
                <w:szCs w:val="21"/>
              </w:rPr>
              <w:t>套</w:t>
            </w:r>
          </w:p>
        </w:tc>
      </w:tr>
      <w:tr w14:paraId="67D44008">
        <w:tblPrEx>
          <w:tblCellMar>
            <w:top w:w="0" w:type="dxa"/>
            <w:left w:w="108" w:type="dxa"/>
            <w:bottom w:w="0" w:type="dxa"/>
            <w:right w:w="108" w:type="dxa"/>
          </w:tblCellMar>
        </w:tblPrEx>
        <w:trPr>
          <w:trHeight w:val="280" w:hRule="atLeast"/>
          <w:jc w:val="center"/>
        </w:trPr>
        <w:tc>
          <w:tcPr>
            <w:tcW w:w="1896" w:type="dxa"/>
            <w:vMerge w:val="continue"/>
            <w:tcBorders>
              <w:top w:val="single" w:color="auto" w:sz="4" w:space="0"/>
              <w:left w:val="single" w:color="auto" w:sz="4" w:space="0"/>
              <w:bottom w:val="single" w:color="auto" w:sz="4" w:space="0"/>
              <w:right w:val="single" w:color="auto" w:sz="4" w:space="0"/>
            </w:tcBorders>
            <w:noWrap/>
            <w:vAlign w:val="center"/>
          </w:tcPr>
          <w:p w14:paraId="3FF1A88F">
            <w:pPr>
              <w:spacing w:line="276" w:lineRule="auto"/>
              <w:jc w:val="left"/>
              <w:rPr>
                <w:kern w:val="0"/>
                <w:szCs w:val="21"/>
              </w:rPr>
            </w:pPr>
          </w:p>
        </w:tc>
        <w:tc>
          <w:tcPr>
            <w:tcW w:w="0" w:type="auto"/>
            <w:tcBorders>
              <w:top w:val="nil"/>
              <w:left w:val="nil"/>
              <w:bottom w:val="nil"/>
              <w:right w:val="single" w:color="auto" w:sz="4" w:space="0"/>
            </w:tcBorders>
            <w:noWrap/>
            <w:vAlign w:val="center"/>
          </w:tcPr>
          <w:p w14:paraId="4CB4585C">
            <w:pPr>
              <w:widowControl/>
              <w:spacing w:line="276" w:lineRule="auto"/>
              <w:jc w:val="left"/>
              <w:rPr>
                <w:kern w:val="0"/>
                <w:szCs w:val="21"/>
              </w:rPr>
            </w:pPr>
            <w:r>
              <w:rPr>
                <w:rFonts w:hint="eastAsia"/>
                <w:kern w:val="0"/>
                <w:szCs w:val="21"/>
              </w:rPr>
              <w:t>脉冲源保护组件（继电器、接地电阻、保护器件等）</w:t>
            </w:r>
          </w:p>
        </w:tc>
        <w:tc>
          <w:tcPr>
            <w:tcW w:w="4416" w:type="dxa"/>
            <w:tcBorders>
              <w:top w:val="nil"/>
              <w:left w:val="nil"/>
              <w:bottom w:val="nil"/>
              <w:right w:val="single" w:color="auto" w:sz="4" w:space="0"/>
            </w:tcBorders>
            <w:noWrap/>
            <w:vAlign w:val="center"/>
          </w:tcPr>
          <w:p w14:paraId="66CAD515">
            <w:pPr>
              <w:widowControl/>
              <w:spacing w:line="276" w:lineRule="auto"/>
              <w:jc w:val="left"/>
              <w:rPr>
                <w:kern w:val="0"/>
                <w:szCs w:val="21"/>
              </w:rPr>
            </w:pPr>
            <w:r>
              <w:rPr>
                <w:rFonts w:hint="eastAsia"/>
                <w:kern w:val="0"/>
                <w:szCs w:val="21"/>
              </w:rPr>
              <w:t>用于对脉冲源接地保护（易损件）</w:t>
            </w:r>
          </w:p>
        </w:tc>
        <w:tc>
          <w:tcPr>
            <w:tcW w:w="800" w:type="dxa"/>
            <w:tcBorders>
              <w:top w:val="nil"/>
              <w:left w:val="nil"/>
              <w:bottom w:val="nil"/>
              <w:right w:val="single" w:color="auto" w:sz="4" w:space="0"/>
            </w:tcBorders>
            <w:noWrap/>
            <w:vAlign w:val="center"/>
          </w:tcPr>
          <w:p w14:paraId="103A7E8C">
            <w:pPr>
              <w:widowControl/>
              <w:spacing w:line="276" w:lineRule="auto"/>
              <w:jc w:val="left"/>
              <w:rPr>
                <w:kern w:val="0"/>
                <w:szCs w:val="21"/>
              </w:rPr>
            </w:pPr>
            <w:r>
              <w:rPr>
                <w:kern w:val="0"/>
                <w:szCs w:val="21"/>
              </w:rPr>
              <w:t>6套</w:t>
            </w:r>
          </w:p>
        </w:tc>
      </w:tr>
      <w:tr w14:paraId="59E18D45">
        <w:tblPrEx>
          <w:tblCellMar>
            <w:top w:w="0" w:type="dxa"/>
            <w:left w:w="108" w:type="dxa"/>
            <w:bottom w:w="0" w:type="dxa"/>
            <w:right w:w="108" w:type="dxa"/>
          </w:tblCellMar>
        </w:tblPrEx>
        <w:trPr>
          <w:trHeight w:val="280" w:hRule="atLeast"/>
          <w:jc w:val="center"/>
        </w:trPr>
        <w:tc>
          <w:tcPr>
            <w:tcW w:w="1896" w:type="dxa"/>
            <w:vMerge w:val="continue"/>
            <w:tcBorders>
              <w:top w:val="single" w:color="auto" w:sz="4" w:space="0"/>
              <w:left w:val="single" w:color="auto" w:sz="4" w:space="0"/>
              <w:bottom w:val="single" w:color="auto" w:sz="4" w:space="0"/>
              <w:right w:val="single" w:color="auto" w:sz="4" w:space="0"/>
            </w:tcBorders>
            <w:noWrap/>
            <w:vAlign w:val="center"/>
          </w:tcPr>
          <w:p w14:paraId="72962AB9">
            <w:pPr>
              <w:spacing w:line="276" w:lineRule="auto"/>
              <w:jc w:val="left"/>
              <w:rPr>
                <w:kern w:val="0"/>
                <w:szCs w:val="21"/>
              </w:rPr>
            </w:pPr>
          </w:p>
        </w:tc>
        <w:tc>
          <w:tcPr>
            <w:tcW w:w="0" w:type="auto"/>
            <w:tcBorders>
              <w:top w:val="nil"/>
              <w:left w:val="nil"/>
              <w:bottom w:val="single" w:color="auto" w:sz="4" w:space="0"/>
              <w:right w:val="single" w:color="auto" w:sz="4" w:space="0"/>
            </w:tcBorders>
            <w:shd w:val="clear" w:color="auto" w:fill="auto"/>
            <w:noWrap/>
            <w:vAlign w:val="center"/>
          </w:tcPr>
          <w:p w14:paraId="1D11E922">
            <w:pPr>
              <w:widowControl/>
              <w:spacing w:line="276" w:lineRule="auto"/>
              <w:jc w:val="left"/>
              <w:rPr>
                <w:kern w:val="0"/>
                <w:szCs w:val="21"/>
              </w:rPr>
            </w:pPr>
            <w:r>
              <w:rPr>
                <w:rFonts w:hint="eastAsia"/>
                <w:kern w:val="0"/>
                <w:szCs w:val="21"/>
              </w:rPr>
              <w:t>假负载</w:t>
            </w:r>
          </w:p>
        </w:tc>
        <w:tc>
          <w:tcPr>
            <w:tcW w:w="4416" w:type="dxa"/>
            <w:tcBorders>
              <w:top w:val="nil"/>
              <w:left w:val="nil"/>
              <w:bottom w:val="single" w:color="auto" w:sz="4" w:space="0"/>
              <w:right w:val="single" w:color="auto" w:sz="4" w:space="0"/>
            </w:tcBorders>
            <w:shd w:val="clear" w:color="auto" w:fill="auto"/>
            <w:noWrap/>
            <w:vAlign w:val="center"/>
          </w:tcPr>
          <w:p w14:paraId="3E2F24E2">
            <w:pPr>
              <w:widowControl/>
              <w:spacing w:line="276" w:lineRule="auto"/>
              <w:jc w:val="left"/>
              <w:rPr>
                <w:kern w:val="0"/>
                <w:szCs w:val="21"/>
              </w:rPr>
            </w:pPr>
            <w:r>
              <w:rPr>
                <w:rFonts w:hint="eastAsia"/>
                <w:kern w:val="0"/>
                <w:szCs w:val="21"/>
              </w:rPr>
              <w:t>用于电缆考核</w:t>
            </w:r>
          </w:p>
        </w:tc>
        <w:tc>
          <w:tcPr>
            <w:tcW w:w="800" w:type="dxa"/>
            <w:tcBorders>
              <w:top w:val="nil"/>
              <w:left w:val="nil"/>
              <w:bottom w:val="single" w:color="auto" w:sz="4" w:space="0"/>
              <w:right w:val="single" w:color="auto" w:sz="4" w:space="0"/>
            </w:tcBorders>
            <w:noWrap/>
            <w:vAlign w:val="center"/>
          </w:tcPr>
          <w:p w14:paraId="2650D8F1">
            <w:pPr>
              <w:widowControl/>
              <w:spacing w:line="276" w:lineRule="auto"/>
              <w:jc w:val="left"/>
              <w:rPr>
                <w:kern w:val="0"/>
                <w:szCs w:val="21"/>
              </w:rPr>
            </w:pPr>
            <w:r>
              <w:rPr>
                <w:rFonts w:hint="eastAsia"/>
                <w:kern w:val="0"/>
                <w:szCs w:val="21"/>
              </w:rPr>
              <w:t>2套</w:t>
            </w:r>
          </w:p>
        </w:tc>
      </w:tr>
    </w:tbl>
    <w:p w14:paraId="41111AA0">
      <w:pPr>
        <w:tabs>
          <w:tab w:val="left" w:pos="900"/>
        </w:tabs>
        <w:adjustRightInd w:val="0"/>
        <w:snapToGrid w:val="0"/>
        <w:spacing w:line="360" w:lineRule="auto"/>
        <w:ind w:firstLine="420" w:firstLineChars="200"/>
        <w:rPr>
          <w:szCs w:val="21"/>
        </w:rPr>
      </w:pPr>
    </w:p>
    <w:p w14:paraId="3A8E50F8">
      <w:pPr>
        <w:tabs>
          <w:tab w:val="left" w:pos="900"/>
        </w:tabs>
        <w:adjustRightInd w:val="0"/>
        <w:snapToGrid w:val="0"/>
        <w:spacing w:line="360" w:lineRule="auto"/>
        <w:ind w:firstLine="422" w:firstLineChars="200"/>
        <w:rPr>
          <w:b/>
          <w:szCs w:val="21"/>
        </w:rPr>
        <w:sectPr>
          <w:pgSz w:w="16838" w:h="11906" w:orient="landscape"/>
          <w:pgMar w:top="1418" w:right="1871" w:bottom="1418"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6EED63A5">
      <w:pPr>
        <w:tabs>
          <w:tab w:val="left" w:pos="900"/>
        </w:tabs>
        <w:adjustRightInd w:val="0"/>
        <w:snapToGrid w:val="0"/>
        <w:spacing w:line="360" w:lineRule="auto"/>
        <w:ind w:firstLine="422" w:firstLineChars="200"/>
        <w:rPr>
          <w:b/>
          <w:szCs w:val="21"/>
        </w:rPr>
      </w:pPr>
      <w:r>
        <w:rPr>
          <w:b/>
          <w:szCs w:val="21"/>
        </w:rPr>
        <w:t>四、采购标的需满足的质量、安全、技术规格、物理特性等要求：</w:t>
      </w:r>
    </w:p>
    <w:p w14:paraId="1EE8228A">
      <w:pPr>
        <w:tabs>
          <w:tab w:val="left" w:pos="900"/>
        </w:tabs>
        <w:adjustRightInd w:val="0"/>
        <w:snapToGrid w:val="0"/>
        <w:spacing w:line="360" w:lineRule="auto"/>
        <w:jc w:val="center"/>
        <w:rPr>
          <w:b/>
          <w:szCs w:val="21"/>
        </w:rPr>
      </w:pPr>
      <w:r>
        <w:rPr>
          <w:b/>
          <w:szCs w:val="21"/>
        </w:rPr>
        <w:object>
          <v:shape id="_x0000_i1025" o:spt="75" type="#_x0000_t75" style="height:255.3pt;width:255.3pt;" o:ole="t" filled="f" o:preferrelative="t" stroked="f" coordsize="21600,21600">
            <v:path/>
            <v:fill on="f" focussize="0,0"/>
            <v:stroke on="f" joinstyle="miter"/>
            <v:imagedata r:id="rId6" o:title=""/>
            <o:lock v:ext="edit" aspectratio="f"/>
            <w10:wrap type="none"/>
            <w10:anchorlock/>
          </v:shape>
          <o:OLEObject Type="Embed" ProgID="Visio.Drawing.15" ShapeID="_x0000_i1025" DrawAspect="Content" ObjectID="_1468075725" r:id="rId5">
            <o:LockedField>false</o:LockedField>
          </o:OLEObject>
        </w:object>
      </w:r>
    </w:p>
    <w:p w14:paraId="6F66A31E">
      <w:pPr>
        <w:tabs>
          <w:tab w:val="left" w:pos="900"/>
        </w:tabs>
        <w:adjustRightInd w:val="0"/>
        <w:snapToGrid w:val="0"/>
        <w:spacing w:line="360" w:lineRule="auto"/>
        <w:ind w:firstLine="420" w:firstLineChars="200"/>
        <w:jc w:val="center"/>
        <w:rPr>
          <w:rFonts w:hint="eastAsia"/>
          <w:szCs w:val="24"/>
        </w:rPr>
      </w:pPr>
      <w:r>
        <w:rPr>
          <w:rFonts w:hint="eastAsia"/>
          <w:szCs w:val="24"/>
        </w:rPr>
        <w:t>图1 脉冲功率系统组成图</w:t>
      </w:r>
    </w:p>
    <w:p w14:paraId="1BA1F411">
      <w:pPr>
        <w:tabs>
          <w:tab w:val="left" w:pos="900"/>
        </w:tabs>
        <w:adjustRightInd w:val="0"/>
        <w:snapToGrid w:val="0"/>
        <w:spacing w:line="360" w:lineRule="auto"/>
        <w:ind w:firstLine="422" w:firstLineChars="200"/>
        <w:jc w:val="center"/>
        <w:rPr>
          <w:b/>
          <w:szCs w:val="21"/>
        </w:rPr>
      </w:pPr>
      <w:r>
        <w:rPr>
          <w:b/>
          <w:szCs w:val="21"/>
        </w:rPr>
        <w:object>
          <v:shape id="_x0000_i1026" o:spt="75" type="#_x0000_t75" style="height:128.1pt;width:300.8pt;" o:ole="t" filled="f" o:preferrelative="t" stroked="f" coordsize="21600,21600">
            <v:path/>
            <v:fill on="f" focussize="0,0"/>
            <v:stroke on="f" joinstyle="miter"/>
            <v:imagedata r:id="rId8" o:title=""/>
            <o:lock v:ext="edit" aspectratio="f"/>
            <w10:wrap type="none"/>
            <w10:anchorlock/>
          </v:shape>
          <o:OLEObject Type="Embed" ProgID="Visio.Drawing.15" ShapeID="_x0000_i1026" DrawAspect="Content" ObjectID="_1468075726" r:id="rId7">
            <o:LockedField>false</o:LockedField>
          </o:OLEObject>
        </w:object>
      </w:r>
    </w:p>
    <w:p w14:paraId="04F58914">
      <w:pPr>
        <w:tabs>
          <w:tab w:val="left" w:pos="900"/>
        </w:tabs>
        <w:adjustRightInd w:val="0"/>
        <w:snapToGrid w:val="0"/>
        <w:spacing w:line="360" w:lineRule="auto"/>
        <w:jc w:val="center"/>
        <w:rPr>
          <w:rFonts w:hint="eastAsia"/>
          <w:szCs w:val="24"/>
        </w:rPr>
      </w:pPr>
      <w:r>
        <w:rPr>
          <w:rFonts w:hint="eastAsia"/>
          <w:szCs w:val="24"/>
        </w:rPr>
        <w:t>图2 电缆考核平台组成图</w:t>
      </w:r>
    </w:p>
    <w:p w14:paraId="4815BB43">
      <w:pPr>
        <w:tabs>
          <w:tab w:val="left" w:pos="900"/>
        </w:tabs>
        <w:adjustRightInd w:val="0"/>
        <w:snapToGrid w:val="0"/>
        <w:spacing w:line="360" w:lineRule="auto"/>
        <w:ind w:firstLine="420" w:firstLineChars="200"/>
        <w:rPr>
          <w:szCs w:val="21"/>
        </w:rPr>
      </w:pPr>
      <w:r>
        <w:rPr>
          <w:szCs w:val="21"/>
        </w:rPr>
        <w:t>1、脉冲功率驱动源：脉冲功率驱动源主要包含恒流充电电源、储能电容器、固态放电开关及相关配件组成，其技术与功能性指标如下：</w:t>
      </w:r>
    </w:p>
    <w:p w14:paraId="5267AF8A">
      <w:pPr>
        <w:tabs>
          <w:tab w:val="left" w:pos="900"/>
        </w:tabs>
        <w:adjustRightInd w:val="0"/>
        <w:snapToGrid w:val="0"/>
        <w:spacing w:line="360" w:lineRule="auto"/>
        <w:ind w:firstLine="420" w:firstLineChars="200"/>
        <w:rPr>
          <w:szCs w:val="21"/>
        </w:rPr>
      </w:pPr>
      <w:r>
        <w:rPr>
          <w:szCs w:val="21"/>
        </w:rPr>
        <w:t>1.1功能指标</w:t>
      </w:r>
    </w:p>
    <w:p w14:paraId="0D3B6DA2">
      <w:pPr>
        <w:tabs>
          <w:tab w:val="left" w:pos="900"/>
        </w:tabs>
        <w:adjustRightInd w:val="0"/>
        <w:snapToGrid w:val="0"/>
        <w:spacing w:line="360" w:lineRule="auto"/>
        <w:ind w:firstLine="420" w:firstLineChars="200"/>
        <w:rPr>
          <w:szCs w:val="21"/>
        </w:rPr>
      </w:pPr>
      <w:r>
        <w:rPr>
          <w:szCs w:val="21"/>
        </w:rPr>
        <w:t>1.1.1自动控制功能：能够实现工作流程自动控制功能，如开机、软启动、高压充电、达值停充、触发放电、泄放、关机等。</w:t>
      </w:r>
    </w:p>
    <w:p w14:paraId="237EC032">
      <w:pPr>
        <w:tabs>
          <w:tab w:val="left" w:pos="900"/>
        </w:tabs>
        <w:adjustRightInd w:val="0"/>
        <w:snapToGrid w:val="0"/>
        <w:spacing w:line="360" w:lineRule="auto"/>
        <w:ind w:firstLine="420" w:firstLineChars="200"/>
        <w:rPr>
          <w:szCs w:val="21"/>
        </w:rPr>
      </w:pPr>
      <w:r>
        <w:rPr>
          <w:szCs w:val="21"/>
        </w:rPr>
        <w:t>1.1.2高压充电功能：根据充电指令，进行自动充电控制，高压充电电源给高压储能电容器充电至电压设置值。</w:t>
      </w:r>
    </w:p>
    <w:p w14:paraId="79805B69">
      <w:pPr>
        <w:tabs>
          <w:tab w:val="left" w:pos="900"/>
        </w:tabs>
        <w:adjustRightInd w:val="0"/>
        <w:snapToGrid w:val="0"/>
        <w:spacing w:line="360" w:lineRule="auto"/>
        <w:ind w:firstLine="420" w:firstLineChars="200"/>
        <w:rPr>
          <w:szCs w:val="21"/>
        </w:rPr>
      </w:pPr>
      <w:r>
        <w:rPr>
          <w:szCs w:val="21"/>
        </w:rPr>
        <w:t>1.1.3同步触发功能：外同步触发工作方式，高压充电完毕后，上报充电达值状态信号，处在触发准备状态，当接收到外部光纤触发信号，执行高压触发动作，触发高压开关，实现脉冲功率放电输出。</w:t>
      </w:r>
    </w:p>
    <w:p w14:paraId="06B31CAE">
      <w:pPr>
        <w:tabs>
          <w:tab w:val="left" w:pos="900"/>
        </w:tabs>
        <w:adjustRightInd w:val="0"/>
        <w:snapToGrid w:val="0"/>
        <w:spacing w:line="360" w:lineRule="auto"/>
        <w:ind w:firstLine="420" w:firstLineChars="200"/>
        <w:rPr>
          <w:szCs w:val="21"/>
        </w:rPr>
      </w:pPr>
      <w:r>
        <w:rPr>
          <w:szCs w:val="21"/>
        </w:rPr>
        <w:t>1.1.4通讯功能：具有通讯功能，脉冲功率驱动源通过光纤通讯与上位机进行数据交互。接收下发的工作参数和工作指令，同时上报设备工作状态、运行参数、告警、故障等信息。</w:t>
      </w:r>
    </w:p>
    <w:p w14:paraId="0AAEC929">
      <w:pPr>
        <w:tabs>
          <w:tab w:val="left" w:pos="900"/>
        </w:tabs>
        <w:adjustRightInd w:val="0"/>
        <w:snapToGrid w:val="0"/>
        <w:spacing w:line="360" w:lineRule="auto"/>
        <w:ind w:firstLine="420" w:firstLineChars="200"/>
        <w:rPr>
          <w:szCs w:val="21"/>
        </w:rPr>
      </w:pPr>
      <w:r>
        <w:rPr>
          <w:szCs w:val="21"/>
        </w:rPr>
        <w:t>1.1.5保护功能：具有交流输入过压、交流输入欠压、直流输出过压、内部过流、开关故障、输出过流、过温等各种检测和保护功能，保护功能动作时，确保高压充电回路无法充电。通过光纤通讯上报告警和故障信息，本地需设置告警和故障指示灯。</w:t>
      </w:r>
    </w:p>
    <w:p w14:paraId="74D51E3F">
      <w:pPr>
        <w:tabs>
          <w:tab w:val="left" w:pos="900"/>
        </w:tabs>
        <w:adjustRightInd w:val="0"/>
        <w:snapToGrid w:val="0"/>
        <w:spacing w:line="360" w:lineRule="auto"/>
        <w:ind w:firstLine="420" w:firstLineChars="200"/>
        <w:rPr>
          <w:szCs w:val="21"/>
        </w:rPr>
      </w:pPr>
      <w:r>
        <w:rPr>
          <w:szCs w:val="21"/>
        </w:rPr>
        <w:t>1.1.6显示操作功能：设置液晶显示功能，显示系统运行状态、工作参数（包括电流电压波形）等。可以通过键盘和鼠标进行操作。</w:t>
      </w:r>
    </w:p>
    <w:p w14:paraId="7C873F76">
      <w:pPr>
        <w:tabs>
          <w:tab w:val="left" w:pos="900"/>
        </w:tabs>
        <w:adjustRightInd w:val="0"/>
        <w:snapToGrid w:val="0"/>
        <w:spacing w:line="360" w:lineRule="auto"/>
        <w:ind w:firstLine="420" w:firstLineChars="200"/>
        <w:rPr>
          <w:szCs w:val="21"/>
        </w:rPr>
      </w:pPr>
      <w:r>
        <w:rPr>
          <w:szCs w:val="21"/>
        </w:rPr>
        <w:t>1.1.7储能功能：内置高压脉冲电容器，实现直流储能、脉冲放电。</w:t>
      </w:r>
    </w:p>
    <w:p w14:paraId="71F1C4C2">
      <w:pPr>
        <w:tabs>
          <w:tab w:val="left" w:pos="900"/>
        </w:tabs>
        <w:adjustRightInd w:val="0"/>
        <w:snapToGrid w:val="0"/>
        <w:spacing w:line="360" w:lineRule="auto"/>
        <w:ind w:firstLine="420" w:firstLineChars="200"/>
        <w:rPr>
          <w:szCs w:val="21"/>
        </w:rPr>
      </w:pPr>
      <w:r>
        <w:rPr>
          <w:szCs w:val="21"/>
        </w:rPr>
        <w:t>1.1.8高压输出：脉冲功率驱动源输出需采用高压同轴电缆及配套同轴终端附件，实现与放电负载的连接。</w:t>
      </w:r>
    </w:p>
    <w:p w14:paraId="6732406F">
      <w:pPr>
        <w:tabs>
          <w:tab w:val="left" w:pos="900"/>
        </w:tabs>
        <w:adjustRightInd w:val="0"/>
        <w:snapToGrid w:val="0"/>
        <w:spacing w:line="360" w:lineRule="auto"/>
        <w:ind w:firstLine="420" w:firstLineChars="200"/>
        <w:rPr>
          <w:szCs w:val="21"/>
        </w:rPr>
      </w:pPr>
      <w:r>
        <w:rPr>
          <w:szCs w:val="21"/>
        </w:rPr>
        <w:t>1.1.9放电功能：需内置固态放电开关，实现高压脉冲放电功能。</w:t>
      </w:r>
    </w:p>
    <w:p w14:paraId="4CAAE347">
      <w:pPr>
        <w:tabs>
          <w:tab w:val="left" w:pos="900"/>
        </w:tabs>
        <w:adjustRightInd w:val="0"/>
        <w:snapToGrid w:val="0"/>
        <w:spacing w:line="360" w:lineRule="auto"/>
        <w:ind w:firstLine="420" w:firstLineChars="200"/>
        <w:rPr>
          <w:szCs w:val="21"/>
        </w:rPr>
      </w:pPr>
      <w:r>
        <w:rPr>
          <w:szCs w:val="21"/>
        </w:rPr>
        <w:t>1.1.10放电电流监测功能：需具备脉冲放电电流波形采集、数据处理、异常放电判断等功能。</w:t>
      </w:r>
    </w:p>
    <w:p w14:paraId="6B85FD17">
      <w:pPr>
        <w:tabs>
          <w:tab w:val="left" w:pos="900"/>
        </w:tabs>
        <w:adjustRightInd w:val="0"/>
        <w:snapToGrid w:val="0"/>
        <w:spacing w:line="360" w:lineRule="auto"/>
        <w:ind w:firstLine="420" w:firstLineChars="200"/>
        <w:rPr>
          <w:szCs w:val="21"/>
        </w:rPr>
      </w:pPr>
      <w:r>
        <w:rPr>
          <w:szCs w:val="21"/>
        </w:rPr>
        <w:t>1.1.11急停功能：需在设备操作面板上设置急停按钮。设备异常时，按下急停按钮，设备处于急停状态，高压泄放回路闭合泄能，主功率电路的交流输入断开，确保设备及人员处于安全状态。</w:t>
      </w:r>
    </w:p>
    <w:p w14:paraId="522103EC">
      <w:pPr>
        <w:tabs>
          <w:tab w:val="left" w:pos="900"/>
        </w:tabs>
        <w:adjustRightInd w:val="0"/>
        <w:snapToGrid w:val="0"/>
        <w:spacing w:line="360" w:lineRule="auto"/>
        <w:ind w:firstLine="420" w:firstLineChars="200"/>
        <w:rPr>
          <w:szCs w:val="21"/>
        </w:rPr>
      </w:pPr>
      <w:r>
        <w:rPr>
          <w:szCs w:val="21"/>
        </w:rPr>
        <w:t>1.2技术指标如下：（▲为重要指标）</w:t>
      </w:r>
    </w:p>
    <w:p w14:paraId="426EFE18">
      <w:pPr>
        <w:tabs>
          <w:tab w:val="left" w:pos="900"/>
        </w:tabs>
        <w:adjustRightInd w:val="0"/>
        <w:snapToGrid w:val="0"/>
        <w:spacing w:line="360" w:lineRule="auto"/>
        <w:ind w:firstLine="420" w:firstLineChars="200"/>
        <w:rPr>
          <w:szCs w:val="21"/>
        </w:rPr>
      </w:pPr>
      <w:r>
        <w:rPr>
          <w:szCs w:val="21"/>
        </w:rPr>
        <w:t>1.2.1脉冲电源采用模块化结构，5个模块可分别单独输出，通过同步触发器可实现200kJ、300kJ、400kJ和500kJ能量组合输出</w:t>
      </w:r>
      <w:r>
        <w:rPr>
          <w:sz w:val="24"/>
        </w:rPr>
        <w:t>▲</w:t>
      </w:r>
      <w:r>
        <w:rPr>
          <w:szCs w:val="21"/>
        </w:rPr>
        <w:t>。</w:t>
      </w:r>
    </w:p>
    <w:p w14:paraId="23934107">
      <w:pPr>
        <w:tabs>
          <w:tab w:val="left" w:pos="900"/>
        </w:tabs>
        <w:adjustRightInd w:val="0"/>
        <w:snapToGrid w:val="0"/>
        <w:spacing w:line="360" w:lineRule="auto"/>
        <w:ind w:firstLine="420" w:firstLineChars="200"/>
        <w:rPr>
          <w:szCs w:val="21"/>
        </w:rPr>
      </w:pPr>
      <w:r>
        <w:rPr>
          <w:szCs w:val="21"/>
        </w:rPr>
        <w:t>1.2.2单个脉冲源模块储能量范围100kJ~110kJ，工作电压10kV~30kV。</w:t>
      </w:r>
    </w:p>
    <w:p w14:paraId="0090F75F">
      <w:pPr>
        <w:tabs>
          <w:tab w:val="left" w:pos="900"/>
        </w:tabs>
        <w:adjustRightInd w:val="0"/>
        <w:snapToGrid w:val="0"/>
        <w:spacing w:line="360" w:lineRule="auto"/>
        <w:ind w:firstLine="420" w:firstLineChars="200"/>
        <w:rPr>
          <w:szCs w:val="21"/>
        </w:rPr>
      </w:pPr>
      <w:r>
        <w:rPr>
          <w:szCs w:val="21"/>
        </w:rPr>
        <w:t>1.2.3脉冲源</w:t>
      </w:r>
      <w:r>
        <w:rPr>
          <w:rFonts w:eastAsiaTheme="majorEastAsia"/>
          <w:szCs w:val="21"/>
        </w:rPr>
        <w:t>输出电流：在30kV工作电压下，输出电流≥150kA；</w:t>
      </w:r>
      <w:r>
        <w:rPr>
          <w:szCs w:val="21"/>
        </w:rPr>
        <w:t>电流上升率不低于 2.2 kA/μs（10%~90% 峰值区间）</w:t>
      </w:r>
      <w:r>
        <w:rPr>
          <w:rFonts w:eastAsiaTheme="majorEastAsia"/>
          <w:szCs w:val="21"/>
        </w:rPr>
        <w:t>。</w:t>
      </w:r>
      <w:r>
        <w:rPr>
          <w:szCs w:val="21"/>
        </w:rPr>
        <w:t>测试条件：脉冲源外接 50 m 电缆（见指标1.2.10）。</w:t>
      </w:r>
    </w:p>
    <w:p w14:paraId="5CB8D6E5">
      <w:pPr>
        <w:tabs>
          <w:tab w:val="left" w:pos="900"/>
        </w:tabs>
        <w:adjustRightInd w:val="0"/>
        <w:snapToGrid w:val="0"/>
        <w:spacing w:line="360" w:lineRule="auto"/>
        <w:ind w:firstLine="420" w:firstLineChars="200"/>
        <w:rPr>
          <w:szCs w:val="21"/>
        </w:rPr>
      </w:pPr>
      <w:r>
        <w:rPr>
          <w:szCs w:val="21"/>
        </w:rPr>
        <w:t>1.2.4</w:t>
      </w:r>
      <w:r>
        <w:rPr>
          <w:rFonts w:hint="eastAsia"/>
          <w:szCs w:val="21"/>
        </w:rPr>
        <w:t>单台</w:t>
      </w:r>
      <w:r>
        <w:rPr>
          <w:szCs w:val="21"/>
        </w:rPr>
        <w:t>脉冲源整体体积：≤1.5m*1.8m*1.8m（长宽高）</w:t>
      </w:r>
      <w:r>
        <w:rPr>
          <w:rFonts w:hint="eastAsia"/>
          <w:szCs w:val="21"/>
        </w:rPr>
        <w:t>；整体重量：≤2000kg</w:t>
      </w:r>
      <w:r>
        <w:rPr>
          <w:szCs w:val="21"/>
        </w:rPr>
        <w:t>。</w:t>
      </w:r>
    </w:p>
    <w:p w14:paraId="138D9123">
      <w:pPr>
        <w:tabs>
          <w:tab w:val="left" w:pos="900"/>
        </w:tabs>
        <w:adjustRightInd w:val="0"/>
        <w:snapToGrid w:val="0"/>
        <w:spacing w:line="360" w:lineRule="auto"/>
        <w:ind w:firstLine="420" w:firstLineChars="200"/>
        <w:rPr>
          <w:szCs w:val="21"/>
        </w:rPr>
      </w:pPr>
      <w:r>
        <w:rPr>
          <w:szCs w:val="21"/>
        </w:rPr>
        <w:t>1.2.5高压直流电源输入电压范围：AC380 V±10%，三相五线。</w:t>
      </w:r>
    </w:p>
    <w:p w14:paraId="0133157B">
      <w:pPr>
        <w:tabs>
          <w:tab w:val="left" w:pos="900"/>
        </w:tabs>
        <w:adjustRightInd w:val="0"/>
        <w:snapToGrid w:val="0"/>
        <w:spacing w:line="360" w:lineRule="auto"/>
        <w:ind w:firstLine="420" w:firstLineChars="200"/>
        <w:rPr>
          <w:rFonts w:eastAsiaTheme="majorEastAsia"/>
          <w:szCs w:val="21"/>
        </w:rPr>
      </w:pPr>
      <w:r>
        <w:rPr>
          <w:rFonts w:eastAsiaTheme="majorEastAsia"/>
          <w:szCs w:val="21"/>
        </w:rPr>
        <w:t>1.2.6</w:t>
      </w:r>
      <w:r>
        <w:rPr>
          <w:szCs w:val="21"/>
        </w:rPr>
        <w:t>高压直流电源采用恒流输出模式，</w:t>
      </w:r>
      <w:r>
        <w:rPr>
          <w:rFonts w:hint="eastAsia"/>
          <w:szCs w:val="21"/>
        </w:rPr>
        <w:t>最大输入功率需≤12kW；</w:t>
      </w:r>
      <w:r>
        <w:rPr>
          <w:szCs w:val="21"/>
        </w:rPr>
        <w:t>最大充电</w:t>
      </w:r>
      <w:r>
        <w:rPr>
          <w:rFonts w:hint="eastAsia"/>
          <w:szCs w:val="21"/>
        </w:rPr>
        <w:t>输出</w:t>
      </w:r>
      <w:r>
        <w:rPr>
          <w:szCs w:val="21"/>
        </w:rPr>
        <w:t>功率：≥10kW，最大输出电流：≥350mA。</w:t>
      </w:r>
    </w:p>
    <w:p w14:paraId="2A84EAFD">
      <w:pPr>
        <w:tabs>
          <w:tab w:val="left" w:pos="900"/>
        </w:tabs>
        <w:adjustRightInd w:val="0"/>
        <w:snapToGrid w:val="0"/>
        <w:spacing w:line="360" w:lineRule="auto"/>
        <w:ind w:firstLine="420" w:firstLineChars="200"/>
        <w:rPr>
          <w:szCs w:val="21"/>
        </w:rPr>
      </w:pPr>
      <w:r>
        <w:rPr>
          <w:szCs w:val="21"/>
        </w:rPr>
        <w:t>1.2.7高压直流电源连续过流/过压3次 ，启动断电接地保护。</w:t>
      </w:r>
    </w:p>
    <w:p w14:paraId="64F1A443">
      <w:pPr>
        <w:tabs>
          <w:tab w:val="left" w:pos="900"/>
        </w:tabs>
        <w:adjustRightInd w:val="0"/>
        <w:snapToGrid w:val="0"/>
        <w:spacing w:line="360" w:lineRule="auto"/>
        <w:ind w:firstLine="420" w:firstLineChars="200"/>
        <w:rPr>
          <w:szCs w:val="21"/>
        </w:rPr>
      </w:pPr>
      <w:r>
        <w:rPr>
          <w:szCs w:val="21"/>
        </w:rPr>
        <w:t>1.2.8电容器：在150kA脉冲电流峰值，电流上升率不低于2.2kA/μs，反峰电流20%放电条件下，工作寿命不低于10000次；电容器电容器储能能量密度不低于1.2J/cm³。</w:t>
      </w:r>
    </w:p>
    <w:p w14:paraId="1776FCBD">
      <w:pPr>
        <w:tabs>
          <w:tab w:val="left" w:pos="900"/>
        </w:tabs>
        <w:adjustRightInd w:val="0"/>
        <w:snapToGrid w:val="0"/>
        <w:spacing w:line="360" w:lineRule="auto"/>
        <w:ind w:firstLine="420" w:firstLineChars="200"/>
        <w:rPr>
          <w:szCs w:val="21"/>
        </w:rPr>
      </w:pPr>
      <w:r>
        <w:rPr>
          <w:szCs w:val="21"/>
        </w:rPr>
        <w:t>1.2.9固体开关：需采用压接式脉冲型光控晶闸管，晶闸管内部设置正向BOD保护，晶闸管组件的额定工作电压：30kV；最大放电电流：≥150kA（底宽≤250µs）；工作方式：1 次/6min，连续工作；冷却方式：通过自冷散热器冷却。</w:t>
      </w:r>
    </w:p>
    <w:p w14:paraId="50DEE8D6">
      <w:pPr>
        <w:tabs>
          <w:tab w:val="left" w:pos="900"/>
        </w:tabs>
        <w:adjustRightInd w:val="0"/>
        <w:snapToGrid w:val="0"/>
        <w:spacing w:line="360" w:lineRule="auto"/>
        <w:ind w:firstLine="420" w:firstLineChars="200"/>
        <w:rPr>
          <w:szCs w:val="21"/>
        </w:rPr>
      </w:pPr>
      <w:r>
        <w:rPr>
          <w:szCs w:val="21"/>
        </w:rPr>
        <w:t>1.2.10输出电缆：应为高压大电流脉冲电缆，铜质内导体截面积大于85mm</w:t>
      </w:r>
      <w:r>
        <w:rPr>
          <w:szCs w:val="21"/>
          <w:vertAlign w:val="superscript"/>
        </w:rPr>
        <w:t>2</w:t>
      </w:r>
      <w:r>
        <w:rPr>
          <w:szCs w:val="21"/>
        </w:rPr>
        <w:t>，长度150m×5根，须有PU耐磨防护层，在电流上升率不低于2.2 kA/μs，峰值不低于150kA的脉冲电流作用下连续作业1000次以上，电缆无鼓包、缩径。</w:t>
      </w:r>
      <w:r>
        <w:rPr>
          <w:sz w:val="24"/>
        </w:rPr>
        <w:t>▲</w:t>
      </w:r>
    </w:p>
    <w:p w14:paraId="3A4E3055">
      <w:pPr>
        <w:tabs>
          <w:tab w:val="left" w:pos="900"/>
        </w:tabs>
        <w:adjustRightInd w:val="0"/>
        <w:snapToGrid w:val="0"/>
        <w:spacing w:line="360" w:lineRule="auto"/>
        <w:ind w:firstLine="420" w:firstLineChars="200"/>
        <w:rPr>
          <w:szCs w:val="21"/>
        </w:rPr>
      </w:pPr>
      <w:r>
        <w:rPr>
          <w:szCs w:val="21"/>
        </w:rPr>
        <w:t>1.2.11电缆接续附件：需与上述电缆配套，满足同轴输出，包括电源柜输出同轴插座、电缆起始段附件和电缆负载终端附件，通流能力≥150kA。</w:t>
      </w:r>
      <w:r>
        <w:rPr>
          <w:sz w:val="24"/>
        </w:rPr>
        <w:t>▲</w:t>
      </w:r>
    </w:p>
    <w:p w14:paraId="34F34CCE">
      <w:pPr>
        <w:tabs>
          <w:tab w:val="left" w:pos="900"/>
        </w:tabs>
        <w:adjustRightInd w:val="0"/>
        <w:snapToGrid w:val="0"/>
        <w:spacing w:line="360" w:lineRule="auto"/>
        <w:ind w:firstLine="420" w:firstLineChars="200"/>
        <w:rPr>
          <w:szCs w:val="21"/>
        </w:rPr>
      </w:pPr>
      <w:r>
        <w:rPr>
          <w:szCs w:val="21"/>
        </w:rPr>
        <w:t>1.2.12测量探头：脉冲功率驱动源输出电流探头及其相关配件</w:t>
      </w:r>
      <w:r>
        <w:rPr>
          <w:rFonts w:hint="eastAsia"/>
          <w:szCs w:val="21"/>
        </w:rPr>
        <w:t>6</w:t>
      </w:r>
      <w:r>
        <w:rPr>
          <w:szCs w:val="21"/>
        </w:rPr>
        <w:t>套，电压探头及其相关配件</w:t>
      </w:r>
      <w:r>
        <w:rPr>
          <w:rFonts w:hint="eastAsia"/>
          <w:szCs w:val="21"/>
        </w:rPr>
        <w:t>6</w:t>
      </w:r>
      <w:r>
        <w:rPr>
          <w:szCs w:val="21"/>
        </w:rPr>
        <w:t>套；电流探头精度需满足：幅值范围不低于0-180 kA，检测带宽范围不低于0-16 MHz，电压探头精度需满足：幅值范围不低于0-36kV，检测带宽范围不低于0-120MHz；</w:t>
      </w:r>
    </w:p>
    <w:p w14:paraId="234D847D">
      <w:pPr>
        <w:tabs>
          <w:tab w:val="left" w:pos="900"/>
        </w:tabs>
        <w:adjustRightInd w:val="0"/>
        <w:snapToGrid w:val="0"/>
        <w:spacing w:line="360" w:lineRule="auto"/>
        <w:ind w:firstLine="420" w:firstLineChars="200"/>
        <w:rPr>
          <w:szCs w:val="21"/>
        </w:rPr>
      </w:pPr>
      <w:r>
        <w:rPr>
          <w:szCs w:val="21"/>
        </w:rPr>
        <w:t>2、同步触发设备：同步触发设备主要用于控制5台脉冲功率驱动源的相互配合，其技术与功能性指标如下：</w:t>
      </w:r>
    </w:p>
    <w:p w14:paraId="094FBC56">
      <w:pPr>
        <w:tabs>
          <w:tab w:val="left" w:pos="900"/>
        </w:tabs>
        <w:adjustRightInd w:val="0"/>
        <w:snapToGrid w:val="0"/>
        <w:spacing w:line="360" w:lineRule="auto"/>
        <w:ind w:firstLine="420" w:firstLineChars="200"/>
        <w:rPr>
          <w:szCs w:val="21"/>
        </w:rPr>
      </w:pPr>
      <w:r>
        <w:rPr>
          <w:szCs w:val="21"/>
        </w:rPr>
        <w:t>2.1功能指标</w:t>
      </w:r>
    </w:p>
    <w:p w14:paraId="608DE9DA">
      <w:pPr>
        <w:tabs>
          <w:tab w:val="left" w:pos="900"/>
        </w:tabs>
        <w:adjustRightInd w:val="0"/>
        <w:snapToGrid w:val="0"/>
        <w:spacing w:line="360" w:lineRule="auto"/>
        <w:ind w:firstLine="420" w:firstLineChars="200"/>
        <w:rPr>
          <w:szCs w:val="21"/>
        </w:rPr>
      </w:pPr>
      <w:r>
        <w:rPr>
          <w:szCs w:val="21"/>
        </w:rPr>
        <w:t>2.1.1参数设置功能：同步触发模块需通过人机界面进行运行参数设置。主要包括充电电压、同步触发延时时间等参数设置。充电电压参数设置通过光纤通讯下发给脉冲功率驱动源。同步触发延时时间参数设置本机执行。</w:t>
      </w:r>
    </w:p>
    <w:p w14:paraId="23C1A476">
      <w:pPr>
        <w:tabs>
          <w:tab w:val="left" w:pos="900"/>
        </w:tabs>
        <w:adjustRightInd w:val="0"/>
        <w:snapToGrid w:val="0"/>
        <w:spacing w:line="360" w:lineRule="auto"/>
        <w:ind w:firstLine="420" w:firstLineChars="200"/>
        <w:rPr>
          <w:szCs w:val="21"/>
        </w:rPr>
      </w:pPr>
      <w:r>
        <w:rPr>
          <w:szCs w:val="21"/>
        </w:rPr>
        <w:t>2.1.2触发控制功能：内部需设置触发控制单元，其中输出10路触发时间间隔可以设定的光纤信号，用于控制多台脉冲功率驱动源的放电输出时序。</w:t>
      </w:r>
    </w:p>
    <w:p w14:paraId="53F8CC55">
      <w:pPr>
        <w:tabs>
          <w:tab w:val="left" w:pos="900"/>
        </w:tabs>
        <w:adjustRightInd w:val="0"/>
        <w:snapToGrid w:val="0"/>
        <w:spacing w:line="360" w:lineRule="auto"/>
        <w:ind w:firstLine="420" w:firstLineChars="200"/>
        <w:rPr>
          <w:szCs w:val="21"/>
        </w:rPr>
      </w:pPr>
      <w:r>
        <w:rPr>
          <w:szCs w:val="21"/>
        </w:rPr>
        <w:t>2.1.3控制功能：需按照操作流程进行多套脉冲功率驱动源的集中控制，包括设置运行参数、下发控制指令和接收反馈信号。</w:t>
      </w:r>
    </w:p>
    <w:p w14:paraId="290EDC68">
      <w:pPr>
        <w:tabs>
          <w:tab w:val="left" w:pos="900"/>
        </w:tabs>
        <w:adjustRightInd w:val="0"/>
        <w:snapToGrid w:val="0"/>
        <w:spacing w:line="360" w:lineRule="auto"/>
        <w:ind w:firstLine="420" w:firstLineChars="200"/>
        <w:rPr>
          <w:szCs w:val="21"/>
        </w:rPr>
      </w:pPr>
      <w:r>
        <w:rPr>
          <w:szCs w:val="21"/>
        </w:rPr>
        <w:t>2.1.4信息查询功能：需设置通过人机界面，查询脉冲功率驱动源的运行参数、工作状态、告警信息、保护信息等功能，并记录每次放电电流、电压波形。</w:t>
      </w:r>
    </w:p>
    <w:p w14:paraId="16F2750E">
      <w:pPr>
        <w:tabs>
          <w:tab w:val="left" w:pos="900"/>
        </w:tabs>
        <w:adjustRightInd w:val="0"/>
        <w:snapToGrid w:val="0"/>
        <w:spacing w:line="360" w:lineRule="auto"/>
        <w:ind w:firstLine="420" w:firstLineChars="200"/>
        <w:rPr>
          <w:szCs w:val="21"/>
        </w:rPr>
      </w:pPr>
      <w:r>
        <w:rPr>
          <w:szCs w:val="21"/>
        </w:rPr>
        <w:t>2.1.5数据存储功能：同步触发模块需具有同步触发延时时间设定参数存储功能。在设定参数不变的条件下，按照存储的延时时间设定参数进行同步触发输出工作。</w:t>
      </w:r>
    </w:p>
    <w:p w14:paraId="4C65F6D5">
      <w:pPr>
        <w:tabs>
          <w:tab w:val="left" w:pos="900"/>
        </w:tabs>
        <w:adjustRightInd w:val="0"/>
        <w:snapToGrid w:val="0"/>
        <w:spacing w:line="360" w:lineRule="auto"/>
        <w:ind w:firstLine="420" w:firstLineChars="200"/>
        <w:rPr>
          <w:szCs w:val="21"/>
        </w:rPr>
      </w:pPr>
      <w:r>
        <w:rPr>
          <w:szCs w:val="21"/>
        </w:rPr>
        <w:t>2.1.6通讯功能：需设置6组光纤串口通讯接口，1个千兆以太网口。5组光纤串口通讯接口用于脉冲功率驱动源进行通讯，1组光纤串口通讯接口备用。</w:t>
      </w:r>
    </w:p>
    <w:p w14:paraId="407465AB">
      <w:pPr>
        <w:tabs>
          <w:tab w:val="left" w:pos="900"/>
        </w:tabs>
        <w:adjustRightInd w:val="0"/>
        <w:snapToGrid w:val="0"/>
        <w:spacing w:line="360" w:lineRule="auto"/>
        <w:ind w:firstLine="420" w:firstLineChars="200"/>
        <w:rPr>
          <w:szCs w:val="21"/>
        </w:rPr>
      </w:pPr>
      <w:r>
        <w:rPr>
          <w:szCs w:val="21"/>
        </w:rPr>
        <w:t>2.1.7显示功能：需采用液晶显示，具备显示系统运行状态、工作参数等功能。</w:t>
      </w:r>
    </w:p>
    <w:p w14:paraId="10F09876">
      <w:pPr>
        <w:tabs>
          <w:tab w:val="left" w:pos="900"/>
        </w:tabs>
        <w:adjustRightInd w:val="0"/>
        <w:snapToGrid w:val="0"/>
        <w:spacing w:line="360" w:lineRule="auto"/>
        <w:ind w:firstLine="420" w:firstLineChars="200"/>
        <w:rPr>
          <w:szCs w:val="21"/>
        </w:rPr>
      </w:pPr>
      <w:r>
        <w:rPr>
          <w:szCs w:val="21"/>
        </w:rPr>
        <w:t>2.2技术指标（</w:t>
      </w:r>
      <w:r>
        <w:rPr>
          <w:sz w:val="24"/>
        </w:rPr>
        <w:t>▲为重要指标</w:t>
      </w:r>
      <w:r>
        <w:rPr>
          <w:szCs w:val="21"/>
        </w:rPr>
        <w:t>）</w:t>
      </w:r>
    </w:p>
    <w:p w14:paraId="59BB641E">
      <w:pPr>
        <w:tabs>
          <w:tab w:val="left" w:pos="900"/>
        </w:tabs>
        <w:adjustRightInd w:val="0"/>
        <w:snapToGrid w:val="0"/>
        <w:spacing w:line="360" w:lineRule="auto"/>
        <w:ind w:firstLine="420" w:firstLineChars="200"/>
        <w:rPr>
          <w:szCs w:val="21"/>
        </w:rPr>
      </w:pPr>
      <w:r>
        <w:rPr>
          <w:szCs w:val="21"/>
        </w:rPr>
        <w:t>2.2.1交流输入电压：AC220 V±10%。</w:t>
      </w:r>
    </w:p>
    <w:p w14:paraId="026B7B0E">
      <w:pPr>
        <w:tabs>
          <w:tab w:val="left" w:pos="900"/>
        </w:tabs>
        <w:adjustRightInd w:val="0"/>
        <w:snapToGrid w:val="0"/>
        <w:spacing w:line="360" w:lineRule="auto"/>
        <w:ind w:firstLine="420" w:firstLineChars="200"/>
        <w:rPr>
          <w:szCs w:val="21"/>
        </w:rPr>
      </w:pPr>
      <w:r>
        <w:rPr>
          <w:szCs w:val="21"/>
        </w:rPr>
        <w:t>2.2.2输出触发脉冲：宽度200μs±5μs，脉冲前沿小于1us。</w:t>
      </w:r>
    </w:p>
    <w:p w14:paraId="638A659C">
      <w:pPr>
        <w:tabs>
          <w:tab w:val="left" w:pos="900"/>
        </w:tabs>
        <w:adjustRightInd w:val="0"/>
        <w:snapToGrid w:val="0"/>
        <w:spacing w:line="360" w:lineRule="auto"/>
        <w:ind w:firstLine="420" w:firstLineChars="200"/>
        <w:rPr>
          <w:szCs w:val="21"/>
        </w:rPr>
      </w:pPr>
      <w:r>
        <w:rPr>
          <w:szCs w:val="21"/>
        </w:rPr>
        <w:t>2.2.3 电源模块间同步精度优于1μs。</w:t>
      </w:r>
      <w:r>
        <w:rPr>
          <w:sz w:val="24"/>
        </w:rPr>
        <w:t>▲</w:t>
      </w:r>
    </w:p>
    <w:p w14:paraId="07885FC6">
      <w:pPr>
        <w:tabs>
          <w:tab w:val="left" w:pos="900"/>
        </w:tabs>
        <w:adjustRightInd w:val="0"/>
        <w:snapToGrid w:val="0"/>
        <w:spacing w:line="360" w:lineRule="auto"/>
        <w:ind w:firstLine="420" w:firstLineChars="200"/>
        <w:rPr>
          <w:szCs w:val="21"/>
        </w:rPr>
      </w:pPr>
      <w:r>
        <w:rPr>
          <w:szCs w:val="21"/>
        </w:rPr>
        <w:t>2.2.4不同脉冲源触发的时间调节步长范围需满足：1us~500us连续可调。</w:t>
      </w:r>
      <w:r>
        <w:rPr>
          <w:sz w:val="24"/>
        </w:rPr>
        <w:t>▲</w:t>
      </w:r>
    </w:p>
    <w:p w14:paraId="1A01BAF8">
      <w:pPr>
        <w:tabs>
          <w:tab w:val="left" w:pos="900"/>
        </w:tabs>
        <w:adjustRightInd w:val="0"/>
        <w:snapToGrid w:val="0"/>
        <w:spacing w:line="360" w:lineRule="auto"/>
        <w:ind w:firstLine="420" w:firstLineChars="200"/>
        <w:rPr>
          <w:szCs w:val="21"/>
        </w:rPr>
      </w:pPr>
      <w:r>
        <w:rPr>
          <w:szCs w:val="21"/>
        </w:rPr>
        <w:t>2.2.5同步触发接口类型：单模光纤，ST接口。</w:t>
      </w:r>
    </w:p>
    <w:p w14:paraId="268E301D">
      <w:pPr>
        <w:tabs>
          <w:tab w:val="left" w:pos="900"/>
        </w:tabs>
        <w:adjustRightInd w:val="0"/>
        <w:snapToGrid w:val="0"/>
        <w:spacing w:line="360" w:lineRule="auto"/>
        <w:ind w:firstLine="420" w:firstLineChars="200"/>
        <w:rPr>
          <w:szCs w:val="21"/>
        </w:rPr>
      </w:pPr>
      <w:r>
        <w:rPr>
          <w:szCs w:val="21"/>
        </w:rPr>
        <w:t>3、电缆考核平台：主体由一套脉冲功率驱动源、配套负载和参数传感器组成，其技术与功能性指标如下：</w:t>
      </w:r>
    </w:p>
    <w:p w14:paraId="73D9DD02">
      <w:pPr>
        <w:tabs>
          <w:tab w:val="left" w:pos="900"/>
        </w:tabs>
        <w:adjustRightInd w:val="0"/>
        <w:snapToGrid w:val="0"/>
        <w:spacing w:line="360" w:lineRule="auto"/>
        <w:ind w:firstLine="420" w:firstLineChars="200"/>
        <w:rPr>
          <w:szCs w:val="21"/>
        </w:rPr>
      </w:pPr>
      <w:r>
        <w:rPr>
          <w:szCs w:val="21"/>
        </w:rPr>
        <w:t>3.1功能指标</w:t>
      </w:r>
    </w:p>
    <w:p w14:paraId="1A82E13C">
      <w:pPr>
        <w:tabs>
          <w:tab w:val="left" w:pos="900"/>
        </w:tabs>
        <w:adjustRightInd w:val="0"/>
        <w:snapToGrid w:val="0"/>
        <w:spacing w:line="360" w:lineRule="auto"/>
        <w:ind w:firstLine="420" w:firstLineChars="200"/>
        <w:rPr>
          <w:szCs w:val="21"/>
        </w:rPr>
      </w:pPr>
      <w:r>
        <w:rPr>
          <w:szCs w:val="21"/>
        </w:rPr>
        <w:t>3.1.1电流读取功能：具备脉冲放电过程电缆内部电流波形读取功能。</w:t>
      </w:r>
    </w:p>
    <w:p w14:paraId="658DF037">
      <w:pPr>
        <w:tabs>
          <w:tab w:val="left" w:pos="900"/>
        </w:tabs>
        <w:adjustRightInd w:val="0"/>
        <w:snapToGrid w:val="0"/>
        <w:spacing w:line="360" w:lineRule="auto"/>
        <w:ind w:firstLine="420" w:firstLineChars="200"/>
        <w:rPr>
          <w:szCs w:val="21"/>
        </w:rPr>
      </w:pPr>
      <w:r>
        <w:rPr>
          <w:szCs w:val="21"/>
        </w:rPr>
        <w:t>3.1.2电压读取功能：具备脉冲放电过程电缆入口电压波形读取功能。</w:t>
      </w:r>
    </w:p>
    <w:p w14:paraId="1F0DE988">
      <w:pPr>
        <w:tabs>
          <w:tab w:val="left" w:pos="900"/>
        </w:tabs>
        <w:adjustRightInd w:val="0"/>
        <w:snapToGrid w:val="0"/>
        <w:spacing w:line="360" w:lineRule="auto"/>
        <w:ind w:firstLine="420" w:firstLineChars="200"/>
        <w:rPr>
          <w:szCs w:val="21"/>
        </w:rPr>
      </w:pPr>
      <w:r>
        <w:rPr>
          <w:szCs w:val="21"/>
        </w:rPr>
        <w:t>3.1.3温度检测功能：具备实时电缆温升数据读取功能。</w:t>
      </w:r>
    </w:p>
    <w:p w14:paraId="5ADDCE98">
      <w:pPr>
        <w:tabs>
          <w:tab w:val="left" w:pos="900"/>
        </w:tabs>
        <w:adjustRightInd w:val="0"/>
        <w:snapToGrid w:val="0"/>
        <w:spacing w:line="360" w:lineRule="auto"/>
        <w:ind w:firstLine="420" w:firstLineChars="200"/>
        <w:rPr>
          <w:szCs w:val="21"/>
        </w:rPr>
      </w:pPr>
      <w:r>
        <w:rPr>
          <w:szCs w:val="21"/>
        </w:rPr>
        <w:t>3.1.4放电次数及时间记录功能：具备放电次数及放电时间读取记录功能。</w:t>
      </w:r>
    </w:p>
    <w:p w14:paraId="0FCE558E">
      <w:pPr>
        <w:tabs>
          <w:tab w:val="left" w:pos="900"/>
        </w:tabs>
        <w:adjustRightInd w:val="0"/>
        <w:snapToGrid w:val="0"/>
        <w:spacing w:line="360" w:lineRule="auto"/>
        <w:ind w:firstLine="420" w:firstLineChars="200"/>
        <w:rPr>
          <w:szCs w:val="21"/>
        </w:rPr>
      </w:pPr>
      <w:r>
        <w:rPr>
          <w:szCs w:val="21"/>
        </w:rPr>
        <w:t>3.2技术指标（</w:t>
      </w:r>
      <w:r>
        <w:rPr>
          <w:sz w:val="24"/>
        </w:rPr>
        <w:t>▲为重要指标</w:t>
      </w:r>
      <w:r>
        <w:rPr>
          <w:szCs w:val="21"/>
        </w:rPr>
        <w:t>）</w:t>
      </w:r>
    </w:p>
    <w:p w14:paraId="34620197">
      <w:pPr>
        <w:tabs>
          <w:tab w:val="left" w:pos="900"/>
        </w:tabs>
        <w:adjustRightInd w:val="0"/>
        <w:snapToGrid w:val="0"/>
        <w:spacing w:line="360" w:lineRule="auto"/>
        <w:ind w:firstLine="420" w:firstLineChars="200"/>
        <w:rPr>
          <w:szCs w:val="21"/>
        </w:rPr>
      </w:pPr>
      <w:r>
        <w:rPr>
          <w:szCs w:val="21"/>
        </w:rPr>
        <w:t>3.2.1脉冲源模块储能量范围190kJ~200kJ，工作电压10kV~40kV。</w:t>
      </w:r>
      <w:r>
        <w:rPr>
          <w:sz w:val="24"/>
        </w:rPr>
        <w:t>▲</w:t>
      </w:r>
    </w:p>
    <w:p w14:paraId="666B6719">
      <w:pPr>
        <w:tabs>
          <w:tab w:val="left" w:pos="900"/>
        </w:tabs>
        <w:adjustRightInd w:val="0"/>
        <w:snapToGrid w:val="0"/>
        <w:spacing w:line="360" w:lineRule="auto"/>
        <w:ind w:firstLine="420" w:firstLineChars="200"/>
        <w:rPr>
          <w:szCs w:val="21"/>
        </w:rPr>
      </w:pPr>
      <w:r>
        <w:rPr>
          <w:szCs w:val="21"/>
        </w:rPr>
        <w:t>3.2.2脉冲源</w:t>
      </w:r>
      <w:r>
        <w:rPr>
          <w:rFonts w:eastAsiaTheme="majorEastAsia"/>
          <w:szCs w:val="21"/>
        </w:rPr>
        <w:t>输出电流：≥180kA；</w:t>
      </w:r>
      <w:r>
        <w:rPr>
          <w:szCs w:val="21"/>
        </w:rPr>
        <w:t>电流上升率不低于 2.2 kA/μs（10%~90% 峰值区间）</w:t>
      </w:r>
      <w:r>
        <w:rPr>
          <w:rFonts w:eastAsiaTheme="majorEastAsia"/>
          <w:szCs w:val="21"/>
        </w:rPr>
        <w:t>。</w:t>
      </w:r>
      <w:r>
        <w:rPr>
          <w:szCs w:val="21"/>
        </w:rPr>
        <w:t>测试条件：脉冲源外接 50 m 电缆（见指标1.2.10）。</w:t>
      </w:r>
      <w:r>
        <w:rPr>
          <w:sz w:val="24"/>
        </w:rPr>
        <w:t>▲</w:t>
      </w:r>
    </w:p>
    <w:p w14:paraId="368DF9C7">
      <w:pPr>
        <w:tabs>
          <w:tab w:val="left" w:pos="900"/>
        </w:tabs>
        <w:adjustRightInd w:val="0"/>
        <w:snapToGrid w:val="0"/>
        <w:spacing w:line="360" w:lineRule="auto"/>
        <w:ind w:firstLine="420" w:firstLineChars="200"/>
        <w:rPr>
          <w:szCs w:val="21"/>
        </w:rPr>
      </w:pPr>
      <w:r>
        <w:rPr>
          <w:szCs w:val="21"/>
        </w:rPr>
        <w:t>3.2.3高压直流电源输入电压范围：AC380 V±10%，三相五线。</w:t>
      </w:r>
    </w:p>
    <w:p w14:paraId="6A8C6586">
      <w:pPr>
        <w:tabs>
          <w:tab w:val="left" w:pos="900"/>
        </w:tabs>
        <w:adjustRightInd w:val="0"/>
        <w:snapToGrid w:val="0"/>
        <w:spacing w:line="360" w:lineRule="auto"/>
        <w:ind w:firstLine="420" w:firstLineChars="200"/>
        <w:rPr>
          <w:rFonts w:eastAsiaTheme="majorEastAsia"/>
          <w:szCs w:val="21"/>
        </w:rPr>
      </w:pPr>
      <w:r>
        <w:rPr>
          <w:rFonts w:eastAsiaTheme="majorEastAsia"/>
          <w:szCs w:val="21"/>
        </w:rPr>
        <w:t>3.2.4</w:t>
      </w:r>
      <w:r>
        <w:rPr>
          <w:szCs w:val="21"/>
        </w:rPr>
        <w:t>高压直流电源采用恒流输出模式，</w:t>
      </w:r>
      <w:r>
        <w:rPr>
          <w:rFonts w:hint="eastAsia"/>
          <w:szCs w:val="21"/>
        </w:rPr>
        <w:t>最大输入功率需≤12kW；</w:t>
      </w:r>
      <w:r>
        <w:rPr>
          <w:szCs w:val="21"/>
        </w:rPr>
        <w:t>最大充电功率：≥10kW，最大输出电流：≥350mA。</w:t>
      </w:r>
    </w:p>
    <w:p w14:paraId="295F89EE">
      <w:pPr>
        <w:tabs>
          <w:tab w:val="left" w:pos="900"/>
        </w:tabs>
        <w:adjustRightInd w:val="0"/>
        <w:snapToGrid w:val="0"/>
        <w:spacing w:line="360" w:lineRule="auto"/>
        <w:ind w:firstLine="420" w:firstLineChars="200"/>
        <w:rPr>
          <w:szCs w:val="21"/>
        </w:rPr>
      </w:pPr>
      <w:r>
        <w:rPr>
          <w:szCs w:val="21"/>
        </w:rPr>
        <w:t>3.2.5高压直流电源连续过流/过压3次，启动断电接地保护。</w:t>
      </w:r>
    </w:p>
    <w:p w14:paraId="35F4E466">
      <w:pPr>
        <w:tabs>
          <w:tab w:val="left" w:pos="900"/>
        </w:tabs>
        <w:adjustRightInd w:val="0"/>
        <w:snapToGrid w:val="0"/>
        <w:spacing w:line="360" w:lineRule="auto"/>
        <w:ind w:firstLine="420" w:firstLineChars="200"/>
        <w:rPr>
          <w:szCs w:val="21"/>
        </w:rPr>
      </w:pPr>
      <w:r>
        <w:rPr>
          <w:szCs w:val="21"/>
        </w:rPr>
        <w:t>3.2.6电容器：在180kA脉冲电流峰值，电流上升率不低于2.2kA/μs，反峰电流20%放电条件下，工作寿命不低于10000次；电容器电容器储能能量密度不低于1.2J/cm³。</w:t>
      </w:r>
    </w:p>
    <w:p w14:paraId="3EEAE546">
      <w:pPr>
        <w:tabs>
          <w:tab w:val="left" w:pos="900"/>
        </w:tabs>
        <w:adjustRightInd w:val="0"/>
        <w:snapToGrid w:val="0"/>
        <w:spacing w:line="360" w:lineRule="auto"/>
        <w:ind w:firstLine="420" w:firstLineChars="200"/>
        <w:rPr>
          <w:szCs w:val="21"/>
        </w:rPr>
      </w:pPr>
      <w:r>
        <w:rPr>
          <w:szCs w:val="21"/>
        </w:rPr>
        <w:t>3.2.7固体开关：需采用压接式脉冲型光控晶闸管，晶闸管内部设置正向BOD保护，晶闸管组件的额定工作电压：40kV；最大放电电流：≥180kA（底宽≤250µs）；工作方式：1 次/10min，连续工作；冷却方式：通过自冷散热器冷却。</w:t>
      </w:r>
    </w:p>
    <w:p w14:paraId="18163029">
      <w:pPr>
        <w:tabs>
          <w:tab w:val="left" w:pos="900"/>
        </w:tabs>
        <w:adjustRightInd w:val="0"/>
        <w:snapToGrid w:val="0"/>
        <w:spacing w:line="360" w:lineRule="auto"/>
        <w:ind w:firstLine="420" w:firstLineChars="200"/>
        <w:rPr>
          <w:szCs w:val="21"/>
        </w:rPr>
      </w:pPr>
      <w:r>
        <w:rPr>
          <w:szCs w:val="21"/>
        </w:rPr>
        <w:t>3.2.8电缆电流检测范围：幅值范围为0-180 kA，检测带宽范围为0-16 MHz。</w:t>
      </w:r>
    </w:p>
    <w:p w14:paraId="0EA2AE79">
      <w:pPr>
        <w:tabs>
          <w:tab w:val="left" w:pos="900"/>
        </w:tabs>
        <w:adjustRightInd w:val="0"/>
        <w:snapToGrid w:val="0"/>
        <w:spacing w:line="360" w:lineRule="auto"/>
        <w:ind w:firstLine="420" w:firstLineChars="200"/>
        <w:rPr>
          <w:szCs w:val="21"/>
        </w:rPr>
      </w:pPr>
      <w:r>
        <w:rPr>
          <w:szCs w:val="21"/>
        </w:rPr>
        <w:t>3.2.9电缆电压检测范围：幅值范围为0-40kV，检测带宽范围为0-120MHz。</w:t>
      </w:r>
    </w:p>
    <w:p w14:paraId="01DC4E01">
      <w:pPr>
        <w:tabs>
          <w:tab w:val="left" w:pos="900"/>
        </w:tabs>
        <w:adjustRightInd w:val="0"/>
        <w:snapToGrid w:val="0"/>
        <w:spacing w:line="360" w:lineRule="auto"/>
        <w:ind w:firstLine="420" w:firstLineChars="200"/>
        <w:rPr>
          <w:szCs w:val="21"/>
        </w:rPr>
      </w:pPr>
      <w:r>
        <w:rPr>
          <w:szCs w:val="21"/>
        </w:rPr>
        <w:t>3.2.10电缆温度检测范围：-20~50℃。</w:t>
      </w:r>
    </w:p>
    <w:p w14:paraId="3FF8D573">
      <w:pPr>
        <w:tabs>
          <w:tab w:val="left" w:pos="900"/>
        </w:tabs>
        <w:adjustRightInd w:val="0"/>
        <w:snapToGrid w:val="0"/>
        <w:spacing w:line="360" w:lineRule="auto"/>
        <w:ind w:firstLine="420" w:firstLineChars="200"/>
        <w:rPr>
          <w:szCs w:val="21"/>
        </w:rPr>
      </w:pPr>
      <w:r>
        <w:rPr>
          <w:szCs w:val="21"/>
        </w:rPr>
        <w:t>3.2.11需配备输出电流探头、电压探头、电缆温度监测探头及其相关配件</w:t>
      </w:r>
      <w:r>
        <w:rPr>
          <w:rFonts w:hint="eastAsia"/>
          <w:szCs w:val="21"/>
        </w:rPr>
        <w:t>2</w:t>
      </w:r>
      <w:r>
        <w:rPr>
          <w:szCs w:val="21"/>
        </w:rPr>
        <w:t>套；电流探头精度需满足：幅值范围不低于0-180 kA，检测带宽范围不低于0-16 MHz，电压探头精度需满足：幅值范围不低于0-40kV，检测带宽范围不低于0-120MHz；温度监测探头精度需满足：温度检测范围不低于-20~50℃，误差小于0.1℃。</w:t>
      </w:r>
    </w:p>
    <w:p w14:paraId="75F6097A">
      <w:pPr>
        <w:tabs>
          <w:tab w:val="left" w:pos="900"/>
        </w:tabs>
        <w:adjustRightInd w:val="0"/>
        <w:snapToGrid w:val="0"/>
        <w:spacing w:line="360" w:lineRule="auto"/>
        <w:ind w:firstLine="420" w:firstLineChars="200"/>
        <w:rPr>
          <w:szCs w:val="21"/>
        </w:rPr>
      </w:pPr>
      <w:r>
        <w:rPr>
          <w:szCs w:val="21"/>
        </w:rPr>
        <w:t>3.2.12需配备高压大电流脉冲电缆250m(参数见指标1.2.10)及电缆附件1套。</w:t>
      </w:r>
    </w:p>
    <w:p w14:paraId="6A98201C">
      <w:pPr>
        <w:tabs>
          <w:tab w:val="left" w:pos="900"/>
        </w:tabs>
        <w:adjustRightInd w:val="0"/>
        <w:snapToGrid w:val="0"/>
        <w:spacing w:line="360" w:lineRule="auto"/>
        <w:ind w:firstLine="420" w:firstLineChars="200"/>
        <w:rPr>
          <w:szCs w:val="21"/>
        </w:rPr>
      </w:pPr>
      <w:r>
        <w:rPr>
          <w:szCs w:val="21"/>
        </w:rPr>
        <w:t>3.2.13需配备用于电缆考核的假负载2套。</w:t>
      </w:r>
    </w:p>
    <w:p w14:paraId="7899A6AC">
      <w:pPr>
        <w:tabs>
          <w:tab w:val="left" w:pos="900"/>
        </w:tabs>
        <w:adjustRightInd w:val="0"/>
        <w:snapToGrid w:val="0"/>
        <w:spacing w:line="360" w:lineRule="auto"/>
        <w:ind w:firstLine="422" w:firstLineChars="200"/>
        <w:rPr>
          <w:b/>
          <w:szCs w:val="21"/>
        </w:rPr>
      </w:pPr>
      <w:r>
        <w:rPr>
          <w:b/>
          <w:szCs w:val="21"/>
        </w:rPr>
        <w:t>五、采购标的需满足的服务标准、期限、效率等要求</w:t>
      </w:r>
    </w:p>
    <w:p w14:paraId="5D2D4222">
      <w:pPr>
        <w:tabs>
          <w:tab w:val="left" w:pos="420"/>
          <w:tab w:val="left" w:pos="900"/>
        </w:tabs>
        <w:adjustRightInd w:val="0"/>
        <w:snapToGrid w:val="0"/>
        <w:spacing w:line="360" w:lineRule="auto"/>
        <w:ind w:firstLine="420" w:firstLineChars="200"/>
        <w:rPr>
          <w:szCs w:val="21"/>
        </w:rPr>
      </w:pPr>
      <w:r>
        <w:rPr>
          <w:szCs w:val="21"/>
        </w:rPr>
        <w:t>（一）质保期： 不少于</w:t>
      </w:r>
      <w:r>
        <w:rPr>
          <w:szCs w:val="21"/>
          <w:u w:val="single"/>
        </w:rPr>
        <w:t xml:space="preserve"> 3 </w:t>
      </w:r>
      <w:r>
        <w:rPr>
          <w:szCs w:val="21"/>
        </w:rPr>
        <w:t>年，</w:t>
      </w:r>
      <w:r>
        <w:t>质保期内免费维保不少于</w:t>
      </w:r>
      <w:r>
        <w:rPr>
          <w:szCs w:val="21"/>
          <w:u w:val="single"/>
        </w:rPr>
        <w:t xml:space="preserve"> 2 </w:t>
      </w:r>
      <w:r>
        <w:t xml:space="preserve"> 次/年，免人工服务费。</w:t>
      </w:r>
      <w:r>
        <w:rPr>
          <w:szCs w:val="21"/>
        </w:rPr>
        <w:t>质保期满后，仍需提供专业维修服务，投标人在投标文件中需注明维修服务单项报价。</w:t>
      </w:r>
    </w:p>
    <w:p w14:paraId="50BAC30A">
      <w:pPr>
        <w:tabs>
          <w:tab w:val="left" w:pos="420"/>
          <w:tab w:val="left" w:pos="900"/>
        </w:tabs>
        <w:adjustRightInd w:val="0"/>
        <w:snapToGrid w:val="0"/>
        <w:spacing w:line="360" w:lineRule="auto"/>
        <w:ind w:firstLine="420" w:firstLineChars="200"/>
        <w:rPr>
          <w:szCs w:val="21"/>
        </w:rPr>
      </w:pPr>
      <w:r>
        <w:rPr>
          <w:szCs w:val="21"/>
        </w:rPr>
        <w:t>（二）服务响应时间：接到维修电话后4小时内给予明确答复，8小时内到达现场维修。维修人员到现场后若问题特殊无法现场修复的，中标人需在24小时内给出合理解决方案。</w:t>
      </w:r>
    </w:p>
    <w:p w14:paraId="66872F60">
      <w:pPr>
        <w:tabs>
          <w:tab w:val="left" w:pos="420"/>
          <w:tab w:val="left" w:pos="900"/>
        </w:tabs>
        <w:adjustRightInd w:val="0"/>
        <w:snapToGrid w:val="0"/>
        <w:spacing w:line="360" w:lineRule="auto"/>
        <w:ind w:firstLine="420" w:firstLineChars="200"/>
        <w:rPr>
          <w:szCs w:val="21"/>
        </w:rPr>
      </w:pPr>
      <w:r>
        <w:rPr>
          <w:szCs w:val="21"/>
        </w:rPr>
        <w:t>（三）培训要求：中标人需提供培训电子资料及视频；免费为用户培训至少</w:t>
      </w:r>
      <w:r>
        <w:rPr>
          <w:szCs w:val="21"/>
          <w:u w:val="single"/>
        </w:rPr>
        <w:t xml:space="preserve">  2  </w:t>
      </w:r>
      <w:r>
        <w:rPr>
          <w:szCs w:val="21"/>
        </w:rPr>
        <w:t>名操作人员进行为期至少</w:t>
      </w:r>
      <w:r>
        <w:rPr>
          <w:szCs w:val="21"/>
          <w:u w:val="single"/>
        </w:rPr>
        <w:t xml:space="preserve"> 1 </w:t>
      </w:r>
      <w:r>
        <w:rPr>
          <w:szCs w:val="21"/>
        </w:rPr>
        <w:t>天的现场操作培训以及应用培训，保证用户掌握有关设备的使用、维护、管理和应用等工作要求；同时提供不定期的免费提供相关设备应用方面的技术咨询等。</w:t>
      </w:r>
    </w:p>
    <w:p w14:paraId="4A1F19C1">
      <w:pPr>
        <w:tabs>
          <w:tab w:val="left" w:pos="420"/>
          <w:tab w:val="left" w:pos="900"/>
        </w:tabs>
        <w:adjustRightInd w:val="0"/>
        <w:snapToGrid w:val="0"/>
        <w:spacing w:line="360" w:lineRule="auto"/>
        <w:ind w:firstLine="422" w:firstLineChars="200"/>
        <w:rPr>
          <w:b/>
          <w:szCs w:val="21"/>
        </w:rPr>
      </w:pPr>
      <w:r>
        <w:rPr>
          <w:b/>
          <w:szCs w:val="21"/>
        </w:rPr>
        <w:t>六、采购标的的履约验收标准</w:t>
      </w:r>
    </w:p>
    <w:bookmarkEnd w:id="1"/>
    <w:bookmarkEnd w:id="2"/>
    <w:bookmarkEnd w:id="3"/>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786"/>
        <w:gridCol w:w="4716"/>
      </w:tblGrid>
      <w:tr w14:paraId="21F4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4F0E0B39">
            <w:pPr>
              <w:widowControl/>
              <w:adjustRightInd w:val="0"/>
              <w:snapToGrid w:val="0"/>
              <w:jc w:val="left"/>
              <w:textAlignment w:val="baseline"/>
              <w:rPr>
                <w:b/>
                <w:bCs/>
                <w:kern w:val="0"/>
                <w:szCs w:val="21"/>
              </w:rPr>
            </w:pPr>
            <w:bookmarkStart w:id="5" w:name="OLE_LINK3"/>
            <w:r>
              <w:rPr>
                <w:b/>
                <w:bCs/>
                <w:kern w:val="0"/>
                <w:szCs w:val="21"/>
              </w:rPr>
              <w:t>一、货物类项目验收要求</w:t>
            </w:r>
          </w:p>
        </w:tc>
      </w:tr>
      <w:tr w14:paraId="0D4E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098A6528">
            <w:pPr>
              <w:widowControl/>
              <w:adjustRightInd w:val="0"/>
              <w:snapToGrid w:val="0"/>
              <w:jc w:val="center"/>
              <w:textAlignment w:val="baseline"/>
              <w:rPr>
                <w:kern w:val="0"/>
                <w:szCs w:val="21"/>
              </w:rPr>
            </w:pPr>
            <w:r>
              <w:rPr>
                <w:kern w:val="0"/>
                <w:szCs w:val="21"/>
              </w:rPr>
              <w:t>序号</w:t>
            </w:r>
          </w:p>
        </w:tc>
        <w:tc>
          <w:tcPr>
            <w:tcW w:w="3694" w:type="dxa"/>
            <w:vAlign w:val="center"/>
          </w:tcPr>
          <w:p w14:paraId="63F3C5EB">
            <w:pPr>
              <w:widowControl/>
              <w:adjustRightInd w:val="0"/>
              <w:snapToGrid w:val="0"/>
              <w:jc w:val="center"/>
              <w:textAlignment w:val="baseline"/>
              <w:rPr>
                <w:kern w:val="0"/>
                <w:szCs w:val="21"/>
              </w:rPr>
            </w:pPr>
            <w:r>
              <w:rPr>
                <w:kern w:val="0"/>
                <w:szCs w:val="21"/>
              </w:rPr>
              <w:t>功能或指标</w:t>
            </w:r>
          </w:p>
        </w:tc>
        <w:tc>
          <w:tcPr>
            <w:tcW w:w="4601" w:type="dxa"/>
            <w:vAlign w:val="center"/>
          </w:tcPr>
          <w:p w14:paraId="1CE45C26">
            <w:pPr>
              <w:widowControl/>
              <w:adjustRightInd w:val="0"/>
              <w:snapToGrid w:val="0"/>
              <w:jc w:val="center"/>
              <w:textAlignment w:val="baseline"/>
              <w:rPr>
                <w:kern w:val="0"/>
                <w:szCs w:val="21"/>
              </w:rPr>
            </w:pPr>
            <w:r>
              <w:rPr>
                <w:kern w:val="0"/>
                <w:szCs w:val="21"/>
              </w:rPr>
              <w:t>验收或测试方法</w:t>
            </w:r>
          </w:p>
        </w:tc>
      </w:tr>
      <w:tr w14:paraId="5A69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07712475">
            <w:pPr>
              <w:widowControl/>
              <w:adjustRightInd w:val="0"/>
              <w:snapToGrid w:val="0"/>
              <w:jc w:val="left"/>
              <w:textAlignment w:val="baseline"/>
              <w:rPr>
                <w:b/>
                <w:kern w:val="0"/>
                <w:szCs w:val="21"/>
              </w:rPr>
            </w:pPr>
            <w:r>
              <w:rPr>
                <w:b/>
                <w:kern w:val="0"/>
                <w:szCs w:val="21"/>
              </w:rPr>
              <w:t>项目建设单位验收要求：</w:t>
            </w:r>
          </w:p>
        </w:tc>
      </w:tr>
      <w:tr w14:paraId="6463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4487D955">
            <w:pPr>
              <w:widowControl/>
              <w:adjustRightInd w:val="0"/>
              <w:snapToGrid w:val="0"/>
              <w:jc w:val="center"/>
              <w:textAlignment w:val="baseline"/>
              <w:rPr>
                <w:kern w:val="0"/>
                <w:szCs w:val="21"/>
              </w:rPr>
            </w:pPr>
            <w:r>
              <w:rPr>
                <w:kern w:val="0"/>
                <w:szCs w:val="21"/>
              </w:rPr>
              <w:t>1</w:t>
            </w:r>
          </w:p>
        </w:tc>
        <w:tc>
          <w:tcPr>
            <w:tcW w:w="3694" w:type="dxa"/>
            <w:vAlign w:val="center"/>
          </w:tcPr>
          <w:p w14:paraId="0F075FE1">
            <w:pPr>
              <w:widowControl/>
              <w:adjustRightInd w:val="0"/>
              <w:snapToGrid w:val="0"/>
              <w:textAlignment w:val="baseline"/>
              <w:rPr>
                <w:kern w:val="0"/>
                <w:szCs w:val="21"/>
              </w:rPr>
            </w:pPr>
            <w:r>
              <w:rPr>
                <w:kern w:val="0"/>
                <w:szCs w:val="21"/>
              </w:rPr>
              <w:t>货物外包装与外观无损伤</w:t>
            </w:r>
          </w:p>
        </w:tc>
        <w:tc>
          <w:tcPr>
            <w:tcW w:w="4601" w:type="dxa"/>
            <w:vAlign w:val="center"/>
          </w:tcPr>
          <w:p w14:paraId="677B63EB">
            <w:pPr>
              <w:widowControl/>
              <w:adjustRightInd w:val="0"/>
              <w:snapToGrid w:val="0"/>
              <w:textAlignment w:val="baseline"/>
              <w:rPr>
                <w:kern w:val="0"/>
                <w:szCs w:val="21"/>
              </w:rPr>
            </w:pPr>
            <w:r>
              <w:rPr>
                <w:kern w:val="0"/>
                <w:szCs w:val="21"/>
              </w:rPr>
              <w:t>现场核查</w:t>
            </w:r>
          </w:p>
        </w:tc>
      </w:tr>
      <w:tr w14:paraId="10A8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2DC77042">
            <w:pPr>
              <w:widowControl/>
              <w:adjustRightInd w:val="0"/>
              <w:snapToGrid w:val="0"/>
              <w:jc w:val="center"/>
              <w:textAlignment w:val="baseline"/>
              <w:rPr>
                <w:kern w:val="0"/>
                <w:szCs w:val="21"/>
              </w:rPr>
            </w:pPr>
            <w:r>
              <w:rPr>
                <w:kern w:val="0"/>
                <w:szCs w:val="21"/>
              </w:rPr>
              <w:t>2</w:t>
            </w:r>
          </w:p>
        </w:tc>
        <w:tc>
          <w:tcPr>
            <w:tcW w:w="3694" w:type="dxa"/>
            <w:vAlign w:val="center"/>
          </w:tcPr>
          <w:p w14:paraId="5ADA83D9">
            <w:pPr>
              <w:widowControl/>
              <w:adjustRightInd w:val="0"/>
              <w:snapToGrid w:val="0"/>
              <w:textAlignment w:val="baseline"/>
              <w:rPr>
                <w:kern w:val="0"/>
                <w:szCs w:val="21"/>
              </w:rPr>
            </w:pPr>
            <w:r>
              <w:rPr>
                <w:kern w:val="0"/>
                <w:szCs w:val="21"/>
              </w:rPr>
              <w:t>货物配置、包括备品备件、耗品耗材等提供齐全，货物实物品牌、规格、型号、配置数量与采购结果、合同约定相符。</w:t>
            </w:r>
          </w:p>
        </w:tc>
        <w:tc>
          <w:tcPr>
            <w:tcW w:w="4601" w:type="dxa"/>
            <w:vAlign w:val="center"/>
          </w:tcPr>
          <w:p w14:paraId="40F5E4A0">
            <w:pPr>
              <w:widowControl/>
              <w:adjustRightInd w:val="0"/>
              <w:snapToGrid w:val="0"/>
              <w:textAlignment w:val="baseline"/>
              <w:rPr>
                <w:rFonts w:hint="default" w:eastAsia="宋体"/>
                <w:kern w:val="0"/>
                <w:szCs w:val="21"/>
                <w:lang w:val="en-US" w:eastAsia="zh-CN"/>
              </w:rPr>
            </w:pPr>
            <w:r>
              <w:rPr>
                <w:kern w:val="0"/>
                <w:szCs w:val="21"/>
              </w:rPr>
              <w:t>依据《合同》及其附件（包括但不限于《采购需求》《供应商投标（响应）文件》《投标澄清函》《技术协议》等）约定，现场核查</w:t>
            </w:r>
            <w:r>
              <w:rPr>
                <w:rFonts w:hint="eastAsia"/>
                <w:kern w:val="0"/>
                <w:szCs w:val="21"/>
                <w:lang w:eastAsia="zh-CN"/>
              </w:rPr>
              <w:t>，</w:t>
            </w:r>
            <w:r>
              <w:rPr>
                <w:rFonts w:hint="eastAsia"/>
                <w:kern w:val="0"/>
                <w:szCs w:val="21"/>
                <w:lang w:val="en-US" w:eastAsia="zh-CN"/>
              </w:rPr>
              <w:t>提供盖章版纸质材料。</w:t>
            </w:r>
            <w:bookmarkStart w:id="8" w:name="_GoBack"/>
            <w:bookmarkEnd w:id="8"/>
          </w:p>
        </w:tc>
      </w:tr>
      <w:tr w14:paraId="0864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00EF017A">
            <w:pPr>
              <w:widowControl/>
              <w:adjustRightInd w:val="0"/>
              <w:snapToGrid w:val="0"/>
              <w:jc w:val="center"/>
              <w:textAlignment w:val="baseline"/>
              <w:rPr>
                <w:kern w:val="0"/>
                <w:szCs w:val="21"/>
              </w:rPr>
            </w:pPr>
            <w:r>
              <w:rPr>
                <w:kern w:val="0"/>
                <w:szCs w:val="21"/>
              </w:rPr>
              <w:t>3</w:t>
            </w:r>
          </w:p>
        </w:tc>
        <w:tc>
          <w:tcPr>
            <w:tcW w:w="3694" w:type="dxa"/>
            <w:vAlign w:val="center"/>
          </w:tcPr>
          <w:p w14:paraId="29CD83F1">
            <w:pPr>
              <w:widowControl/>
              <w:adjustRightInd w:val="0"/>
              <w:snapToGrid w:val="0"/>
              <w:textAlignment w:val="baseline"/>
              <w:rPr>
                <w:kern w:val="0"/>
                <w:szCs w:val="21"/>
              </w:rPr>
            </w:pPr>
            <w:r>
              <w:rPr>
                <w:kern w:val="0"/>
                <w:szCs w:val="21"/>
              </w:rPr>
              <w:t>所有功能和指标参数（包括边界极限值）达到采购结果合同约定要求。</w:t>
            </w:r>
          </w:p>
        </w:tc>
        <w:tc>
          <w:tcPr>
            <w:tcW w:w="4601" w:type="dxa"/>
            <w:vAlign w:val="center"/>
          </w:tcPr>
          <w:p w14:paraId="2DFA89CF">
            <w:pPr>
              <w:adjustRightInd w:val="0"/>
              <w:snapToGrid w:val="0"/>
              <w:rPr>
                <w:kern w:val="0"/>
                <w:szCs w:val="21"/>
              </w:rPr>
            </w:pPr>
            <w:r>
              <w:rPr>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7585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3B5D91F1">
            <w:pPr>
              <w:widowControl/>
              <w:adjustRightInd w:val="0"/>
              <w:snapToGrid w:val="0"/>
              <w:jc w:val="center"/>
              <w:textAlignment w:val="baseline"/>
              <w:rPr>
                <w:kern w:val="0"/>
                <w:szCs w:val="21"/>
              </w:rPr>
            </w:pPr>
            <w:r>
              <w:rPr>
                <w:kern w:val="0"/>
                <w:szCs w:val="21"/>
              </w:rPr>
              <w:t>4</w:t>
            </w:r>
          </w:p>
        </w:tc>
        <w:tc>
          <w:tcPr>
            <w:tcW w:w="3694" w:type="dxa"/>
            <w:vAlign w:val="center"/>
          </w:tcPr>
          <w:p w14:paraId="76E97F18">
            <w:pPr>
              <w:widowControl/>
              <w:adjustRightInd w:val="0"/>
              <w:snapToGrid w:val="0"/>
              <w:textAlignment w:val="baseline"/>
              <w:rPr>
                <w:kern w:val="0"/>
                <w:szCs w:val="21"/>
              </w:rPr>
            </w:pPr>
            <w:r>
              <w:rPr>
                <w:kern w:val="0"/>
                <w:szCs w:val="21"/>
              </w:rPr>
              <w:t>培训等合同服务要求完成情况。</w:t>
            </w:r>
          </w:p>
        </w:tc>
        <w:tc>
          <w:tcPr>
            <w:tcW w:w="4601" w:type="dxa"/>
            <w:vAlign w:val="center"/>
          </w:tcPr>
          <w:p w14:paraId="36D4BF62">
            <w:pPr>
              <w:widowControl/>
              <w:adjustRightInd w:val="0"/>
              <w:snapToGrid w:val="0"/>
              <w:textAlignment w:val="baseline"/>
              <w:rPr>
                <w:kern w:val="0"/>
                <w:szCs w:val="21"/>
              </w:rPr>
            </w:pPr>
            <w:r>
              <w:rPr>
                <w:kern w:val="0"/>
                <w:szCs w:val="21"/>
              </w:rPr>
              <w:t>现场核查。供应商须根据合同约定提供《培训视频》影像资料等。</w:t>
            </w:r>
          </w:p>
        </w:tc>
      </w:tr>
      <w:tr w14:paraId="0783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65" w:type="dxa"/>
            <w:vAlign w:val="center"/>
          </w:tcPr>
          <w:p w14:paraId="5AAC325E">
            <w:pPr>
              <w:widowControl/>
              <w:adjustRightInd w:val="0"/>
              <w:snapToGrid w:val="0"/>
              <w:jc w:val="center"/>
              <w:textAlignment w:val="baseline"/>
              <w:rPr>
                <w:kern w:val="0"/>
                <w:szCs w:val="21"/>
              </w:rPr>
            </w:pPr>
            <w:r>
              <w:rPr>
                <w:kern w:val="0"/>
                <w:szCs w:val="21"/>
              </w:rPr>
              <w:t>5</w:t>
            </w:r>
          </w:p>
        </w:tc>
        <w:tc>
          <w:tcPr>
            <w:tcW w:w="3694" w:type="dxa"/>
            <w:vAlign w:val="center"/>
          </w:tcPr>
          <w:p w14:paraId="42BC96F1">
            <w:pPr>
              <w:widowControl/>
              <w:adjustRightInd w:val="0"/>
              <w:snapToGrid w:val="0"/>
              <w:textAlignment w:val="baseline"/>
              <w:rPr>
                <w:kern w:val="0"/>
                <w:szCs w:val="21"/>
              </w:rPr>
            </w:pPr>
            <w:r>
              <w:rPr>
                <w:kern w:val="0"/>
                <w:szCs w:val="21"/>
              </w:rPr>
              <w:t>验证测试设备的运行稳定性</w:t>
            </w:r>
          </w:p>
        </w:tc>
        <w:tc>
          <w:tcPr>
            <w:tcW w:w="4601" w:type="dxa"/>
            <w:vAlign w:val="center"/>
          </w:tcPr>
          <w:p w14:paraId="18FEB4A6">
            <w:pPr>
              <w:widowControl/>
              <w:adjustRightInd w:val="0"/>
              <w:snapToGrid w:val="0"/>
              <w:textAlignment w:val="baseline"/>
              <w:rPr>
                <w:rFonts w:hint="eastAsia"/>
                <w:kern w:val="0"/>
                <w:szCs w:val="21"/>
              </w:rPr>
            </w:pPr>
            <w:r>
              <w:rPr>
                <w:kern w:val="0"/>
                <w:szCs w:val="21"/>
              </w:rPr>
              <w:t>试运行验证测试设备</w:t>
            </w:r>
            <w:r>
              <w:rPr>
                <w:rFonts w:hint="eastAsia"/>
                <w:kern w:val="0"/>
                <w:szCs w:val="21"/>
              </w:rPr>
              <w:t>按照6min/次放电间隔连续稳定</w:t>
            </w:r>
            <w:r>
              <w:rPr>
                <w:kern w:val="0"/>
                <w:szCs w:val="21"/>
              </w:rPr>
              <w:t>运行</w:t>
            </w:r>
            <w:r>
              <w:rPr>
                <w:rFonts w:hint="eastAsia"/>
                <w:kern w:val="0"/>
                <w:szCs w:val="21"/>
              </w:rPr>
              <w:t>2小时以上</w:t>
            </w:r>
          </w:p>
        </w:tc>
      </w:tr>
      <w:tr w14:paraId="66B7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36DB7A87">
            <w:pPr>
              <w:widowControl/>
              <w:adjustRightInd w:val="0"/>
              <w:snapToGrid w:val="0"/>
              <w:jc w:val="center"/>
              <w:textAlignment w:val="baseline"/>
              <w:rPr>
                <w:kern w:val="0"/>
                <w:szCs w:val="21"/>
              </w:rPr>
            </w:pPr>
            <w:r>
              <w:rPr>
                <w:kern w:val="0"/>
                <w:szCs w:val="21"/>
              </w:rPr>
              <w:t>6</w:t>
            </w:r>
          </w:p>
        </w:tc>
        <w:tc>
          <w:tcPr>
            <w:tcW w:w="8295" w:type="dxa"/>
            <w:gridSpan w:val="2"/>
            <w:vAlign w:val="center"/>
          </w:tcPr>
          <w:p w14:paraId="592ECAD0">
            <w:pPr>
              <w:widowControl/>
              <w:adjustRightInd w:val="0"/>
              <w:snapToGrid w:val="0"/>
              <w:textAlignment w:val="baseline"/>
              <w:rPr>
                <w:kern w:val="0"/>
                <w:szCs w:val="21"/>
              </w:rPr>
            </w:pPr>
            <w:r>
              <w:rPr>
                <w:kern w:val="0"/>
                <w:szCs w:val="21"/>
              </w:rPr>
              <w:t>提示：</w:t>
            </w:r>
          </w:p>
          <w:p w14:paraId="773D62ED">
            <w:pPr>
              <w:widowControl/>
              <w:adjustRightInd w:val="0"/>
              <w:snapToGrid w:val="0"/>
              <w:textAlignment w:val="baseline"/>
              <w:rPr>
                <w:kern w:val="0"/>
                <w:szCs w:val="21"/>
              </w:rPr>
            </w:pPr>
            <w:r>
              <w:rPr>
                <w:kern w:val="0"/>
                <w:szCs w:val="21"/>
              </w:rPr>
              <w:t>1.经费负责人应当按照采购合同及其附件规定的每一项技术、服务、安全标准组织对供应商履约情况进行验收。</w:t>
            </w:r>
          </w:p>
          <w:p w14:paraId="08763D89">
            <w:pPr>
              <w:widowControl/>
              <w:adjustRightInd w:val="0"/>
              <w:snapToGrid w:val="0"/>
              <w:textAlignment w:val="baseline"/>
              <w:rPr>
                <w:kern w:val="0"/>
                <w:szCs w:val="21"/>
              </w:rPr>
            </w:pPr>
            <w:r>
              <w:rPr>
                <w:kern w:val="0"/>
                <w:szCs w:val="21"/>
              </w:rPr>
              <w:t>2.《供应商货物类项目完工报告》《项目建设单位货物类项目完工自验收报告》《第三方检测报告》（如有）等与验收相关的材料由经费负责人妥善保管存档。</w:t>
            </w:r>
          </w:p>
          <w:p w14:paraId="22B49213">
            <w:pPr>
              <w:widowControl/>
              <w:adjustRightInd w:val="0"/>
              <w:snapToGrid w:val="0"/>
              <w:textAlignment w:val="baseline"/>
              <w:rPr>
                <w:kern w:val="0"/>
                <w:szCs w:val="21"/>
              </w:rPr>
            </w:pPr>
            <w:r>
              <w:rPr>
                <w:kern w:val="0"/>
                <w:szCs w:val="21"/>
              </w:rPr>
              <w:t>3.</w:t>
            </w:r>
            <w:bookmarkStart w:id="6" w:name="OLE_LINK4"/>
            <w:r>
              <w:rPr>
                <w:kern w:val="0"/>
                <w:szCs w:val="21"/>
              </w:rPr>
              <w:t>《技术协议》</w:t>
            </w:r>
            <w:bookmarkEnd w:id="6"/>
            <w:r>
              <w:rPr>
                <w:kern w:val="0"/>
                <w:szCs w:val="21"/>
              </w:rPr>
              <w:t xml:space="preserve">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 </w:t>
            </w:r>
          </w:p>
        </w:tc>
      </w:tr>
      <w:tr w14:paraId="68A6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77F86859">
            <w:pPr>
              <w:widowControl/>
              <w:adjustRightInd w:val="0"/>
              <w:snapToGrid w:val="0"/>
              <w:textAlignment w:val="baseline"/>
              <w:rPr>
                <w:kern w:val="0"/>
                <w:szCs w:val="21"/>
              </w:rPr>
            </w:pPr>
            <w:r>
              <w:rPr>
                <w:b/>
                <w:kern w:val="0"/>
                <w:szCs w:val="21"/>
              </w:rPr>
              <w:t>学校验收复核要求：</w:t>
            </w:r>
            <w:r>
              <w:rPr>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63EF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2A50EAAA">
            <w:pPr>
              <w:widowControl/>
              <w:adjustRightInd w:val="0"/>
              <w:snapToGrid w:val="0"/>
              <w:textAlignment w:val="baseline"/>
              <w:rPr>
                <w:kern w:val="0"/>
                <w:szCs w:val="21"/>
              </w:rPr>
            </w:pPr>
            <w:r>
              <w:rPr>
                <w:kern w:val="0"/>
                <w:szCs w:val="21"/>
              </w:rPr>
              <w:t>验收时是否需要供应商提供样品</w:t>
            </w:r>
          </w:p>
        </w:tc>
        <w:tc>
          <w:tcPr>
            <w:tcW w:w="4601" w:type="dxa"/>
            <w:vAlign w:val="center"/>
          </w:tcPr>
          <w:p w14:paraId="6FA8D9E2">
            <w:pPr>
              <w:widowControl/>
              <w:adjustRightInd w:val="0"/>
              <w:snapToGrid w:val="0"/>
              <w:textAlignment w:val="baseline"/>
              <w:rPr>
                <w:kern w:val="0"/>
                <w:szCs w:val="21"/>
              </w:rPr>
            </w:pPr>
            <w:r>
              <w:rPr>
                <w:kern w:val="0"/>
                <w:szCs w:val="21"/>
              </w:rPr>
              <w:t>□是 ☑否</w:t>
            </w:r>
          </w:p>
        </w:tc>
      </w:tr>
      <w:tr w14:paraId="1FE6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4CB82517">
            <w:pPr>
              <w:widowControl/>
              <w:adjustRightInd w:val="0"/>
              <w:snapToGrid w:val="0"/>
              <w:textAlignment w:val="baseline"/>
              <w:rPr>
                <w:kern w:val="0"/>
                <w:szCs w:val="21"/>
              </w:rPr>
            </w:pPr>
            <w:r>
              <w:rPr>
                <w:kern w:val="0"/>
                <w:szCs w:val="21"/>
              </w:rPr>
              <w:t>验收时是否需供应商提供必要的其他设备</w:t>
            </w:r>
          </w:p>
        </w:tc>
        <w:tc>
          <w:tcPr>
            <w:tcW w:w="4601" w:type="dxa"/>
            <w:vAlign w:val="center"/>
          </w:tcPr>
          <w:p w14:paraId="58F18E98">
            <w:pPr>
              <w:widowControl/>
              <w:adjustRightInd w:val="0"/>
              <w:snapToGrid w:val="0"/>
              <w:textAlignment w:val="baseline"/>
              <w:rPr>
                <w:kern w:val="0"/>
                <w:szCs w:val="21"/>
              </w:rPr>
            </w:pPr>
            <w:r>
              <w:rPr>
                <w:kern w:val="0"/>
                <w:szCs w:val="21"/>
              </w:rPr>
              <w:t>□是 ☑否</w:t>
            </w:r>
          </w:p>
        </w:tc>
      </w:tr>
      <w:tr w14:paraId="47EA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602C666A">
            <w:pPr>
              <w:widowControl/>
              <w:adjustRightInd w:val="0"/>
              <w:snapToGrid w:val="0"/>
              <w:textAlignment w:val="baseline"/>
              <w:rPr>
                <w:kern w:val="0"/>
                <w:szCs w:val="21"/>
              </w:rPr>
            </w:pPr>
            <w:r>
              <w:rPr>
                <w:kern w:val="0"/>
                <w:szCs w:val="21"/>
              </w:rPr>
              <w:t>二、</w:t>
            </w:r>
            <w:r>
              <w:rPr>
                <w:b/>
                <w:bCs/>
                <w:kern w:val="0"/>
                <w:szCs w:val="21"/>
              </w:rPr>
              <w:t>服务类项目验收要求</w:t>
            </w:r>
          </w:p>
        </w:tc>
      </w:tr>
      <w:tr w14:paraId="7EAF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4B2E5696">
            <w:pPr>
              <w:widowControl/>
              <w:adjustRightInd w:val="0"/>
              <w:snapToGrid w:val="0"/>
              <w:textAlignment w:val="baseline"/>
              <w:rPr>
                <w:kern w:val="0"/>
                <w:szCs w:val="21"/>
              </w:rPr>
            </w:pPr>
            <w:r>
              <w:rPr>
                <w:b/>
                <w:kern w:val="0"/>
                <w:szCs w:val="21"/>
              </w:rPr>
              <w:t>项目建设单位验收要求：</w:t>
            </w:r>
            <w:bookmarkStart w:id="7" w:name="OLE_LINK35"/>
            <w:r>
              <w:rPr>
                <w:szCs w:val="21"/>
              </w:rPr>
              <w:t>根据项目特点对服务期内的服务履约实施情况进行考核，结合考核情况和服务效果进行验收。验收报告须经国资处备案。</w:t>
            </w:r>
            <w:bookmarkEnd w:id="7"/>
          </w:p>
        </w:tc>
      </w:tr>
      <w:tr w14:paraId="0179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738DEFB">
            <w:pPr>
              <w:widowControl/>
              <w:adjustRightInd w:val="0"/>
              <w:snapToGrid w:val="0"/>
              <w:textAlignment w:val="baseline"/>
              <w:rPr>
                <w:kern w:val="0"/>
                <w:szCs w:val="21"/>
              </w:rPr>
            </w:pPr>
            <w:r>
              <w:rPr>
                <w:b/>
                <w:kern w:val="0"/>
                <w:szCs w:val="21"/>
              </w:rPr>
              <w:t>学校验收备案要求：</w:t>
            </w:r>
            <w:r>
              <w:rPr>
                <w:bCs/>
                <w:kern w:val="0"/>
                <w:szCs w:val="21"/>
              </w:rPr>
              <w:t>项目单位提供《学校采购服务类项目验收报告》《服务类供应商履约情况评价表》</w:t>
            </w:r>
            <w:r>
              <w:rPr>
                <w:szCs w:val="21"/>
              </w:rPr>
              <w:t>。国资处可根据项目情况采用抽查等方式进行复核。</w:t>
            </w:r>
          </w:p>
        </w:tc>
      </w:tr>
      <w:tr w14:paraId="450E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E279025">
            <w:pPr>
              <w:widowControl/>
              <w:adjustRightInd w:val="0"/>
              <w:snapToGrid w:val="0"/>
              <w:jc w:val="left"/>
              <w:textAlignment w:val="baseline"/>
              <w:rPr>
                <w:kern w:val="0"/>
                <w:szCs w:val="21"/>
              </w:rPr>
            </w:pPr>
            <w:r>
              <w:rPr>
                <w:b/>
                <w:bCs/>
                <w:kern w:val="0"/>
                <w:szCs w:val="21"/>
              </w:rPr>
              <w:t>三、除现场验收外，需提供的其他验收要求</w:t>
            </w:r>
          </w:p>
        </w:tc>
      </w:tr>
      <w:tr w14:paraId="11A8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12F53D38">
            <w:pPr>
              <w:widowControl/>
              <w:adjustRightInd w:val="0"/>
              <w:snapToGrid w:val="0"/>
              <w:textAlignment w:val="baseline"/>
              <w:rPr>
                <w:kern w:val="0"/>
                <w:szCs w:val="21"/>
              </w:rPr>
            </w:pPr>
            <w:r>
              <w:rPr>
                <w:kern w:val="0"/>
                <w:szCs w:val="21"/>
              </w:rPr>
              <w:t>验收时是否需提供第三方检测报告</w:t>
            </w:r>
          </w:p>
        </w:tc>
        <w:tc>
          <w:tcPr>
            <w:tcW w:w="4601" w:type="dxa"/>
            <w:vAlign w:val="center"/>
          </w:tcPr>
          <w:p w14:paraId="608771A3">
            <w:pPr>
              <w:widowControl/>
              <w:adjustRightInd w:val="0"/>
              <w:snapToGrid w:val="0"/>
              <w:textAlignment w:val="baseline"/>
              <w:rPr>
                <w:kern w:val="0"/>
                <w:szCs w:val="21"/>
              </w:rPr>
            </w:pPr>
          </w:p>
          <w:p w14:paraId="44A40246">
            <w:pPr>
              <w:widowControl/>
              <w:adjustRightInd w:val="0"/>
              <w:snapToGrid w:val="0"/>
              <w:textAlignment w:val="baseline"/>
              <w:rPr>
                <w:kern w:val="0"/>
                <w:szCs w:val="21"/>
              </w:rPr>
            </w:pPr>
            <w:r>
              <w:rPr>
                <w:rFonts w:hint="eastAsia"/>
                <w:kern w:val="0"/>
                <w:szCs w:val="21"/>
                <w:lang w:eastAsia="zh-CN"/>
              </w:rPr>
              <w:t>□</w:t>
            </w:r>
            <w:r>
              <w:rPr>
                <w:kern w:val="0"/>
                <w:szCs w:val="21"/>
              </w:rPr>
              <w:t xml:space="preserve">是 </w:t>
            </w:r>
            <w:r>
              <w:rPr>
                <w:rFonts w:hint="eastAsia"/>
                <w:kern w:val="0"/>
                <w:szCs w:val="21"/>
                <w:lang w:eastAsia="zh-CN"/>
              </w:rPr>
              <w:t>☑</w:t>
            </w:r>
            <w:r>
              <w:rPr>
                <w:kern w:val="0"/>
                <w:szCs w:val="21"/>
              </w:rPr>
              <w:t>否</w:t>
            </w:r>
          </w:p>
          <w:p w14:paraId="3C00A592">
            <w:pPr>
              <w:widowControl/>
              <w:adjustRightInd w:val="0"/>
              <w:snapToGrid w:val="0"/>
              <w:textAlignment w:val="baseline"/>
              <w:rPr>
                <w:kern w:val="0"/>
                <w:szCs w:val="21"/>
              </w:rPr>
            </w:pPr>
          </w:p>
          <w:p w14:paraId="3F81B5C3">
            <w:pPr>
              <w:widowControl/>
              <w:adjustRightInd w:val="0"/>
              <w:snapToGrid w:val="0"/>
              <w:textAlignment w:val="baseline"/>
              <w:rPr>
                <w:kern w:val="0"/>
                <w:szCs w:val="21"/>
              </w:rPr>
            </w:pPr>
            <w:r>
              <w:rPr>
                <w:kern w:val="0"/>
                <w:szCs w:val="21"/>
              </w:rPr>
              <w:t>如需提供第三方检测报告，需满足下列要求：</w:t>
            </w:r>
          </w:p>
          <w:p w14:paraId="1E0C8492">
            <w:pPr>
              <w:widowControl/>
              <w:adjustRightInd w:val="0"/>
              <w:snapToGrid w:val="0"/>
              <w:textAlignment w:val="baseline"/>
              <w:rPr>
                <w:kern w:val="0"/>
                <w:szCs w:val="21"/>
              </w:rPr>
            </w:pPr>
            <w:r>
              <w:rPr>
                <w:kern w:val="0"/>
                <w:szCs w:val="21"/>
              </w:rPr>
              <w:t>对于检测机构的要求：国家正规检测机构，出具的检测报告由验收复核专家认可之后作为验收复核通过的主要依据。</w:t>
            </w:r>
          </w:p>
          <w:p w14:paraId="4BD3EAD6">
            <w:pPr>
              <w:widowControl/>
              <w:adjustRightInd w:val="0"/>
              <w:snapToGrid w:val="0"/>
              <w:textAlignment w:val="baseline"/>
              <w:rPr>
                <w:kern w:val="0"/>
                <w:szCs w:val="21"/>
              </w:rPr>
            </w:pPr>
            <w:r>
              <w:rPr>
                <w:kern w:val="0"/>
                <w:szCs w:val="21"/>
              </w:rPr>
              <w:t>对于检测执行标准的要求：各项检测项目标准以检测机构按照行业相关要求最新适用并执行的标准为准。</w:t>
            </w:r>
          </w:p>
          <w:p w14:paraId="159CCEB0">
            <w:pPr>
              <w:widowControl/>
              <w:adjustRightInd w:val="0"/>
              <w:snapToGrid w:val="0"/>
              <w:textAlignment w:val="baseline"/>
              <w:rPr>
                <w:kern w:val="0"/>
                <w:szCs w:val="21"/>
              </w:rPr>
            </w:pPr>
            <w:r>
              <w:rPr>
                <w:kern w:val="0"/>
                <w:szCs w:val="21"/>
              </w:rPr>
              <w:t>需提供体现关键部件、器件技术指标的纸质报告，具体包括但不局限于：同轴电缆、固体开关、电容器、同步触发系统等。</w:t>
            </w:r>
          </w:p>
          <w:p w14:paraId="2ADFCE73">
            <w:pPr>
              <w:widowControl/>
              <w:adjustRightInd w:val="0"/>
              <w:snapToGrid w:val="0"/>
              <w:textAlignment w:val="baseline"/>
              <w:rPr>
                <w:kern w:val="0"/>
                <w:szCs w:val="21"/>
              </w:rPr>
            </w:pPr>
          </w:p>
          <w:p w14:paraId="1AAE0C85">
            <w:pPr>
              <w:widowControl/>
              <w:adjustRightInd w:val="0"/>
              <w:snapToGrid w:val="0"/>
              <w:textAlignment w:val="baseline"/>
              <w:rPr>
                <w:kern w:val="0"/>
                <w:szCs w:val="21"/>
              </w:rPr>
            </w:pPr>
          </w:p>
          <w:p w14:paraId="0D208494">
            <w:pPr>
              <w:widowControl/>
              <w:adjustRightInd w:val="0"/>
              <w:snapToGrid w:val="0"/>
              <w:textAlignment w:val="baseline"/>
              <w:rPr>
                <w:kern w:val="0"/>
                <w:szCs w:val="21"/>
              </w:rPr>
            </w:pPr>
          </w:p>
        </w:tc>
      </w:tr>
      <w:bookmarkEnd w:id="5"/>
    </w:tbl>
    <w:p w14:paraId="7C1F26BF">
      <w:pPr>
        <w:adjustRightInd w:val="0"/>
        <w:snapToGrid w:val="0"/>
        <w:spacing w:line="360" w:lineRule="auto"/>
        <w:ind w:firstLine="440" w:firstLineChars="200"/>
        <w:rPr>
          <w:rFonts w:eastAsia="楷体"/>
          <w:sz w:val="22"/>
          <w:szCs w:val="22"/>
        </w:rPr>
      </w:pPr>
    </w:p>
    <w:p w14:paraId="12A3105C">
      <w:pPr>
        <w:adjustRightInd w:val="0"/>
        <w:snapToGrid w:val="0"/>
        <w:spacing w:line="360" w:lineRule="auto"/>
        <w:ind w:firstLine="440" w:firstLineChars="200"/>
        <w:rPr>
          <w:rFonts w:eastAsia="楷体"/>
          <w:sz w:val="22"/>
          <w:szCs w:val="22"/>
        </w:rPr>
      </w:pPr>
    </w:p>
    <w:p w14:paraId="392C00A6">
      <w:pPr>
        <w:adjustRightInd w:val="0"/>
        <w:snapToGrid w:val="0"/>
        <w:spacing w:line="360" w:lineRule="auto"/>
        <w:ind w:firstLine="420" w:firstLineChars="200"/>
      </w:pPr>
    </w:p>
    <w:sectPr>
      <w:pgSz w:w="11906" w:h="16838"/>
      <w:pgMar w:top="1871" w:right="1418" w:bottom="1588" w:left="1418"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1" w:fontKey="{A0989055-6965-4A03-8344-91C9A5CB1B9E}"/>
  </w:font>
  <w:font w:name="楷体">
    <w:panose1 w:val="02010609060101010101"/>
    <w:charset w:val="86"/>
    <w:family w:val="modern"/>
    <w:pitch w:val="default"/>
    <w:sig w:usb0="800002BF" w:usb1="38CF7CFA" w:usb2="00000016" w:usb3="00000000" w:csb0="00040001" w:csb1="00000000"/>
    <w:embedRegular r:id="rId2" w:fontKey="{73683811-F555-4F99-BC07-A7F50928595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917C7">
    <w:pPr>
      <w:pStyle w:val="5"/>
      <w:jc w:val="center"/>
    </w:pPr>
    <w:r>
      <w:fldChar w:fldCharType="begin"/>
    </w:r>
    <w:r>
      <w:instrText xml:space="preserve">PAGE   \* MERGEFORMAT</w:instrText>
    </w:r>
    <w:r>
      <w:fldChar w:fldCharType="separate"/>
    </w:r>
    <w:r>
      <w:rPr>
        <w:lang w:val="zh-CN"/>
      </w:rPr>
      <w:t>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3D00"/>
    <w:rsid w:val="000045B7"/>
    <w:rsid w:val="0000609F"/>
    <w:rsid w:val="00012B28"/>
    <w:rsid w:val="000170BA"/>
    <w:rsid w:val="00017928"/>
    <w:rsid w:val="00017C9A"/>
    <w:rsid w:val="000345B6"/>
    <w:rsid w:val="00037EB6"/>
    <w:rsid w:val="00045469"/>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00069"/>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5F3F"/>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0826"/>
    <w:rsid w:val="004712B7"/>
    <w:rsid w:val="0048154C"/>
    <w:rsid w:val="00481EE9"/>
    <w:rsid w:val="00490D0E"/>
    <w:rsid w:val="00491E5A"/>
    <w:rsid w:val="00492CEE"/>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2EEC"/>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1DCE"/>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05B"/>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097"/>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239A"/>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75B73"/>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E97"/>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27C38"/>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1265ED6"/>
    <w:rsid w:val="015E363A"/>
    <w:rsid w:val="01C744FB"/>
    <w:rsid w:val="03D0104C"/>
    <w:rsid w:val="04CA38BA"/>
    <w:rsid w:val="05C22B02"/>
    <w:rsid w:val="07D433FC"/>
    <w:rsid w:val="097B067C"/>
    <w:rsid w:val="0C6F0406"/>
    <w:rsid w:val="0C9555A6"/>
    <w:rsid w:val="16520BDB"/>
    <w:rsid w:val="1BC72B84"/>
    <w:rsid w:val="1F6A5C17"/>
    <w:rsid w:val="2052617E"/>
    <w:rsid w:val="22400E99"/>
    <w:rsid w:val="257F0F4E"/>
    <w:rsid w:val="2630783C"/>
    <w:rsid w:val="26E66C2C"/>
    <w:rsid w:val="2A6753BC"/>
    <w:rsid w:val="2D430559"/>
    <w:rsid w:val="37AA4EDA"/>
    <w:rsid w:val="382A0FC4"/>
    <w:rsid w:val="411D681E"/>
    <w:rsid w:val="46616A8D"/>
    <w:rsid w:val="487A531F"/>
    <w:rsid w:val="495F4514"/>
    <w:rsid w:val="4FAF6015"/>
    <w:rsid w:val="56427CA5"/>
    <w:rsid w:val="58B34E30"/>
    <w:rsid w:val="591C609F"/>
    <w:rsid w:val="5DBE5856"/>
    <w:rsid w:val="61B765BC"/>
    <w:rsid w:val="629B1F35"/>
    <w:rsid w:val="642B53B7"/>
    <w:rsid w:val="65E81919"/>
    <w:rsid w:val="6864037D"/>
    <w:rsid w:val="6A134BAD"/>
    <w:rsid w:val="6DF67E77"/>
    <w:rsid w:val="70D31E2A"/>
    <w:rsid w:val="740873E8"/>
    <w:rsid w:val="7C9E2EC4"/>
    <w:rsid w:val="7DB33A33"/>
    <w:rsid w:val="7DF25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6"/>
    <w:semiHidden/>
    <w:unhideWhenUsed/>
    <w:qFormat/>
    <w:uiPriority w:val="99"/>
    <w:pPr>
      <w:jc w:val="left"/>
    </w:pPr>
  </w:style>
  <w:style w:type="paragraph" w:styleId="3">
    <w:name w:val="Plain Text"/>
    <w:basedOn w:val="1"/>
    <w:link w:val="16"/>
    <w:qFormat/>
    <w:uiPriority w:val="0"/>
    <w:rPr>
      <w:rFonts w:ascii="宋体" w:hAnsi="Courier New" w:cstheme="minorBidi"/>
      <w:szCs w:val="22"/>
    </w:rPr>
  </w:style>
  <w:style w:type="paragraph" w:styleId="4">
    <w:name w:val="Balloon Text"/>
    <w:basedOn w:val="1"/>
    <w:link w:val="24"/>
    <w:semiHidden/>
    <w:unhideWhenUsed/>
    <w:qFormat/>
    <w:uiPriority w:val="99"/>
    <w:rPr>
      <w:sz w:val="18"/>
      <w:szCs w:val="18"/>
    </w:rPr>
  </w:style>
  <w:style w:type="paragraph" w:styleId="5">
    <w:name w:val="footer"/>
    <w:basedOn w:val="1"/>
    <w:link w:val="17"/>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6">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8"/>
    <w:qFormat/>
    <w:uiPriority w:val="0"/>
    <w:pPr>
      <w:spacing w:before="240" w:after="60"/>
      <w:jc w:val="center"/>
      <w:outlineLvl w:val="0"/>
    </w:pPr>
    <w:rPr>
      <w:rFonts w:ascii="Arial" w:hAnsi="Arial" w:cs="Arial"/>
      <w:b/>
      <w:bCs/>
      <w:sz w:val="32"/>
      <w:szCs w:val="32"/>
    </w:rPr>
  </w:style>
  <w:style w:type="paragraph" w:styleId="8">
    <w:name w:val="annotation subject"/>
    <w:basedOn w:val="2"/>
    <w:next w:val="2"/>
    <w:link w:val="27"/>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semiHidden/>
    <w:unhideWhenUsed/>
    <w:qFormat/>
    <w:uiPriority w:val="99"/>
    <w:rPr>
      <w:color w:val="0000FF"/>
      <w:u w:val="single"/>
    </w:rPr>
  </w:style>
  <w:style w:type="character" w:styleId="15">
    <w:name w:val="annotation reference"/>
    <w:basedOn w:val="11"/>
    <w:semiHidden/>
    <w:unhideWhenUsed/>
    <w:qFormat/>
    <w:uiPriority w:val="99"/>
    <w:rPr>
      <w:sz w:val="21"/>
      <w:szCs w:val="21"/>
    </w:rPr>
  </w:style>
  <w:style w:type="character" w:customStyle="1" w:styleId="16">
    <w:name w:val="纯文本 字符"/>
    <w:link w:val="3"/>
    <w:qFormat/>
    <w:uiPriority w:val="0"/>
    <w:rPr>
      <w:rFonts w:ascii="宋体" w:hAnsi="Courier New" w:eastAsia="宋体"/>
    </w:rPr>
  </w:style>
  <w:style w:type="character" w:customStyle="1" w:styleId="17">
    <w:name w:val="页脚 字符"/>
    <w:link w:val="5"/>
    <w:qFormat/>
    <w:uiPriority w:val="0"/>
    <w:rPr>
      <w:sz w:val="18"/>
    </w:rPr>
  </w:style>
  <w:style w:type="character" w:customStyle="1" w:styleId="18">
    <w:name w:val="标题 字符"/>
    <w:link w:val="7"/>
    <w:qFormat/>
    <w:uiPriority w:val="0"/>
    <w:rPr>
      <w:rFonts w:ascii="Arial" w:hAnsi="Arial" w:eastAsia="宋体" w:cs="Arial"/>
      <w:b/>
      <w:bCs/>
      <w:sz w:val="32"/>
      <w:szCs w:val="32"/>
    </w:rPr>
  </w:style>
  <w:style w:type="character" w:customStyle="1" w:styleId="19">
    <w:name w:val="页脚 Char"/>
    <w:basedOn w:val="11"/>
    <w:semiHidden/>
    <w:qFormat/>
    <w:uiPriority w:val="99"/>
    <w:rPr>
      <w:rFonts w:ascii="Times New Roman" w:hAnsi="Times New Roman" w:eastAsia="宋体" w:cs="Times New Roman"/>
      <w:sz w:val="18"/>
      <w:szCs w:val="18"/>
    </w:rPr>
  </w:style>
  <w:style w:type="character" w:customStyle="1" w:styleId="20">
    <w:name w:val="标题 Char"/>
    <w:basedOn w:val="11"/>
    <w:qFormat/>
    <w:uiPriority w:val="10"/>
    <w:rPr>
      <w:rFonts w:eastAsia="宋体" w:asciiTheme="majorHAnsi" w:hAnsiTheme="majorHAnsi" w:cstheme="majorBidi"/>
      <w:b/>
      <w:bCs/>
      <w:sz w:val="32"/>
      <w:szCs w:val="32"/>
    </w:rPr>
  </w:style>
  <w:style w:type="character" w:customStyle="1" w:styleId="21">
    <w:name w:val="纯文本 Char"/>
    <w:basedOn w:val="11"/>
    <w:semiHidden/>
    <w:qFormat/>
    <w:uiPriority w:val="99"/>
    <w:rPr>
      <w:rFonts w:ascii="宋体" w:hAnsi="Courier New" w:eastAsia="宋体" w:cs="Courier New"/>
      <w:szCs w:val="21"/>
    </w:rPr>
  </w:style>
  <w:style w:type="character" w:customStyle="1" w:styleId="22">
    <w:name w:val="页眉 字符"/>
    <w:basedOn w:val="11"/>
    <w:link w:val="6"/>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框文本 字符"/>
    <w:basedOn w:val="11"/>
    <w:link w:val="4"/>
    <w:semiHidden/>
    <w:qFormat/>
    <w:uiPriority w:val="99"/>
    <w:rPr>
      <w:rFonts w:ascii="Times New Roman" w:hAnsi="Times New Roman" w:eastAsia="宋体" w:cs="Times New Roman"/>
      <w:sz w:val="18"/>
      <w:szCs w:val="18"/>
    </w:rPr>
  </w:style>
  <w:style w:type="paragraph" w:customStyle="1" w:styleId="25">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26">
    <w:name w:val="批注文字 字符"/>
    <w:basedOn w:val="11"/>
    <w:link w:val="2"/>
    <w:semiHidden/>
    <w:qFormat/>
    <w:uiPriority w:val="99"/>
    <w:rPr>
      <w:rFonts w:ascii="Times New Roman" w:hAnsi="Times New Roman" w:eastAsia="宋体" w:cs="Times New Roman"/>
      <w:kern w:val="2"/>
      <w:sz w:val="21"/>
    </w:rPr>
  </w:style>
  <w:style w:type="character" w:customStyle="1" w:styleId="27">
    <w:name w:val="批注主题 字符"/>
    <w:basedOn w:val="26"/>
    <w:link w:val="8"/>
    <w:semiHidden/>
    <w:qFormat/>
    <w:uiPriority w:val="99"/>
    <w:rPr>
      <w:rFonts w:ascii="Times New Roman" w:hAnsi="Times New Roman" w:eastAsia="宋体" w:cs="Times New Roman"/>
      <w:b/>
      <w:bCs/>
      <w:kern w:val="2"/>
      <w:sz w:val="21"/>
    </w:rPr>
  </w:style>
  <w:style w:type="paragraph" w:customStyle="1" w:styleId="28">
    <w:name w:val="修订1"/>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5689</Words>
  <Characters>6409</Characters>
  <Lines>49</Lines>
  <Paragraphs>13</Paragraphs>
  <TotalTime>8</TotalTime>
  <ScaleCrop>false</ScaleCrop>
  <LinksUpToDate>false</LinksUpToDate>
  <CharactersWithSpaces>6567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2026-07-01T02:56:00Z</dcterms:created>
  <dc:creator>User</dc:creator>
  <cp:lastModifiedBy>非你莫属</cp:lastModifiedBy>
  <dcterms:modified xsi:type="dcterms:W3CDTF">2026-07-02T02:59:26Z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1585C98996014E04BDA7B98972E10689_13</vt:lpwstr>
  </property>
  <property fmtid="{D5CDD505-2E9C-101B-9397-08002B2CF9AE}" pid="4" name="KSOTemplateDocerSaveRecord">
    <vt:lpwstr>eyJoZGlkIjoiNTMyN2UxNWQzODk2ZjAzNzY4YjY0ZWJkNWZhMzUxNWQiLCJ1c2VySWQiOiIxMjExMDU2NzM5In0=</vt:lpwstr>
  </property>
</Properties>
</file>