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B5F6DE">
      <w:pPr>
        <w:adjustRightInd w:val="0"/>
        <w:snapToGrid w:val="0"/>
        <w:spacing w:line="360" w:lineRule="auto"/>
        <w:jc w:val="center"/>
        <w:rPr>
          <w:rFonts w:eastAsia="方正小标宋简体"/>
          <w:sz w:val="36"/>
          <w:szCs w:val="32"/>
        </w:rPr>
      </w:pPr>
      <w:bookmarkStart w:id="0" w:name="_Toc38367762"/>
      <w:bookmarkStart w:id="1" w:name="_Toc219271393"/>
      <w:bookmarkStart w:id="2" w:name="_Toc172360661"/>
      <w:bookmarkStart w:id="3" w:name="_Toc158978330"/>
      <w:r>
        <w:rPr>
          <w:rFonts w:eastAsia="方正小标宋简体"/>
          <w:sz w:val="36"/>
          <w:szCs w:val="32"/>
        </w:rPr>
        <w:t>【真空热阻&amp;电子束集成式蒸发系统】采购需求</w:t>
      </w:r>
      <w:bookmarkEnd w:id="0"/>
    </w:p>
    <w:p w14:paraId="77C2D7A7">
      <w:pPr>
        <w:tabs>
          <w:tab w:val="left" w:pos="900"/>
        </w:tabs>
        <w:adjustRightInd w:val="0"/>
        <w:snapToGrid w:val="0"/>
        <w:spacing w:line="360" w:lineRule="auto"/>
        <w:ind w:firstLine="422" w:firstLineChars="200"/>
        <w:rPr>
          <w:b/>
          <w:szCs w:val="21"/>
        </w:rPr>
      </w:pPr>
      <w:r>
        <w:rPr>
          <w:rFonts w:hint="eastAsia" w:hAnsi="宋体"/>
          <w:b/>
          <w:szCs w:val="21"/>
        </w:rPr>
        <w:t>一、</w:t>
      </w:r>
      <w:r>
        <w:rPr>
          <w:rFonts w:hAnsi="宋体"/>
          <w:b/>
          <w:szCs w:val="21"/>
        </w:rPr>
        <w:t>采购</w:t>
      </w:r>
      <w:r>
        <w:rPr>
          <w:rFonts w:hint="eastAsia" w:hAnsi="宋体"/>
          <w:b/>
          <w:szCs w:val="21"/>
        </w:rPr>
        <w:t>标的</w:t>
      </w:r>
      <w:r>
        <w:rPr>
          <w:rFonts w:hAnsi="宋体"/>
          <w:b/>
          <w:szCs w:val="21"/>
        </w:rPr>
        <w:t>需实现的功能或者目标，以及为落实政府采购政策需满足的要求：</w:t>
      </w:r>
    </w:p>
    <w:p w14:paraId="08D81523">
      <w:pPr>
        <w:tabs>
          <w:tab w:val="left" w:pos="900"/>
        </w:tabs>
        <w:adjustRightInd w:val="0"/>
        <w:snapToGrid w:val="0"/>
        <w:spacing w:line="360" w:lineRule="auto"/>
        <w:ind w:firstLine="422" w:firstLineChars="200"/>
        <w:rPr>
          <w:b/>
          <w:szCs w:val="21"/>
        </w:rPr>
      </w:pPr>
      <w:r>
        <w:rPr>
          <w:rFonts w:hAnsi="宋体"/>
          <w:b/>
          <w:szCs w:val="21"/>
        </w:rPr>
        <w:t>（一）采购</w:t>
      </w:r>
      <w:r>
        <w:rPr>
          <w:rFonts w:hint="eastAsia" w:hAnsi="宋体"/>
          <w:b/>
          <w:szCs w:val="21"/>
        </w:rPr>
        <w:t>标的</w:t>
      </w:r>
      <w:r>
        <w:rPr>
          <w:rFonts w:hAnsi="宋体"/>
          <w:b/>
          <w:szCs w:val="21"/>
        </w:rPr>
        <w:t>需实现的功能或者目标</w:t>
      </w:r>
    </w:p>
    <w:p w14:paraId="4075D181">
      <w:pPr>
        <w:adjustRightInd w:val="0"/>
        <w:snapToGrid w:val="0"/>
        <w:spacing w:line="360" w:lineRule="auto"/>
        <w:ind w:firstLine="420" w:firstLineChars="200"/>
        <w:rPr>
          <w:szCs w:val="24"/>
        </w:rPr>
      </w:pPr>
      <w:r>
        <w:rPr>
          <w:szCs w:val="24"/>
        </w:rPr>
        <w:t>本项目采购真空热阻&amp;电子束集成式蒸发系统1套，主要用于高质量金属单层膜/多层膜以及液态金属薄膜的制备，要求具有较高成膜均匀性和温度均匀性，且放气量小。</w:t>
      </w:r>
    </w:p>
    <w:p w14:paraId="7E45FA3A">
      <w:pPr>
        <w:tabs>
          <w:tab w:val="left" w:pos="900"/>
        </w:tabs>
        <w:adjustRightInd w:val="0"/>
        <w:snapToGrid w:val="0"/>
        <w:spacing w:line="360" w:lineRule="auto"/>
        <w:ind w:firstLine="422" w:firstLineChars="200"/>
        <w:rPr>
          <w:b/>
          <w:szCs w:val="21"/>
        </w:rPr>
      </w:pPr>
      <w:r>
        <w:rPr>
          <w:rFonts w:hAnsi="宋体"/>
          <w:b/>
          <w:szCs w:val="21"/>
        </w:rPr>
        <w:t>（二）政府采购政策</w:t>
      </w:r>
      <w:r>
        <w:rPr>
          <w:rFonts w:hint="eastAsia" w:hAnsi="宋体"/>
          <w:b/>
          <w:szCs w:val="21"/>
        </w:rPr>
        <w:t>落实</w:t>
      </w:r>
      <w:r>
        <w:rPr>
          <w:rFonts w:hAnsi="宋体"/>
          <w:b/>
          <w:szCs w:val="21"/>
        </w:rPr>
        <w:t>要求</w:t>
      </w:r>
    </w:p>
    <w:p w14:paraId="5D9D7DE0">
      <w:pPr>
        <w:tabs>
          <w:tab w:val="left" w:pos="900"/>
        </w:tabs>
        <w:adjustRightInd w:val="0"/>
        <w:snapToGrid w:val="0"/>
        <w:spacing w:line="360" w:lineRule="auto"/>
        <w:ind w:firstLine="420" w:firstLineChars="200"/>
        <w:rPr>
          <w:rFonts w:hint="eastAsia" w:hAnsi="宋体"/>
          <w:szCs w:val="21"/>
        </w:rPr>
      </w:pPr>
      <w:r>
        <w:rPr>
          <w:rFonts w:hint="eastAsia" w:hAnsi="宋体"/>
          <w:szCs w:val="24"/>
        </w:rPr>
        <w:t>1</w:t>
      </w:r>
      <w:r>
        <w:rPr>
          <w:rFonts w:hAnsi="宋体"/>
          <w:szCs w:val="24"/>
        </w:rPr>
        <w:t xml:space="preserve">. </w:t>
      </w:r>
      <w:r>
        <w:rPr>
          <w:rFonts w:hint="eastAsia" w:hAnsi="宋体"/>
          <w:szCs w:val="24"/>
        </w:rPr>
        <w:t>中小企业扶持政策：</w:t>
      </w:r>
      <w:r>
        <w:rPr>
          <w:rFonts w:hAnsi="宋体"/>
          <w:szCs w:val="24"/>
        </w:rPr>
        <w:t>根据</w:t>
      </w:r>
      <w:r>
        <w:rPr>
          <w:rFonts w:hAnsi="宋体"/>
        </w:rPr>
        <w:t>《政府采购促进中小企业发展管理办法》</w:t>
      </w:r>
      <w:r>
        <w:rPr>
          <w:rFonts w:hint="eastAsia" w:hAnsi="宋体"/>
        </w:rPr>
        <w:t>（财库〔2</w:t>
      </w:r>
      <w:r>
        <w:rPr>
          <w:rFonts w:hAnsi="宋体"/>
        </w:rPr>
        <w:t>020</w:t>
      </w:r>
      <w:r>
        <w:rPr>
          <w:rFonts w:hint="eastAsia" w:hAnsi="宋体"/>
        </w:rPr>
        <w:t>〕4</w:t>
      </w:r>
      <w:r>
        <w:rPr>
          <w:rFonts w:hAnsi="宋体"/>
        </w:rPr>
        <w:t>6</w:t>
      </w:r>
      <w:r>
        <w:rPr>
          <w:rFonts w:hint="eastAsia" w:hAnsi="宋体"/>
        </w:rPr>
        <w:t>号）</w:t>
      </w:r>
      <w:r>
        <w:rPr>
          <w:rFonts w:hAnsi="宋体"/>
        </w:rPr>
        <w:t>规定，本项目</w:t>
      </w:r>
      <w:r>
        <w:rPr>
          <w:rFonts w:hint="eastAsia" w:hAnsi="宋体"/>
        </w:rPr>
        <w:t>采购标的</w:t>
      </w:r>
      <w:r>
        <w:rPr>
          <w:rFonts w:hAnsi="宋体"/>
        </w:rPr>
        <w:t>为</w:t>
      </w:r>
      <w:r>
        <w:rPr>
          <w:rFonts w:hint="eastAsia" w:hAnsi="宋体"/>
        </w:rPr>
        <w:t>中小</w:t>
      </w:r>
      <w:r>
        <w:rPr>
          <w:rFonts w:hAnsi="宋体"/>
        </w:rPr>
        <w:t>型企业</w:t>
      </w:r>
      <w:r>
        <w:rPr>
          <w:rFonts w:hint="eastAsia" w:hAnsi="宋体"/>
        </w:rPr>
        <w:t>制造、承建或承接</w:t>
      </w:r>
      <w:r>
        <w:rPr>
          <w:rFonts w:hAnsi="宋体"/>
          <w:szCs w:val="24"/>
        </w:rPr>
        <w:t>的，</w:t>
      </w:r>
      <w:r>
        <w:rPr>
          <w:rFonts w:hAnsi="宋体"/>
        </w:rPr>
        <w:t>投标人应</w:t>
      </w:r>
      <w:r>
        <w:rPr>
          <w:rFonts w:hint="eastAsia" w:hAnsi="宋体"/>
        </w:rPr>
        <w:t>提供办法规定的</w:t>
      </w:r>
      <w:r>
        <w:rPr>
          <w:rFonts w:hAnsi="宋体"/>
          <w:szCs w:val="21"/>
        </w:rPr>
        <w:t>《中小企业声明函》</w:t>
      </w:r>
      <w:r>
        <w:rPr>
          <w:rFonts w:hint="eastAsia" w:hAnsi="宋体"/>
          <w:szCs w:val="21"/>
        </w:rPr>
        <w:t>，否则不得享受相关中小企业扶持政策</w:t>
      </w:r>
      <w:r>
        <w:rPr>
          <w:rFonts w:hAnsi="宋体"/>
          <w:szCs w:val="24"/>
        </w:rPr>
        <w:t>。投标人应对提交的中小企业声明函的真实性负责，提交的中小企业声明函不真实的，应承担相应的法律责任</w:t>
      </w:r>
      <w:r>
        <w:rPr>
          <w:rFonts w:hAnsi="宋体"/>
          <w:szCs w:val="21"/>
        </w:rPr>
        <w:t>。</w:t>
      </w:r>
    </w:p>
    <w:p w14:paraId="23D45541">
      <w:pPr>
        <w:tabs>
          <w:tab w:val="left" w:pos="900"/>
        </w:tabs>
        <w:adjustRightInd w:val="0"/>
        <w:snapToGrid w:val="0"/>
        <w:spacing w:line="360" w:lineRule="auto"/>
        <w:ind w:firstLine="420" w:firstLineChars="200"/>
        <w:rPr>
          <w:szCs w:val="24"/>
        </w:rPr>
      </w:pPr>
      <w:r>
        <w:rPr>
          <w:szCs w:val="24"/>
        </w:rPr>
        <w:t>本项目</w:t>
      </w:r>
      <w:bookmarkStart w:id="4" w:name="OLE_LINK23"/>
      <w:r>
        <w:rPr>
          <w:szCs w:val="24"/>
        </w:rPr>
        <w:t>采购标的对应的《中小企业划型标准规定》所属行业</w:t>
      </w:r>
      <w:bookmarkEnd w:id="4"/>
      <w:r>
        <w:rPr>
          <w:szCs w:val="24"/>
        </w:rPr>
        <w:t>为：</w:t>
      </w:r>
      <w:r>
        <w:rPr>
          <w:szCs w:val="24"/>
          <w:u w:val="single"/>
        </w:rPr>
        <w:t xml:space="preserve">         工业         </w:t>
      </w:r>
      <w:r>
        <w:rPr>
          <w:szCs w:val="24"/>
        </w:rPr>
        <w:t>。</w:t>
      </w:r>
    </w:p>
    <w:p w14:paraId="23D77755">
      <w:pPr>
        <w:tabs>
          <w:tab w:val="left" w:pos="900"/>
        </w:tabs>
        <w:adjustRightInd w:val="0"/>
        <w:snapToGrid w:val="0"/>
        <w:spacing w:line="360" w:lineRule="auto"/>
        <w:ind w:firstLine="420" w:firstLineChars="200"/>
        <w:rPr>
          <w:szCs w:val="24"/>
        </w:rPr>
      </w:pPr>
      <w:r>
        <w:rPr>
          <w:szCs w:val="24"/>
        </w:rPr>
        <w:t xml:space="preserve">2. 进口产品政策：本采购项目 □允许 </w:t>
      </w:r>
      <w:r>
        <w:rPr>
          <w:rFonts w:eastAsia="楷体"/>
          <w:sz w:val="22"/>
          <w:szCs w:val="22"/>
        </w:rPr>
        <w:sym w:font="Wingdings 2" w:char="F052"/>
      </w:r>
      <w:r>
        <w:rPr>
          <w:szCs w:val="24"/>
        </w:rPr>
        <w:t>不允许 进口产品参加。（未进行勾选的，视为只接受本国产品参加）</w:t>
      </w:r>
    </w:p>
    <w:p w14:paraId="1C09ADC1">
      <w:pPr>
        <w:tabs>
          <w:tab w:val="left" w:pos="900"/>
        </w:tabs>
        <w:adjustRightInd w:val="0"/>
        <w:snapToGrid w:val="0"/>
        <w:spacing w:line="360" w:lineRule="auto"/>
        <w:ind w:firstLine="422" w:firstLineChars="200"/>
        <w:rPr>
          <w:b/>
          <w:szCs w:val="21"/>
        </w:rPr>
      </w:pPr>
      <w:r>
        <w:rPr>
          <w:b/>
          <w:szCs w:val="21"/>
        </w:rPr>
        <w:t>二、采购标的需执行的国家相关标准、行业标准、地方标准或者其他标准、规范：</w:t>
      </w:r>
    </w:p>
    <w:p w14:paraId="3A5B8F98">
      <w:pPr>
        <w:tabs>
          <w:tab w:val="left" w:pos="900"/>
        </w:tabs>
        <w:adjustRightInd w:val="0"/>
        <w:snapToGrid w:val="0"/>
        <w:spacing w:line="360" w:lineRule="auto"/>
        <w:ind w:firstLine="420" w:firstLineChars="200"/>
        <w:rPr>
          <w:szCs w:val="21"/>
        </w:rPr>
      </w:pPr>
      <w:r>
        <w:rPr>
          <w:szCs w:val="21"/>
        </w:rPr>
        <w:t>1.采购项目中所含的投标产品及制造商应符合国家有关部门规定的相应技术、计量、节能、安全和环保法规及标准，如国家有关部门对投标产品或其制造商有强制性规定或要求的，投标产品或其制造商必须符合相应规定或要求，投标人须提供相关证明文件的复印件。</w:t>
      </w:r>
    </w:p>
    <w:p w14:paraId="65A082D3">
      <w:pPr>
        <w:tabs>
          <w:tab w:val="left" w:pos="900"/>
        </w:tabs>
        <w:adjustRightInd w:val="0"/>
        <w:snapToGrid w:val="0"/>
        <w:spacing w:line="360" w:lineRule="auto"/>
        <w:ind w:firstLine="422" w:firstLineChars="200"/>
        <w:rPr>
          <w:b/>
          <w:szCs w:val="21"/>
        </w:rPr>
      </w:pPr>
      <w:r>
        <w:rPr>
          <w:b/>
          <w:szCs w:val="21"/>
        </w:rPr>
        <w:t>三、采购标的概况</w:t>
      </w:r>
    </w:p>
    <w:p w14:paraId="59C7B2DD">
      <w:pPr>
        <w:adjustRightInd w:val="0"/>
        <w:snapToGrid w:val="0"/>
        <w:spacing w:line="360" w:lineRule="auto"/>
        <w:ind w:firstLine="420" w:firstLineChars="200"/>
        <w:rPr>
          <w:szCs w:val="21"/>
        </w:rPr>
      </w:pPr>
      <w:r>
        <w:rPr>
          <w:szCs w:val="21"/>
        </w:rPr>
        <w:t>（一）采购项目名称：</w:t>
      </w:r>
      <w:r>
        <w:rPr>
          <w:szCs w:val="21"/>
          <w:u w:val="single"/>
        </w:rPr>
        <w:t xml:space="preserve">               真空热阻&amp;电子束集成式蒸发系统                   </w:t>
      </w:r>
    </w:p>
    <w:p w14:paraId="5D25BCCC">
      <w:pPr>
        <w:adjustRightInd w:val="0"/>
        <w:snapToGrid w:val="0"/>
        <w:spacing w:line="360" w:lineRule="auto"/>
        <w:ind w:firstLine="420" w:firstLineChars="200"/>
        <w:rPr>
          <w:szCs w:val="21"/>
          <w:u w:val="single"/>
        </w:rPr>
      </w:pPr>
      <w:r>
        <w:rPr>
          <w:szCs w:val="21"/>
        </w:rPr>
        <w:t>（二）采购数量及计量单位：</w:t>
      </w:r>
      <w:r>
        <w:rPr>
          <w:szCs w:val="21"/>
          <w:u w:val="single"/>
        </w:rPr>
        <w:t xml:space="preserve">                    1套                                    </w:t>
      </w:r>
    </w:p>
    <w:p w14:paraId="0BC8C943">
      <w:pPr>
        <w:adjustRightInd w:val="0"/>
        <w:snapToGrid w:val="0"/>
        <w:spacing w:line="360" w:lineRule="auto"/>
        <w:ind w:firstLine="420" w:firstLineChars="200"/>
        <w:rPr>
          <w:szCs w:val="21"/>
        </w:rPr>
      </w:pPr>
      <w:r>
        <w:rPr>
          <w:szCs w:val="21"/>
        </w:rPr>
        <w:t>（三）最高限价：人民币</w:t>
      </w:r>
      <w:r>
        <w:rPr>
          <w:szCs w:val="21"/>
          <w:u w:val="single"/>
        </w:rPr>
        <w:t xml:space="preserve">  </w:t>
      </w:r>
      <w:r>
        <w:rPr>
          <w:rFonts w:hint="eastAsia"/>
          <w:szCs w:val="21"/>
          <w:u w:val="single"/>
        </w:rPr>
        <w:t xml:space="preserve">   </w:t>
      </w:r>
      <w:r>
        <w:rPr>
          <w:szCs w:val="21"/>
          <w:u w:val="single"/>
        </w:rPr>
        <w:t xml:space="preserve"> 62</w:t>
      </w:r>
      <w:r>
        <w:rPr>
          <w:rFonts w:hint="eastAsia"/>
          <w:szCs w:val="21"/>
          <w:u w:val="single"/>
        </w:rPr>
        <w:t>万</w:t>
      </w:r>
      <w:r>
        <w:rPr>
          <w:szCs w:val="21"/>
          <w:u w:val="single"/>
        </w:rPr>
        <w:t xml:space="preserve"> </w:t>
      </w:r>
      <w:r>
        <w:rPr>
          <w:rFonts w:hint="eastAsia"/>
          <w:szCs w:val="21"/>
          <w:u w:val="single"/>
        </w:rPr>
        <w:t xml:space="preserve"> </w:t>
      </w:r>
      <w:r>
        <w:rPr>
          <w:szCs w:val="21"/>
          <w:u w:val="single"/>
        </w:rPr>
        <w:t xml:space="preserve"> </w:t>
      </w:r>
      <w:r>
        <w:rPr>
          <w:rFonts w:hint="eastAsia"/>
          <w:szCs w:val="21"/>
          <w:u w:val="single"/>
        </w:rPr>
        <w:t xml:space="preserve">  </w:t>
      </w:r>
      <w:r>
        <w:rPr>
          <w:szCs w:val="21"/>
          <w:u w:val="single"/>
        </w:rPr>
        <w:t xml:space="preserve">  </w:t>
      </w:r>
      <w:r>
        <w:rPr>
          <w:szCs w:val="21"/>
        </w:rPr>
        <w:t>元（大写：</w:t>
      </w:r>
      <w:r>
        <w:rPr>
          <w:szCs w:val="21"/>
          <w:u w:val="single"/>
        </w:rPr>
        <w:t xml:space="preserve">     人民币陆拾贰万元整        </w:t>
      </w:r>
      <w:r>
        <w:rPr>
          <w:szCs w:val="21"/>
        </w:rPr>
        <w:t>）</w:t>
      </w:r>
    </w:p>
    <w:p w14:paraId="30DDB913">
      <w:pPr>
        <w:adjustRightInd w:val="0"/>
        <w:snapToGrid w:val="0"/>
        <w:spacing w:line="360" w:lineRule="auto"/>
        <w:ind w:firstLine="420" w:firstLineChars="200"/>
        <w:rPr>
          <w:szCs w:val="21"/>
        </w:rPr>
      </w:pPr>
      <w:r>
        <w:rPr>
          <w:szCs w:val="21"/>
        </w:rPr>
        <w:t>（四）交付时间：</w:t>
      </w:r>
      <w:r>
        <w:t>合同签订后</w:t>
      </w:r>
      <w:r>
        <w:rPr>
          <w:u w:val="single"/>
        </w:rPr>
        <w:t xml:space="preserve">     </w:t>
      </w:r>
      <w:r>
        <w:rPr>
          <w:szCs w:val="21"/>
          <w:u w:val="single"/>
        </w:rPr>
        <w:t xml:space="preserve">                30                           </w:t>
      </w:r>
      <w:r>
        <w:rPr>
          <w:u w:val="single"/>
        </w:rPr>
        <w:t xml:space="preserve">  </w:t>
      </w:r>
      <w:r>
        <w:t>天内</w:t>
      </w:r>
    </w:p>
    <w:p w14:paraId="4511EE69">
      <w:pPr>
        <w:tabs>
          <w:tab w:val="left" w:pos="420"/>
          <w:tab w:val="left" w:pos="900"/>
        </w:tabs>
        <w:adjustRightInd w:val="0"/>
        <w:snapToGrid w:val="0"/>
        <w:spacing w:line="360" w:lineRule="auto"/>
        <w:ind w:firstLine="420" w:firstLineChars="200"/>
        <w:rPr>
          <w:szCs w:val="21"/>
        </w:rPr>
      </w:pPr>
      <w:r>
        <w:rPr>
          <w:szCs w:val="21"/>
        </w:rPr>
        <w:t>（五）交付地点：</w:t>
      </w:r>
      <w:r>
        <w:rPr>
          <w:szCs w:val="21"/>
          <w:u w:val="single"/>
        </w:rPr>
        <w:t xml:space="preserve">         西安交通大学创新港校区3号巨构楼4层4021室             </w:t>
      </w:r>
    </w:p>
    <w:p w14:paraId="5BF40A2F">
      <w:pPr>
        <w:tabs>
          <w:tab w:val="left" w:pos="900"/>
        </w:tabs>
        <w:adjustRightInd w:val="0"/>
        <w:snapToGrid w:val="0"/>
        <w:spacing w:line="360" w:lineRule="auto"/>
        <w:ind w:firstLine="420" w:firstLineChars="200"/>
        <w:rPr>
          <w:szCs w:val="21"/>
        </w:rPr>
      </w:pPr>
      <w:r>
        <w:rPr>
          <w:szCs w:val="21"/>
        </w:rPr>
        <w:t>（六）付款进度安排：</w:t>
      </w:r>
      <w:r>
        <w:rPr>
          <w:rFonts w:eastAsia="楷体"/>
          <w:sz w:val="22"/>
          <w:szCs w:val="22"/>
        </w:rPr>
        <w:sym w:font="Wingdings 2" w:char="F052"/>
      </w:r>
      <w:r>
        <w:rPr>
          <w:szCs w:val="21"/>
        </w:rPr>
        <w:t xml:space="preserve"> 按采购文件要求。</w:t>
      </w:r>
    </w:p>
    <w:p w14:paraId="3C379753">
      <w:pPr>
        <w:tabs>
          <w:tab w:val="left" w:pos="900"/>
        </w:tabs>
        <w:adjustRightInd w:val="0"/>
        <w:snapToGrid w:val="0"/>
        <w:spacing w:line="360" w:lineRule="auto"/>
        <w:ind w:firstLine="402" w:firstLineChars="200"/>
        <w:rPr>
          <w:szCs w:val="21"/>
        </w:rPr>
      </w:pPr>
      <w:r>
        <w:rPr>
          <w:b/>
          <w:color w:val="000000"/>
          <w:kern w:val="0"/>
          <w:sz w:val="20"/>
          <w:szCs w:val="21"/>
        </w:rPr>
        <w:tab/>
      </w:r>
      <w:r>
        <w:rPr>
          <w:b/>
          <w:color w:val="000000"/>
          <w:kern w:val="0"/>
          <w:sz w:val="20"/>
          <w:szCs w:val="21"/>
        </w:rPr>
        <w:tab/>
      </w:r>
      <w:r>
        <w:rPr>
          <w:b/>
          <w:color w:val="000000"/>
          <w:kern w:val="0"/>
          <w:sz w:val="20"/>
          <w:szCs w:val="21"/>
        </w:rPr>
        <w:tab/>
      </w:r>
      <w:r>
        <w:rPr>
          <w:b/>
          <w:color w:val="000000"/>
          <w:kern w:val="0"/>
          <w:sz w:val="20"/>
          <w:szCs w:val="21"/>
        </w:rPr>
        <w:tab/>
      </w:r>
      <w:r>
        <w:rPr>
          <w:b/>
          <w:color w:val="000000"/>
          <w:kern w:val="0"/>
          <w:sz w:val="20"/>
          <w:szCs w:val="21"/>
        </w:rPr>
        <w:tab/>
      </w:r>
      <w:r>
        <w:rPr>
          <w:b/>
          <w:color w:val="000000"/>
          <w:kern w:val="0"/>
          <w:sz w:val="20"/>
          <w:szCs w:val="21"/>
        </w:rPr>
        <w:t>□</w:t>
      </w:r>
      <w:r>
        <w:rPr>
          <w:szCs w:val="21"/>
        </w:rPr>
        <w:t>其他要求：</w:t>
      </w:r>
      <w:r>
        <w:rPr>
          <w:szCs w:val="21"/>
          <w:u w:val="single"/>
        </w:rPr>
        <w:t xml:space="preserve">                                  </w:t>
      </w:r>
      <w:r>
        <w:rPr>
          <w:szCs w:val="21"/>
        </w:rPr>
        <w:t xml:space="preserve"> 。</w:t>
      </w:r>
    </w:p>
    <w:p w14:paraId="3C999C16">
      <w:pPr>
        <w:tabs>
          <w:tab w:val="left" w:pos="900"/>
        </w:tabs>
        <w:adjustRightInd w:val="0"/>
        <w:snapToGrid w:val="0"/>
        <w:spacing w:line="360" w:lineRule="auto"/>
        <w:ind w:firstLine="422" w:firstLineChars="200"/>
        <w:rPr>
          <w:rFonts w:hint="eastAsia" w:hAnsi="宋体"/>
          <w:b/>
          <w:szCs w:val="21"/>
        </w:rPr>
      </w:pPr>
      <w:r>
        <w:rPr>
          <w:rFonts w:hint="eastAsia" w:hAnsi="宋体"/>
          <w:b/>
          <w:szCs w:val="21"/>
        </w:rPr>
        <w:t>四、采购标的需满足的质量、安全、技术规格、物理特性等要求：</w:t>
      </w:r>
    </w:p>
    <w:p w14:paraId="43833FF9">
      <w:pPr>
        <w:tabs>
          <w:tab w:val="left" w:pos="900"/>
        </w:tabs>
        <w:adjustRightInd w:val="0"/>
        <w:snapToGrid w:val="0"/>
        <w:spacing w:line="360" w:lineRule="auto"/>
        <w:ind w:firstLine="420" w:firstLineChars="200"/>
        <w:rPr>
          <w:rFonts w:eastAsiaTheme="minorEastAsia"/>
          <w:bCs/>
          <w:szCs w:val="21"/>
        </w:rPr>
      </w:pPr>
      <w:r>
        <w:rPr>
          <w:rFonts w:eastAsiaTheme="minorEastAsia"/>
          <w:bCs/>
          <w:szCs w:val="21"/>
        </w:rPr>
        <w:t>1、总体需求：用于在6英寸及以下尺寸基片表面蒸镀金属、液态金属、金属氧化物等薄膜材料。系统应具备≥4组热阻蒸发与≥1台电子束蒸发两种镀膜方式，采用工控机自动化控制，显示器通过机械旋转臂固定于设备框架上。具备一键蒸镀功能。设备由底盘结构、基片架装置、蒸发源、自动化控制软件、膜厚控制系统、真空室及真空系统等模块组成。</w:t>
      </w:r>
    </w:p>
    <w:p w14:paraId="1D3A15B1">
      <w:pPr>
        <w:tabs>
          <w:tab w:val="left" w:pos="900"/>
        </w:tabs>
        <w:adjustRightInd w:val="0"/>
        <w:snapToGrid w:val="0"/>
        <w:spacing w:line="360" w:lineRule="auto"/>
        <w:ind w:firstLine="420" w:firstLineChars="200"/>
        <w:rPr>
          <w:rFonts w:eastAsiaTheme="minorEastAsia"/>
          <w:bCs/>
          <w:szCs w:val="21"/>
        </w:rPr>
      </w:pPr>
      <w:r>
        <w:rPr>
          <w:rFonts w:eastAsiaTheme="minorEastAsia"/>
          <w:bCs/>
          <w:szCs w:val="21"/>
        </w:rPr>
        <w:t>2、底盘结构：设备框架采用焊接式钢架结构，表面作白色防锈喷漆处理，配备可开启的磁吸式柜门。设备底部安装万向脚轮（可推动）及可调节高度的支撑脚，便于移动与水平调节。设备配备可多角度调节的机械旋转臂，用于安装并调节操作显示终端的位置。（提供产品实物照片证明）</w:t>
      </w:r>
    </w:p>
    <w:p w14:paraId="585EDFCC">
      <w:pPr>
        <w:tabs>
          <w:tab w:val="left" w:pos="900"/>
        </w:tabs>
        <w:adjustRightInd w:val="0"/>
        <w:snapToGrid w:val="0"/>
        <w:spacing w:line="360" w:lineRule="auto"/>
        <w:ind w:firstLine="420" w:firstLineChars="200"/>
        <w:rPr>
          <w:rFonts w:eastAsiaTheme="minorEastAsia"/>
          <w:bCs/>
          <w:szCs w:val="21"/>
        </w:rPr>
      </w:pPr>
      <w:r>
        <w:rPr>
          <w:rFonts w:eastAsiaTheme="minorEastAsia"/>
          <w:bCs/>
          <w:szCs w:val="21"/>
        </w:rPr>
        <w:t>3、基片架结构</w:t>
      </w:r>
    </w:p>
    <w:p w14:paraId="4ABC6D4D">
      <w:pPr>
        <w:tabs>
          <w:tab w:val="left" w:pos="900"/>
        </w:tabs>
        <w:adjustRightInd w:val="0"/>
        <w:snapToGrid w:val="0"/>
        <w:spacing w:line="360" w:lineRule="auto"/>
        <w:ind w:firstLine="420" w:firstLineChars="200"/>
        <w:rPr>
          <w:rFonts w:eastAsiaTheme="minorEastAsia"/>
          <w:bCs/>
          <w:szCs w:val="21"/>
        </w:rPr>
      </w:pPr>
      <w:r>
        <w:rPr>
          <w:rFonts w:eastAsiaTheme="minorEastAsia"/>
          <w:bCs/>
          <w:szCs w:val="21"/>
        </w:rPr>
        <w:t>*3.1基片盘采用嵌入式结构设计，平板型≥150×150</w:t>
      </w:r>
      <w:r>
        <w:rPr>
          <w:rFonts w:hint="eastAsia" w:eastAsiaTheme="minorEastAsia"/>
          <w:bCs/>
          <w:szCs w:val="21"/>
        </w:rPr>
        <w:t xml:space="preserve"> </w:t>
      </w:r>
      <w:r>
        <w:rPr>
          <w:rFonts w:eastAsiaTheme="minorEastAsia"/>
          <w:bCs/>
          <w:szCs w:val="21"/>
        </w:rPr>
        <w:t>mm，</w:t>
      </w:r>
      <w:r>
        <w:rPr>
          <w:rFonts w:hint="eastAsia" w:eastAsiaTheme="minorEastAsia"/>
          <w:bCs/>
          <w:szCs w:val="21"/>
        </w:rPr>
        <w:t>基片盘</w:t>
      </w:r>
      <w:r>
        <w:rPr>
          <w:rFonts w:eastAsiaTheme="minorEastAsia"/>
          <w:bCs/>
          <w:szCs w:val="21"/>
        </w:rPr>
        <w:t>水冷（</w:t>
      </w:r>
      <w:r>
        <w:rPr>
          <w:rFonts w:hint="eastAsia" w:eastAsiaTheme="minorEastAsia"/>
          <w:bCs/>
          <w:szCs w:val="21"/>
        </w:rPr>
        <w:t>≤</w:t>
      </w:r>
      <w:r>
        <w:rPr>
          <w:rFonts w:eastAsiaTheme="minorEastAsia"/>
          <w:bCs/>
          <w:szCs w:val="21"/>
        </w:rPr>
        <w:t>5</w:t>
      </w:r>
      <w:r>
        <w:rPr>
          <w:rFonts w:hint="eastAsia" w:eastAsiaTheme="minorEastAsia"/>
          <w:bCs/>
          <w:szCs w:val="21"/>
        </w:rPr>
        <w:t>℃</w:t>
      </w:r>
      <w:r>
        <w:rPr>
          <w:rFonts w:eastAsiaTheme="minorEastAsia"/>
          <w:bCs/>
          <w:szCs w:val="21"/>
        </w:rPr>
        <w:t>）和加热功能（</w:t>
      </w:r>
      <w:r>
        <w:rPr>
          <w:rFonts w:hint="eastAsia" w:eastAsiaTheme="minorEastAsia"/>
          <w:bCs/>
          <w:szCs w:val="21"/>
        </w:rPr>
        <w:t>≥</w:t>
      </w:r>
      <w:r>
        <w:rPr>
          <w:rFonts w:eastAsiaTheme="minorEastAsia"/>
          <w:bCs/>
          <w:szCs w:val="21"/>
        </w:rPr>
        <w:t>300</w:t>
      </w:r>
      <w:r>
        <w:rPr>
          <w:rFonts w:hint="eastAsia" w:eastAsiaTheme="minorEastAsia"/>
          <w:bCs/>
          <w:szCs w:val="21"/>
        </w:rPr>
        <w:t>℃</w:t>
      </w:r>
      <w:r>
        <w:rPr>
          <w:rFonts w:eastAsiaTheme="minorEastAsia"/>
          <w:bCs/>
          <w:szCs w:val="21"/>
        </w:rPr>
        <w:t>）同时</w:t>
      </w:r>
      <w:r>
        <w:rPr>
          <w:rFonts w:hint="eastAsia" w:eastAsiaTheme="minorEastAsia"/>
          <w:bCs/>
          <w:szCs w:val="21"/>
        </w:rPr>
        <w:t>具备并可手动切换</w:t>
      </w:r>
      <w:r>
        <w:rPr>
          <w:rFonts w:eastAsiaTheme="minorEastAsia"/>
          <w:bCs/>
          <w:szCs w:val="21"/>
        </w:rPr>
        <w:t>。</w:t>
      </w:r>
    </w:p>
    <w:p w14:paraId="39B9F4CC">
      <w:pPr>
        <w:tabs>
          <w:tab w:val="left" w:pos="900"/>
        </w:tabs>
        <w:adjustRightInd w:val="0"/>
        <w:snapToGrid w:val="0"/>
        <w:spacing w:line="360" w:lineRule="auto"/>
        <w:ind w:firstLine="420" w:firstLineChars="200"/>
        <w:rPr>
          <w:rFonts w:eastAsiaTheme="minorEastAsia"/>
          <w:bCs/>
          <w:szCs w:val="21"/>
        </w:rPr>
      </w:pPr>
      <w:r>
        <w:rPr>
          <w:rFonts w:eastAsiaTheme="minorEastAsia"/>
          <w:bCs/>
          <w:szCs w:val="21"/>
        </w:rPr>
        <w:t>3.2基片架由电机驱动实现连续旋转，最高转速≥30 r/min，可调可控，可加偏压，旋转轴与真空室之间采用磁流体密封连接。</w:t>
      </w:r>
    </w:p>
    <w:p w14:paraId="2DF0F713">
      <w:pPr>
        <w:tabs>
          <w:tab w:val="left" w:pos="900"/>
        </w:tabs>
        <w:adjustRightInd w:val="0"/>
        <w:snapToGrid w:val="0"/>
        <w:spacing w:line="360" w:lineRule="auto"/>
        <w:ind w:firstLine="420" w:firstLineChars="200"/>
        <w:rPr>
          <w:rFonts w:eastAsiaTheme="minorEastAsia"/>
          <w:bCs/>
          <w:szCs w:val="21"/>
        </w:rPr>
      </w:pPr>
      <w:r>
        <w:rPr>
          <w:rFonts w:eastAsiaTheme="minorEastAsia"/>
          <w:bCs/>
          <w:szCs w:val="21"/>
        </w:rPr>
        <w:t>4、蒸发源</w:t>
      </w:r>
    </w:p>
    <w:p w14:paraId="104359E3">
      <w:pPr>
        <w:tabs>
          <w:tab w:val="left" w:pos="900"/>
        </w:tabs>
        <w:adjustRightInd w:val="0"/>
        <w:snapToGrid w:val="0"/>
        <w:spacing w:line="360" w:lineRule="auto"/>
        <w:ind w:firstLine="420" w:firstLineChars="200"/>
        <w:rPr>
          <w:rFonts w:eastAsiaTheme="minorEastAsia"/>
          <w:bCs/>
          <w:szCs w:val="21"/>
        </w:rPr>
      </w:pPr>
      <w:r>
        <w:rPr>
          <w:rFonts w:eastAsiaTheme="minorEastAsia"/>
          <w:bCs/>
          <w:szCs w:val="21"/>
        </w:rPr>
        <w:t>4.1、配置不少于4组热阻式蒸发舟源，每组蒸发源电极均配备独立水冷结构，可长时间连续工作；舟源与基片工作面的垂直距离≥350 mm。</w:t>
      </w:r>
    </w:p>
    <w:p w14:paraId="02DC25F8">
      <w:pPr>
        <w:tabs>
          <w:tab w:val="left" w:pos="900"/>
        </w:tabs>
        <w:adjustRightInd w:val="0"/>
        <w:snapToGrid w:val="0"/>
        <w:spacing w:line="360" w:lineRule="auto"/>
        <w:ind w:firstLine="420" w:firstLineChars="200"/>
        <w:rPr>
          <w:rFonts w:eastAsiaTheme="minorEastAsia"/>
          <w:bCs/>
          <w:szCs w:val="21"/>
        </w:rPr>
      </w:pPr>
      <w:r>
        <w:rPr>
          <w:rFonts w:eastAsiaTheme="minorEastAsia"/>
          <w:bCs/>
          <w:szCs w:val="21"/>
        </w:rPr>
        <w:t>*4.2、配置≥2台舟源蒸发电源，输出功率≤1.5 kW，输出电流设定精度≤0.1 A，电流0-180</w:t>
      </w:r>
      <w:r>
        <w:rPr>
          <w:rFonts w:hint="eastAsia" w:eastAsiaTheme="minorEastAsia"/>
          <w:bCs/>
          <w:szCs w:val="21"/>
        </w:rPr>
        <w:t xml:space="preserve"> </w:t>
      </w:r>
      <w:r>
        <w:rPr>
          <w:rFonts w:eastAsiaTheme="minorEastAsia"/>
          <w:bCs/>
          <w:szCs w:val="21"/>
        </w:rPr>
        <w:t>A，电压0-8</w:t>
      </w:r>
      <w:r>
        <w:rPr>
          <w:rFonts w:hint="eastAsia" w:eastAsiaTheme="minorEastAsia"/>
          <w:bCs/>
          <w:szCs w:val="21"/>
        </w:rPr>
        <w:t xml:space="preserve"> </w:t>
      </w:r>
      <w:r>
        <w:rPr>
          <w:rFonts w:eastAsiaTheme="minorEastAsia"/>
          <w:bCs/>
          <w:szCs w:val="21"/>
        </w:rPr>
        <w:t>V。（需提供实物照片证明文件）。</w:t>
      </w:r>
    </w:p>
    <w:p w14:paraId="52A96007">
      <w:pPr>
        <w:tabs>
          <w:tab w:val="left" w:pos="900"/>
        </w:tabs>
        <w:adjustRightInd w:val="0"/>
        <w:snapToGrid w:val="0"/>
        <w:spacing w:line="360" w:lineRule="auto"/>
        <w:ind w:firstLine="420" w:firstLineChars="200"/>
        <w:rPr>
          <w:rFonts w:eastAsiaTheme="minorEastAsia"/>
          <w:bCs/>
          <w:szCs w:val="21"/>
        </w:rPr>
      </w:pPr>
      <w:r>
        <w:rPr>
          <w:rFonts w:eastAsiaTheme="minorEastAsia"/>
          <w:bCs/>
          <w:szCs w:val="21"/>
        </w:rPr>
        <w:t>4.3、配置1台电子枪，电子束经270°偏转后以垂直方向轰击坩埚内镀膜材料，电子枪配备水冷装置及灯丝防污染结构。不少于6个坩埚工位，可旋转更换，单坩埚容积≥7 ml，加速电压≥10 kV。</w:t>
      </w:r>
    </w:p>
    <w:p w14:paraId="46D5CA95">
      <w:pPr>
        <w:tabs>
          <w:tab w:val="left" w:pos="900"/>
        </w:tabs>
        <w:adjustRightInd w:val="0"/>
        <w:snapToGrid w:val="0"/>
        <w:spacing w:line="360" w:lineRule="auto"/>
        <w:ind w:firstLine="420" w:firstLineChars="200"/>
        <w:rPr>
          <w:rFonts w:eastAsiaTheme="minorEastAsia"/>
          <w:bCs/>
          <w:szCs w:val="21"/>
        </w:rPr>
      </w:pPr>
      <w:r>
        <w:rPr>
          <w:rFonts w:eastAsiaTheme="minorEastAsia"/>
          <w:bCs/>
          <w:szCs w:val="21"/>
        </w:rPr>
        <w:t>4.4、电子枪电子束扫描范围：X方向≥±20 mm，Y方向≥±20 mm；扫描频率可调，范围覆盖0～500 Hz。</w:t>
      </w:r>
    </w:p>
    <w:p w14:paraId="12C97F0A">
      <w:pPr>
        <w:tabs>
          <w:tab w:val="left" w:pos="900"/>
        </w:tabs>
        <w:adjustRightInd w:val="0"/>
        <w:snapToGrid w:val="0"/>
        <w:spacing w:line="360" w:lineRule="auto"/>
        <w:ind w:firstLine="420" w:firstLineChars="200"/>
        <w:rPr>
          <w:rFonts w:eastAsiaTheme="minorEastAsia"/>
          <w:bCs/>
          <w:szCs w:val="21"/>
        </w:rPr>
      </w:pPr>
      <w:r>
        <w:rPr>
          <w:rFonts w:eastAsiaTheme="minorEastAsia"/>
          <w:bCs/>
          <w:szCs w:val="21"/>
        </w:rPr>
        <w:t>5、自动化控制软件</w:t>
      </w:r>
    </w:p>
    <w:p w14:paraId="571B4BFE">
      <w:pPr>
        <w:tabs>
          <w:tab w:val="left" w:pos="900"/>
        </w:tabs>
        <w:adjustRightInd w:val="0"/>
        <w:snapToGrid w:val="0"/>
        <w:spacing w:line="360" w:lineRule="auto"/>
        <w:ind w:firstLine="420" w:firstLineChars="200"/>
        <w:rPr>
          <w:rFonts w:eastAsiaTheme="minorEastAsia"/>
          <w:bCs/>
          <w:szCs w:val="21"/>
        </w:rPr>
      </w:pPr>
      <w:r>
        <w:rPr>
          <w:rFonts w:eastAsiaTheme="minorEastAsia"/>
          <w:bCs/>
          <w:szCs w:val="21"/>
        </w:rPr>
        <w:t>5.1、控制方式采用：PLC+PC控制系统，工控机作为控制核心，所有设备操作均通过工控机人机界面完成，显示器通过机械旋转臂固定于设备框架上，工控机配置不低于：Intel i5-7代处理器、8GB运行内存、128GB固态硬盘；显示器分辨率≥1920×1080，同时具备VGA和HDMI显示接口。</w:t>
      </w:r>
    </w:p>
    <w:p w14:paraId="4D3F334D">
      <w:pPr>
        <w:tabs>
          <w:tab w:val="left" w:pos="900"/>
        </w:tabs>
        <w:adjustRightInd w:val="0"/>
        <w:snapToGrid w:val="0"/>
        <w:spacing w:line="360" w:lineRule="auto"/>
        <w:ind w:firstLine="420" w:firstLineChars="200"/>
        <w:rPr>
          <w:rFonts w:eastAsiaTheme="minorEastAsia"/>
          <w:bCs/>
          <w:szCs w:val="21"/>
        </w:rPr>
      </w:pPr>
      <w:r>
        <w:rPr>
          <w:rFonts w:eastAsiaTheme="minorEastAsia"/>
          <w:bCs/>
          <w:szCs w:val="21"/>
        </w:rPr>
        <w:t>*5.2、具备一键自动蒸镀功能：用户在软件中设定各膜层的蒸镀速率、厚度、蒸发功率等参数后，系统可自动顺序完成抽真空、蒸发源功率升降、基片旋转、坩埚/蒸发源切换、挡板开关等全流程动作，无需人工中途干预。</w:t>
      </w:r>
    </w:p>
    <w:p w14:paraId="0C9FFD9F">
      <w:pPr>
        <w:tabs>
          <w:tab w:val="left" w:pos="900"/>
        </w:tabs>
        <w:adjustRightInd w:val="0"/>
        <w:snapToGrid w:val="0"/>
        <w:spacing w:line="360" w:lineRule="auto"/>
        <w:ind w:firstLine="420" w:firstLineChars="200"/>
        <w:rPr>
          <w:rFonts w:eastAsiaTheme="minorEastAsia"/>
          <w:bCs/>
          <w:szCs w:val="21"/>
        </w:rPr>
      </w:pPr>
      <w:r>
        <w:rPr>
          <w:rFonts w:eastAsiaTheme="minorEastAsia"/>
          <w:bCs/>
          <w:szCs w:val="21"/>
        </w:rPr>
        <w:t>*5.3、设备需要带有工艺过程的可视化和仿真模拟：</w:t>
      </w:r>
    </w:p>
    <w:p w14:paraId="70D17EC5">
      <w:pPr>
        <w:tabs>
          <w:tab w:val="left" w:pos="900"/>
        </w:tabs>
        <w:adjustRightInd w:val="0"/>
        <w:snapToGrid w:val="0"/>
        <w:spacing w:line="360" w:lineRule="auto"/>
        <w:ind w:firstLine="420" w:firstLineChars="200"/>
        <w:rPr>
          <w:rFonts w:eastAsiaTheme="minorEastAsia"/>
          <w:bCs/>
          <w:szCs w:val="21"/>
        </w:rPr>
      </w:pPr>
      <w:r>
        <w:rPr>
          <w:rFonts w:eastAsiaTheme="minorEastAsia"/>
          <w:bCs/>
          <w:szCs w:val="21"/>
        </w:rPr>
        <w:t>全自动流程控制与配方管理，软件需支持完整的工艺配方编辑，能一键执行从抽真空、烘烤、蒸发到取片的整个流程；</w:t>
      </w:r>
    </w:p>
    <w:p w14:paraId="2FF94CBE">
      <w:pPr>
        <w:tabs>
          <w:tab w:val="left" w:pos="900"/>
        </w:tabs>
        <w:adjustRightInd w:val="0"/>
        <w:snapToGrid w:val="0"/>
        <w:spacing w:line="360" w:lineRule="auto"/>
        <w:ind w:firstLine="420" w:firstLineChars="200"/>
        <w:rPr>
          <w:rFonts w:eastAsiaTheme="minorEastAsia"/>
          <w:bCs/>
          <w:szCs w:val="21"/>
        </w:rPr>
      </w:pPr>
      <w:r>
        <w:rPr>
          <w:rFonts w:eastAsiaTheme="minorEastAsia"/>
          <w:bCs/>
          <w:szCs w:val="21"/>
        </w:rPr>
        <w:t>高精度闭环控制，软件需要实时读取石英晶振或光学监测信号，并闭环控制电子束功率，确保沉积的精准；</w:t>
      </w:r>
    </w:p>
    <w:p w14:paraId="0A01F490">
      <w:pPr>
        <w:tabs>
          <w:tab w:val="left" w:pos="900"/>
        </w:tabs>
        <w:adjustRightInd w:val="0"/>
        <w:snapToGrid w:val="0"/>
        <w:spacing w:line="360" w:lineRule="auto"/>
        <w:ind w:firstLine="420" w:firstLineChars="200"/>
        <w:rPr>
          <w:rFonts w:eastAsiaTheme="minorEastAsia"/>
          <w:bCs/>
          <w:szCs w:val="21"/>
        </w:rPr>
      </w:pPr>
      <w:r>
        <w:rPr>
          <w:rFonts w:eastAsiaTheme="minorEastAsia"/>
          <w:bCs/>
          <w:szCs w:val="21"/>
        </w:rPr>
        <w:t>多源协同与复杂镀膜，针对需要交替或同时蒸发多种材料的多层膜，软件要能精确控制多个坩埚和电子枪，实现多源共蒸，并智能同步挡板开关以防止交叉污染；</w:t>
      </w:r>
    </w:p>
    <w:p w14:paraId="080FDC22">
      <w:pPr>
        <w:tabs>
          <w:tab w:val="left" w:pos="900"/>
        </w:tabs>
        <w:adjustRightInd w:val="0"/>
        <w:snapToGrid w:val="0"/>
        <w:spacing w:line="360" w:lineRule="auto"/>
        <w:ind w:firstLine="420" w:firstLineChars="200"/>
        <w:rPr>
          <w:rFonts w:eastAsiaTheme="minorEastAsia"/>
          <w:bCs/>
          <w:szCs w:val="21"/>
        </w:rPr>
      </w:pPr>
      <w:r>
        <w:rPr>
          <w:rFonts w:eastAsiaTheme="minorEastAsia"/>
          <w:bCs/>
          <w:szCs w:val="21"/>
        </w:rPr>
        <w:t>工艺过程模拟：通过建立数学模型，模拟电子束加热、材料熔化蒸发、蒸汽云扩散及在基片上的沉积过程。可以计算出不同工艺参数（如电子束功率、扫描方式）下的膜厚分布和蒸发速率，用于优化工艺窗口。</w:t>
      </w:r>
    </w:p>
    <w:p w14:paraId="637CB115">
      <w:pPr>
        <w:tabs>
          <w:tab w:val="left" w:pos="900"/>
        </w:tabs>
        <w:adjustRightInd w:val="0"/>
        <w:snapToGrid w:val="0"/>
        <w:spacing w:line="360" w:lineRule="auto"/>
        <w:ind w:firstLine="420" w:firstLineChars="200"/>
        <w:rPr>
          <w:rFonts w:eastAsiaTheme="minorEastAsia"/>
          <w:bCs/>
          <w:szCs w:val="21"/>
        </w:rPr>
      </w:pPr>
      <w:r>
        <w:rPr>
          <w:rFonts w:eastAsiaTheme="minorEastAsia"/>
          <w:bCs/>
          <w:szCs w:val="21"/>
        </w:rPr>
        <w:t>薄膜生长可视化：将薄膜的生长过程定量化和三维可视化，帮助技术人员更直观地理解微观机理，辅助工艺学习和参数设定。</w:t>
      </w:r>
    </w:p>
    <w:p w14:paraId="41A25D54">
      <w:pPr>
        <w:tabs>
          <w:tab w:val="left" w:pos="900"/>
        </w:tabs>
        <w:adjustRightInd w:val="0"/>
        <w:snapToGrid w:val="0"/>
        <w:spacing w:line="360" w:lineRule="auto"/>
        <w:ind w:firstLine="420" w:firstLineChars="200"/>
        <w:rPr>
          <w:rFonts w:eastAsiaTheme="minorEastAsia"/>
          <w:bCs/>
          <w:szCs w:val="21"/>
        </w:rPr>
      </w:pPr>
      <w:r>
        <w:rPr>
          <w:rFonts w:eastAsiaTheme="minorEastAsia"/>
          <w:bCs/>
          <w:szCs w:val="21"/>
        </w:rPr>
        <w:t>热与传质模拟：软件需要模拟电子束与多层靶材作用时的热传导、熔化、蒸发甚至蒸气云对热流的屏蔽效应，这对于理解极端工况至关重要。</w:t>
      </w:r>
    </w:p>
    <w:p w14:paraId="0CE32C2C">
      <w:pPr>
        <w:tabs>
          <w:tab w:val="left" w:pos="900"/>
        </w:tabs>
        <w:adjustRightInd w:val="0"/>
        <w:snapToGrid w:val="0"/>
        <w:spacing w:line="360" w:lineRule="auto"/>
        <w:ind w:firstLine="420" w:firstLineChars="200"/>
        <w:rPr>
          <w:rFonts w:eastAsiaTheme="minorEastAsia"/>
          <w:bCs/>
          <w:szCs w:val="21"/>
        </w:rPr>
      </w:pPr>
      <w:r>
        <w:rPr>
          <w:rFonts w:eastAsiaTheme="minorEastAsia"/>
          <w:bCs/>
          <w:szCs w:val="21"/>
        </w:rPr>
        <w:t>报警及保护：对泵、电极等缺水、过流过压、断路等异常情况进行报警并执行相应保护措施；完善的逻辑程序互锁保护系统；</w:t>
      </w:r>
    </w:p>
    <w:p w14:paraId="0222407F">
      <w:pPr>
        <w:tabs>
          <w:tab w:val="left" w:pos="900"/>
        </w:tabs>
        <w:adjustRightInd w:val="0"/>
        <w:snapToGrid w:val="0"/>
        <w:spacing w:line="360" w:lineRule="auto"/>
        <w:ind w:firstLine="420" w:firstLineChars="200"/>
        <w:rPr>
          <w:rFonts w:eastAsiaTheme="minorEastAsia"/>
          <w:bCs/>
          <w:szCs w:val="21"/>
        </w:rPr>
      </w:pPr>
      <w:r>
        <w:rPr>
          <w:rFonts w:eastAsiaTheme="minorEastAsia"/>
          <w:bCs/>
          <w:szCs w:val="21"/>
        </w:rPr>
        <w:t>6、膜厚控制系统</w:t>
      </w:r>
    </w:p>
    <w:p w14:paraId="7710F790">
      <w:pPr>
        <w:tabs>
          <w:tab w:val="left" w:pos="900"/>
        </w:tabs>
        <w:adjustRightInd w:val="0"/>
        <w:snapToGrid w:val="0"/>
        <w:spacing w:line="360" w:lineRule="auto"/>
        <w:ind w:firstLine="420" w:firstLineChars="200"/>
        <w:rPr>
          <w:rFonts w:eastAsiaTheme="minorEastAsia"/>
          <w:bCs/>
          <w:szCs w:val="21"/>
        </w:rPr>
      </w:pPr>
      <w:r>
        <w:rPr>
          <w:rFonts w:eastAsiaTheme="minorEastAsia"/>
          <w:bCs/>
          <w:szCs w:val="21"/>
        </w:rPr>
        <w:t>*6.1、配置≥2个水冷式石英晶振膜厚传感器（品牌不低于INFICON、MCVAC、Fil-Tech，产地需美国进口），晶振频率6</w:t>
      </w:r>
      <w:r>
        <w:rPr>
          <w:rFonts w:hint="eastAsia" w:eastAsiaTheme="minorEastAsia"/>
          <w:bCs/>
          <w:szCs w:val="21"/>
        </w:rPr>
        <w:t xml:space="preserve"> </w:t>
      </w:r>
      <w:r>
        <w:rPr>
          <w:rFonts w:eastAsiaTheme="minorEastAsia"/>
          <w:bCs/>
          <w:szCs w:val="21"/>
        </w:rPr>
        <w:t>MHz，频率分辨率达±0.012</w:t>
      </w:r>
      <w:r>
        <w:rPr>
          <w:rFonts w:hint="eastAsia" w:eastAsiaTheme="minorEastAsia"/>
          <w:bCs/>
          <w:szCs w:val="21"/>
        </w:rPr>
        <w:t xml:space="preserve"> </w:t>
      </w:r>
      <w:r>
        <w:rPr>
          <w:rFonts w:eastAsiaTheme="minorEastAsia"/>
          <w:bCs/>
          <w:szCs w:val="21"/>
        </w:rPr>
        <w:t>Hz，支持0.01</w:t>
      </w:r>
      <w:r>
        <w:rPr>
          <w:rFonts w:hint="eastAsia" w:eastAsiaTheme="minorEastAsia"/>
          <w:bCs/>
          <w:szCs w:val="21"/>
        </w:rPr>
        <w:t xml:space="preserve"> </w:t>
      </w:r>
      <w:r>
        <w:rPr>
          <w:rFonts w:eastAsiaTheme="minorEastAsia"/>
          <w:bCs/>
          <w:szCs w:val="21"/>
        </w:rPr>
        <w:t>Å/s速率分辨率，采用快速卡扣式结构更换晶振片，安装于电阻蒸发源附近及电子枪附近，用于实时监测蒸镀速率与沉积膜厚。</w:t>
      </w:r>
    </w:p>
    <w:p w14:paraId="60F64EB1">
      <w:pPr>
        <w:tabs>
          <w:tab w:val="left" w:pos="900"/>
        </w:tabs>
        <w:adjustRightInd w:val="0"/>
        <w:snapToGrid w:val="0"/>
        <w:spacing w:line="360" w:lineRule="auto"/>
        <w:ind w:firstLine="420" w:firstLineChars="200"/>
        <w:rPr>
          <w:rFonts w:eastAsiaTheme="minorEastAsia"/>
          <w:bCs/>
          <w:szCs w:val="21"/>
        </w:rPr>
      </w:pPr>
      <w:r>
        <w:rPr>
          <w:rFonts w:eastAsiaTheme="minorEastAsia"/>
          <w:bCs/>
          <w:szCs w:val="21"/>
        </w:rPr>
        <w:t>*6.2、膜厚监测与控制功能集成于设备主控软件中，带有优于1/4分辨率的320×240像素有源矩阵彩色液晶显示屏，可以显示4条镀膜曲线。膜厚速率显示分辨率≤0.01 Å/s（提供设备制造商公开发行的产品技术资料佐证）。金属Ag为测试材料，在6英寸基片范围内，膜厚</w:t>
      </w:r>
      <w:r>
        <w:rPr>
          <w:rFonts w:hint="eastAsia" w:eastAsiaTheme="minorEastAsia"/>
          <w:bCs/>
          <w:szCs w:val="21"/>
          <w:lang w:val="en-US" w:eastAsia="zh-CN"/>
        </w:rPr>
        <w:t>不</w:t>
      </w:r>
      <w:r>
        <w:rPr>
          <w:rFonts w:eastAsiaTheme="minorEastAsia"/>
          <w:bCs/>
          <w:szCs w:val="21"/>
        </w:rPr>
        <w:t>均匀性≤±5%；同一条件下连续3次镀膜的膜厚</w:t>
      </w:r>
      <w:r>
        <w:rPr>
          <w:rFonts w:hint="eastAsia" w:eastAsiaTheme="minorEastAsia"/>
          <w:bCs/>
          <w:szCs w:val="21"/>
          <w:lang w:val="en-US" w:eastAsia="zh-CN"/>
        </w:rPr>
        <w:t>误差</w:t>
      </w:r>
      <w:r>
        <w:rPr>
          <w:rFonts w:eastAsiaTheme="minorEastAsia"/>
          <w:bCs/>
          <w:szCs w:val="21"/>
        </w:rPr>
        <w:t>≤±5%。</w:t>
      </w:r>
    </w:p>
    <w:p w14:paraId="6435C520">
      <w:pPr>
        <w:tabs>
          <w:tab w:val="left" w:pos="900"/>
        </w:tabs>
        <w:adjustRightInd w:val="0"/>
        <w:snapToGrid w:val="0"/>
        <w:spacing w:line="360" w:lineRule="auto"/>
        <w:ind w:firstLine="420" w:firstLineChars="200"/>
        <w:rPr>
          <w:rFonts w:eastAsiaTheme="minorEastAsia"/>
          <w:bCs/>
          <w:szCs w:val="21"/>
        </w:rPr>
      </w:pPr>
      <w:r>
        <w:rPr>
          <w:rFonts w:eastAsiaTheme="minorEastAsia"/>
          <w:bCs/>
          <w:szCs w:val="21"/>
        </w:rPr>
        <w:t>7、真空室</w:t>
      </w:r>
    </w:p>
    <w:p w14:paraId="7DD83AE2">
      <w:pPr>
        <w:tabs>
          <w:tab w:val="left" w:pos="900"/>
        </w:tabs>
        <w:adjustRightInd w:val="0"/>
        <w:snapToGrid w:val="0"/>
        <w:spacing w:line="360" w:lineRule="auto"/>
        <w:ind w:firstLine="420" w:firstLineChars="200"/>
        <w:rPr>
          <w:rFonts w:eastAsiaTheme="minorEastAsia"/>
          <w:bCs/>
          <w:szCs w:val="21"/>
        </w:rPr>
      </w:pPr>
      <w:r>
        <w:rPr>
          <w:rFonts w:eastAsiaTheme="minorEastAsia"/>
          <w:bCs/>
          <w:szCs w:val="21"/>
        </w:rPr>
        <w:t>7.1、真空室为方箱型结构，主体采用304不锈钢，腔体壁厚≥20 mm，门板厚度≥25 mm；内部有效容积≥4</w:t>
      </w:r>
      <w:r>
        <w:rPr>
          <w:rFonts w:hint="eastAsia" w:eastAsiaTheme="minorEastAsia"/>
          <w:bCs/>
          <w:szCs w:val="21"/>
          <w:lang w:val="en-US" w:eastAsia="zh-CN"/>
        </w:rPr>
        <w:t>5</w:t>
      </w:r>
      <w:r>
        <w:rPr>
          <w:rFonts w:eastAsiaTheme="minorEastAsia"/>
          <w:bCs/>
          <w:szCs w:val="21"/>
        </w:rPr>
        <w:t>0 mm×4</w:t>
      </w:r>
      <w:r>
        <w:rPr>
          <w:rFonts w:hint="eastAsia" w:eastAsiaTheme="minorEastAsia"/>
          <w:bCs/>
          <w:szCs w:val="21"/>
          <w:lang w:val="en-US" w:eastAsia="zh-CN"/>
        </w:rPr>
        <w:t>5</w:t>
      </w:r>
      <w:r>
        <w:rPr>
          <w:rFonts w:eastAsiaTheme="minorEastAsia"/>
          <w:bCs/>
          <w:szCs w:val="21"/>
        </w:rPr>
        <w:t>0 mm×6</w:t>
      </w:r>
      <w:r>
        <w:rPr>
          <w:rFonts w:hint="eastAsia" w:eastAsiaTheme="minorEastAsia"/>
          <w:bCs/>
          <w:szCs w:val="21"/>
          <w:lang w:val="en-US" w:eastAsia="zh-CN"/>
        </w:rPr>
        <w:t>1</w:t>
      </w:r>
      <w:bookmarkStart w:id="8" w:name="_GoBack"/>
      <w:bookmarkEnd w:id="8"/>
      <w:r>
        <w:rPr>
          <w:rFonts w:eastAsiaTheme="minorEastAsia"/>
          <w:bCs/>
          <w:szCs w:val="21"/>
        </w:rPr>
        <w:t>0 mm，腔壁带有冷却水道。</w:t>
      </w:r>
    </w:p>
    <w:p w14:paraId="6B57DD45">
      <w:pPr>
        <w:tabs>
          <w:tab w:val="left" w:pos="900"/>
        </w:tabs>
        <w:adjustRightInd w:val="0"/>
        <w:snapToGrid w:val="0"/>
        <w:spacing w:line="360" w:lineRule="auto"/>
        <w:ind w:firstLine="420" w:firstLineChars="200"/>
        <w:rPr>
          <w:rFonts w:eastAsiaTheme="minorEastAsia"/>
          <w:bCs/>
          <w:szCs w:val="21"/>
        </w:rPr>
      </w:pPr>
      <w:r>
        <w:rPr>
          <w:rFonts w:eastAsiaTheme="minorEastAsia"/>
          <w:bCs/>
          <w:szCs w:val="21"/>
        </w:rPr>
        <w:t>7.2、真空室配备两个可独立开启的门：前门为左右平移式移门，采用直线导轨与滑块结构，并预留手套箱对接接口（可实现在惰性气体氛围下操作）；后门为旋转式开门，开启后腔体内部完全暴露，便于维护检修。后门配置长方形观察窗及腔体内部照明装置。</w:t>
      </w:r>
    </w:p>
    <w:p w14:paraId="24D092EF">
      <w:pPr>
        <w:tabs>
          <w:tab w:val="left" w:pos="900"/>
        </w:tabs>
        <w:adjustRightInd w:val="0"/>
        <w:snapToGrid w:val="0"/>
        <w:spacing w:line="360" w:lineRule="auto"/>
        <w:ind w:firstLine="420" w:firstLineChars="200"/>
        <w:rPr>
          <w:rFonts w:eastAsiaTheme="minorEastAsia"/>
          <w:bCs/>
          <w:szCs w:val="21"/>
        </w:rPr>
      </w:pPr>
      <w:r>
        <w:rPr>
          <w:rFonts w:eastAsiaTheme="minorEastAsia"/>
          <w:bCs/>
          <w:szCs w:val="21"/>
        </w:rPr>
        <w:t>7.3、在真空室经过充分烘烤去气并关闭所有阀门后，极限真空度优于5×10</w:t>
      </w:r>
      <w:r>
        <w:rPr>
          <w:rFonts w:eastAsiaTheme="minorEastAsia"/>
          <w:bCs/>
          <w:szCs w:val="21"/>
          <w:vertAlign w:val="superscript"/>
        </w:rPr>
        <w:t>-5</w:t>
      </w:r>
      <w:r>
        <w:rPr>
          <w:rFonts w:eastAsiaTheme="minorEastAsia"/>
          <w:bCs/>
          <w:szCs w:val="21"/>
        </w:rPr>
        <w:t xml:space="preserve"> Pa；在充氮气保护条件下，从大气压抽至5×10</w:t>
      </w:r>
      <w:r>
        <w:rPr>
          <w:rFonts w:eastAsiaTheme="minorEastAsia"/>
          <w:bCs/>
          <w:szCs w:val="21"/>
          <w:vertAlign w:val="superscript"/>
        </w:rPr>
        <w:t>-4</w:t>
      </w:r>
      <w:r>
        <w:rPr>
          <w:rFonts w:eastAsiaTheme="minorEastAsia"/>
          <w:bCs/>
          <w:szCs w:val="21"/>
        </w:rPr>
        <w:t xml:space="preserve"> Pa的时间不超过15</w:t>
      </w:r>
      <w:r>
        <w:rPr>
          <w:rFonts w:hint="eastAsia" w:eastAsiaTheme="minorEastAsia"/>
          <w:bCs/>
          <w:szCs w:val="21"/>
        </w:rPr>
        <w:t xml:space="preserve"> min</w:t>
      </w:r>
      <w:r>
        <w:rPr>
          <w:rFonts w:eastAsiaTheme="minorEastAsia"/>
          <w:bCs/>
          <w:szCs w:val="21"/>
        </w:rPr>
        <w:t>（验收时现场测试）。</w:t>
      </w:r>
    </w:p>
    <w:p w14:paraId="70A19FD5">
      <w:pPr>
        <w:tabs>
          <w:tab w:val="left" w:pos="900"/>
        </w:tabs>
        <w:adjustRightInd w:val="0"/>
        <w:snapToGrid w:val="0"/>
        <w:spacing w:line="360" w:lineRule="auto"/>
        <w:ind w:firstLine="420" w:firstLineChars="200"/>
        <w:rPr>
          <w:rFonts w:eastAsiaTheme="minorEastAsia"/>
          <w:bCs/>
          <w:szCs w:val="21"/>
        </w:rPr>
      </w:pPr>
      <w:r>
        <w:rPr>
          <w:rFonts w:eastAsiaTheme="minorEastAsia"/>
          <w:bCs/>
          <w:szCs w:val="21"/>
        </w:rPr>
        <w:t>8、真空系统：前级机械泵抽速≥24 m</w:t>
      </w:r>
      <w:r>
        <w:rPr>
          <w:rFonts w:eastAsiaTheme="minorEastAsia"/>
          <w:bCs/>
          <w:szCs w:val="21"/>
          <w:vertAlign w:val="superscript"/>
        </w:rPr>
        <w:t>3</w:t>
      </w:r>
      <w:r>
        <w:rPr>
          <w:rFonts w:eastAsiaTheme="minorEastAsia"/>
          <w:bCs/>
          <w:szCs w:val="21"/>
        </w:rPr>
        <w:t>/h。主泵采用分子泵，抽速≥1300 L/s。真空室配置全量程真空计，测量范围覆盖大气压至1×10</w:t>
      </w:r>
      <w:r>
        <w:rPr>
          <w:rFonts w:eastAsiaTheme="minorEastAsia"/>
          <w:bCs/>
          <w:szCs w:val="21"/>
          <w:vertAlign w:val="superscript"/>
        </w:rPr>
        <w:t>-5</w:t>
      </w:r>
      <w:r>
        <w:rPr>
          <w:rFonts w:eastAsiaTheme="minorEastAsia"/>
          <w:bCs/>
          <w:szCs w:val="21"/>
        </w:rPr>
        <w:t xml:space="preserve"> Pa。</w:t>
      </w:r>
    </w:p>
    <w:p w14:paraId="037D9363">
      <w:pPr>
        <w:tabs>
          <w:tab w:val="left" w:pos="900"/>
        </w:tabs>
        <w:adjustRightInd w:val="0"/>
        <w:snapToGrid w:val="0"/>
        <w:spacing w:line="360" w:lineRule="auto"/>
        <w:ind w:firstLine="420" w:firstLineChars="200"/>
        <w:rPr>
          <w:rFonts w:eastAsiaTheme="minorEastAsia"/>
          <w:bCs/>
          <w:szCs w:val="21"/>
        </w:rPr>
      </w:pPr>
      <w:r>
        <w:rPr>
          <w:rFonts w:eastAsiaTheme="minorEastAsia"/>
          <w:bCs/>
          <w:szCs w:val="21"/>
        </w:rPr>
        <w:t>9、设备预留通用接口，可以满足后续拓展升级。</w:t>
      </w:r>
    </w:p>
    <w:p w14:paraId="01373CFB">
      <w:pPr>
        <w:tabs>
          <w:tab w:val="left" w:pos="900"/>
        </w:tabs>
        <w:adjustRightInd w:val="0"/>
        <w:snapToGrid w:val="0"/>
        <w:spacing w:line="360" w:lineRule="auto"/>
        <w:ind w:firstLine="420" w:firstLineChars="200"/>
        <w:rPr>
          <w:rFonts w:eastAsiaTheme="minorEastAsia"/>
          <w:b/>
          <w:szCs w:val="21"/>
        </w:rPr>
      </w:pPr>
      <w:r>
        <w:rPr>
          <w:rFonts w:eastAsiaTheme="minorEastAsia"/>
          <w:bCs/>
          <w:szCs w:val="21"/>
        </w:rPr>
        <w:t>10、标注“*”的技术参数为核心技术指标（实质性要求）。供应商须完全响应或优于该指标，并提供相应证明材料（包括但不限于产品彩页或厂家技术白皮书或官网截图或检测报告等予以佐证）。任意一项标注“*”指标不满足的，其投标（响应）文件将被认定为无效投标。</w:t>
      </w:r>
    </w:p>
    <w:bookmarkEnd w:id="1"/>
    <w:bookmarkEnd w:id="2"/>
    <w:bookmarkEnd w:id="3"/>
    <w:p w14:paraId="0E5E8811">
      <w:pPr>
        <w:tabs>
          <w:tab w:val="left" w:pos="900"/>
        </w:tabs>
        <w:adjustRightInd w:val="0"/>
        <w:snapToGrid w:val="0"/>
        <w:spacing w:line="360" w:lineRule="auto"/>
        <w:ind w:firstLine="422" w:firstLineChars="200"/>
        <w:rPr>
          <w:b/>
          <w:szCs w:val="21"/>
        </w:rPr>
      </w:pPr>
      <w:r>
        <w:rPr>
          <w:b/>
          <w:szCs w:val="21"/>
        </w:rPr>
        <w:t>五、采购标的需满足的服务标准、期限、效率等要求</w:t>
      </w:r>
    </w:p>
    <w:p w14:paraId="5B96A4A7">
      <w:pPr>
        <w:tabs>
          <w:tab w:val="left" w:pos="420"/>
          <w:tab w:val="left" w:pos="900"/>
        </w:tabs>
        <w:adjustRightInd w:val="0"/>
        <w:snapToGrid w:val="0"/>
        <w:spacing w:line="360" w:lineRule="auto"/>
        <w:ind w:firstLine="420" w:firstLineChars="200"/>
        <w:rPr>
          <w:szCs w:val="21"/>
        </w:rPr>
      </w:pPr>
      <w:r>
        <w:rPr>
          <w:szCs w:val="21"/>
        </w:rPr>
        <w:t>（一）质保期： 不少于</w:t>
      </w:r>
      <w:r>
        <w:rPr>
          <w:szCs w:val="21"/>
          <w:u w:val="single"/>
        </w:rPr>
        <w:t xml:space="preserve">  </w:t>
      </w:r>
      <w:r>
        <w:rPr>
          <w:rFonts w:hint="eastAsia"/>
          <w:szCs w:val="21"/>
          <w:u w:val="single"/>
        </w:rPr>
        <w:t>3</w:t>
      </w:r>
      <w:r>
        <w:rPr>
          <w:szCs w:val="21"/>
          <w:u w:val="single"/>
        </w:rPr>
        <w:t xml:space="preserve">  </w:t>
      </w:r>
      <w:r>
        <w:rPr>
          <w:szCs w:val="21"/>
        </w:rPr>
        <w:t>年，</w:t>
      </w:r>
      <w:r>
        <w:t>质保期内免费维保不少于</w:t>
      </w:r>
      <w:r>
        <w:rPr>
          <w:szCs w:val="21"/>
          <w:u w:val="single"/>
        </w:rPr>
        <w:t xml:space="preserve">  </w:t>
      </w:r>
      <w:r>
        <w:rPr>
          <w:rFonts w:hint="eastAsia"/>
          <w:szCs w:val="21"/>
          <w:u w:val="single"/>
        </w:rPr>
        <w:t>3</w:t>
      </w:r>
      <w:r>
        <w:rPr>
          <w:szCs w:val="21"/>
          <w:u w:val="single"/>
        </w:rPr>
        <w:t xml:space="preserve"> </w:t>
      </w:r>
      <w:r>
        <w:t xml:space="preserve"> 次/年，免人工服务费。</w:t>
      </w:r>
      <w:r>
        <w:rPr>
          <w:szCs w:val="21"/>
        </w:rPr>
        <w:t>质保期满后，仍需提供专业维修服务，投标人在投标文件中需注明维修服务单项报价。</w:t>
      </w:r>
    </w:p>
    <w:p w14:paraId="3D378883">
      <w:pPr>
        <w:tabs>
          <w:tab w:val="left" w:pos="420"/>
          <w:tab w:val="left" w:pos="900"/>
        </w:tabs>
        <w:adjustRightInd w:val="0"/>
        <w:snapToGrid w:val="0"/>
        <w:spacing w:line="360" w:lineRule="auto"/>
        <w:ind w:firstLine="420" w:firstLineChars="200"/>
        <w:rPr>
          <w:szCs w:val="21"/>
        </w:rPr>
      </w:pPr>
      <w:r>
        <w:rPr>
          <w:szCs w:val="21"/>
        </w:rPr>
        <w:t>（二）服务响应时间：接到维修电话后4小时内给予明确答复，8小时内到达现场维修。维修人员到现场后若问题特殊无法现场修复的，中标人需在24小时内给出合理解决方案。</w:t>
      </w:r>
    </w:p>
    <w:p w14:paraId="167CEE5F">
      <w:pPr>
        <w:tabs>
          <w:tab w:val="left" w:pos="420"/>
          <w:tab w:val="left" w:pos="900"/>
        </w:tabs>
        <w:adjustRightInd w:val="0"/>
        <w:snapToGrid w:val="0"/>
        <w:spacing w:line="360" w:lineRule="auto"/>
        <w:ind w:firstLine="420" w:firstLineChars="200"/>
        <w:rPr>
          <w:szCs w:val="21"/>
        </w:rPr>
      </w:pPr>
      <w:r>
        <w:rPr>
          <w:szCs w:val="21"/>
        </w:rPr>
        <w:t>（三）培训要求：中标人需提供培训电子资料及视频；免费为用户培训至少</w:t>
      </w:r>
      <w:r>
        <w:rPr>
          <w:szCs w:val="21"/>
          <w:u w:val="single"/>
        </w:rPr>
        <w:t xml:space="preserve">  </w:t>
      </w:r>
      <w:r>
        <w:rPr>
          <w:rFonts w:hint="eastAsia"/>
          <w:szCs w:val="21"/>
          <w:u w:val="single"/>
        </w:rPr>
        <w:t>2</w:t>
      </w:r>
      <w:r>
        <w:rPr>
          <w:szCs w:val="21"/>
          <w:u w:val="single"/>
        </w:rPr>
        <w:t xml:space="preserve">  </w:t>
      </w:r>
      <w:r>
        <w:rPr>
          <w:szCs w:val="21"/>
        </w:rPr>
        <w:t>名操作人员进行为期至少</w:t>
      </w:r>
      <w:r>
        <w:rPr>
          <w:szCs w:val="21"/>
          <w:u w:val="single"/>
        </w:rPr>
        <w:t xml:space="preserve">  </w:t>
      </w:r>
      <w:r>
        <w:rPr>
          <w:rFonts w:hint="eastAsia"/>
          <w:szCs w:val="21"/>
          <w:u w:val="single"/>
        </w:rPr>
        <w:t>3</w:t>
      </w:r>
      <w:r>
        <w:rPr>
          <w:szCs w:val="21"/>
          <w:u w:val="single"/>
        </w:rPr>
        <w:t xml:space="preserve">  </w:t>
      </w:r>
      <w:r>
        <w:rPr>
          <w:szCs w:val="21"/>
        </w:rPr>
        <w:t>天的现场操作培训以及应用培训，保证用户掌握有关设备的使用、维护、管理和应用等工作要求；同时提供不定期的免费提供相关设备应用方面的技术咨询等。</w:t>
      </w:r>
    </w:p>
    <w:p w14:paraId="51D171C0">
      <w:pPr>
        <w:tabs>
          <w:tab w:val="left" w:pos="420"/>
          <w:tab w:val="left" w:pos="900"/>
        </w:tabs>
        <w:adjustRightInd w:val="0"/>
        <w:snapToGrid w:val="0"/>
        <w:spacing w:line="360" w:lineRule="auto"/>
        <w:ind w:firstLine="420" w:firstLineChars="200"/>
        <w:rPr>
          <w:szCs w:val="21"/>
        </w:rPr>
      </w:pPr>
      <w:r>
        <w:rPr>
          <w:szCs w:val="21"/>
        </w:rPr>
        <w:t>（四）供应商提供进口设备的，须在投标（响应）文件中明确外贸合同卖方信息。</w:t>
      </w:r>
    </w:p>
    <w:p w14:paraId="6B05B847">
      <w:pPr>
        <w:tabs>
          <w:tab w:val="left" w:pos="420"/>
          <w:tab w:val="left" w:pos="900"/>
        </w:tabs>
        <w:adjustRightInd w:val="0"/>
        <w:snapToGrid w:val="0"/>
        <w:spacing w:line="360" w:lineRule="auto"/>
        <w:ind w:firstLine="422" w:firstLineChars="200"/>
        <w:rPr>
          <w:b/>
          <w:szCs w:val="21"/>
        </w:rPr>
      </w:pPr>
      <w:r>
        <w:rPr>
          <w:b/>
          <w:szCs w:val="21"/>
        </w:rPr>
        <w:t>六、采购标的的履约验收标准</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5"/>
        <w:gridCol w:w="3694"/>
        <w:gridCol w:w="4601"/>
      </w:tblGrid>
      <w:tr w14:paraId="78461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60" w:type="dxa"/>
            <w:gridSpan w:val="3"/>
            <w:vAlign w:val="center"/>
          </w:tcPr>
          <w:p w14:paraId="557B5A5A">
            <w:pPr>
              <w:widowControl/>
              <w:adjustRightInd w:val="0"/>
              <w:snapToGrid w:val="0"/>
              <w:jc w:val="left"/>
              <w:textAlignment w:val="baseline"/>
              <w:rPr>
                <w:b/>
                <w:bCs/>
                <w:color w:val="000000"/>
                <w:kern w:val="0"/>
                <w:szCs w:val="21"/>
              </w:rPr>
            </w:pPr>
            <w:bookmarkStart w:id="5" w:name="OLE_LINK3"/>
            <w:r>
              <w:rPr>
                <w:b/>
                <w:bCs/>
                <w:color w:val="000000"/>
                <w:kern w:val="0"/>
                <w:szCs w:val="21"/>
              </w:rPr>
              <w:t>一、货物类项目验收要求</w:t>
            </w:r>
          </w:p>
        </w:tc>
      </w:tr>
      <w:tr w14:paraId="24822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331B31EC">
            <w:pPr>
              <w:widowControl/>
              <w:adjustRightInd w:val="0"/>
              <w:snapToGrid w:val="0"/>
              <w:jc w:val="center"/>
              <w:textAlignment w:val="baseline"/>
              <w:rPr>
                <w:color w:val="000000"/>
                <w:kern w:val="0"/>
                <w:szCs w:val="21"/>
              </w:rPr>
            </w:pPr>
            <w:r>
              <w:rPr>
                <w:color w:val="000000"/>
                <w:kern w:val="0"/>
                <w:szCs w:val="21"/>
              </w:rPr>
              <w:t>序号</w:t>
            </w:r>
          </w:p>
        </w:tc>
        <w:tc>
          <w:tcPr>
            <w:tcW w:w="3694" w:type="dxa"/>
            <w:vAlign w:val="center"/>
          </w:tcPr>
          <w:p w14:paraId="35570878">
            <w:pPr>
              <w:widowControl/>
              <w:adjustRightInd w:val="0"/>
              <w:snapToGrid w:val="0"/>
              <w:jc w:val="center"/>
              <w:textAlignment w:val="baseline"/>
              <w:rPr>
                <w:color w:val="000000"/>
                <w:kern w:val="0"/>
                <w:szCs w:val="21"/>
              </w:rPr>
            </w:pPr>
            <w:r>
              <w:rPr>
                <w:color w:val="000000"/>
                <w:kern w:val="0"/>
                <w:szCs w:val="21"/>
              </w:rPr>
              <w:t>功能或指标</w:t>
            </w:r>
          </w:p>
        </w:tc>
        <w:tc>
          <w:tcPr>
            <w:tcW w:w="4601" w:type="dxa"/>
            <w:vAlign w:val="center"/>
          </w:tcPr>
          <w:p w14:paraId="66ECC659">
            <w:pPr>
              <w:widowControl/>
              <w:adjustRightInd w:val="0"/>
              <w:snapToGrid w:val="0"/>
              <w:jc w:val="center"/>
              <w:textAlignment w:val="baseline"/>
              <w:rPr>
                <w:color w:val="000000"/>
                <w:kern w:val="0"/>
                <w:szCs w:val="21"/>
              </w:rPr>
            </w:pPr>
            <w:r>
              <w:rPr>
                <w:color w:val="000000"/>
                <w:kern w:val="0"/>
                <w:szCs w:val="21"/>
              </w:rPr>
              <w:t>验收或测试方法</w:t>
            </w:r>
          </w:p>
        </w:tc>
      </w:tr>
      <w:tr w14:paraId="2BC1E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60" w:type="dxa"/>
            <w:gridSpan w:val="3"/>
            <w:vAlign w:val="center"/>
          </w:tcPr>
          <w:p w14:paraId="311C7504">
            <w:pPr>
              <w:widowControl/>
              <w:adjustRightInd w:val="0"/>
              <w:snapToGrid w:val="0"/>
              <w:jc w:val="left"/>
              <w:textAlignment w:val="baseline"/>
              <w:rPr>
                <w:b/>
                <w:color w:val="000000"/>
                <w:kern w:val="0"/>
                <w:szCs w:val="21"/>
              </w:rPr>
            </w:pPr>
            <w:r>
              <w:rPr>
                <w:b/>
                <w:color w:val="000000"/>
                <w:kern w:val="0"/>
                <w:szCs w:val="21"/>
              </w:rPr>
              <w:t>项目建设单位验收要求：</w:t>
            </w:r>
          </w:p>
        </w:tc>
      </w:tr>
      <w:tr w14:paraId="3C9A5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49F6BC3B">
            <w:pPr>
              <w:widowControl/>
              <w:adjustRightInd w:val="0"/>
              <w:snapToGrid w:val="0"/>
              <w:jc w:val="center"/>
              <w:textAlignment w:val="baseline"/>
              <w:rPr>
                <w:color w:val="000000"/>
                <w:kern w:val="0"/>
                <w:szCs w:val="21"/>
              </w:rPr>
            </w:pPr>
            <w:r>
              <w:rPr>
                <w:color w:val="000000"/>
                <w:kern w:val="0"/>
                <w:szCs w:val="21"/>
              </w:rPr>
              <w:t>1</w:t>
            </w:r>
          </w:p>
        </w:tc>
        <w:tc>
          <w:tcPr>
            <w:tcW w:w="3694" w:type="dxa"/>
            <w:vAlign w:val="center"/>
          </w:tcPr>
          <w:p w14:paraId="199FF2A3">
            <w:pPr>
              <w:widowControl/>
              <w:adjustRightInd w:val="0"/>
              <w:snapToGrid w:val="0"/>
              <w:textAlignment w:val="baseline"/>
              <w:rPr>
                <w:color w:val="000000"/>
                <w:kern w:val="0"/>
                <w:szCs w:val="21"/>
              </w:rPr>
            </w:pPr>
            <w:r>
              <w:rPr>
                <w:color w:val="000000"/>
                <w:kern w:val="0"/>
                <w:szCs w:val="21"/>
              </w:rPr>
              <w:t>货物外包装与外观无损伤</w:t>
            </w:r>
          </w:p>
        </w:tc>
        <w:tc>
          <w:tcPr>
            <w:tcW w:w="4601" w:type="dxa"/>
            <w:vAlign w:val="center"/>
          </w:tcPr>
          <w:p w14:paraId="282C0A78">
            <w:pPr>
              <w:widowControl/>
              <w:adjustRightInd w:val="0"/>
              <w:snapToGrid w:val="0"/>
              <w:textAlignment w:val="baseline"/>
              <w:rPr>
                <w:color w:val="000000"/>
                <w:kern w:val="0"/>
                <w:szCs w:val="21"/>
              </w:rPr>
            </w:pPr>
            <w:r>
              <w:rPr>
                <w:color w:val="000000"/>
                <w:kern w:val="0"/>
                <w:szCs w:val="21"/>
              </w:rPr>
              <w:t>现场核查</w:t>
            </w:r>
          </w:p>
        </w:tc>
      </w:tr>
      <w:tr w14:paraId="42170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0889612E">
            <w:pPr>
              <w:widowControl/>
              <w:adjustRightInd w:val="0"/>
              <w:snapToGrid w:val="0"/>
              <w:jc w:val="center"/>
              <w:textAlignment w:val="baseline"/>
              <w:rPr>
                <w:color w:val="000000"/>
                <w:kern w:val="0"/>
                <w:szCs w:val="21"/>
              </w:rPr>
            </w:pPr>
            <w:r>
              <w:rPr>
                <w:color w:val="000000"/>
                <w:kern w:val="0"/>
                <w:szCs w:val="21"/>
              </w:rPr>
              <w:t>2</w:t>
            </w:r>
          </w:p>
        </w:tc>
        <w:tc>
          <w:tcPr>
            <w:tcW w:w="3694" w:type="dxa"/>
            <w:vAlign w:val="center"/>
          </w:tcPr>
          <w:p w14:paraId="1961C874">
            <w:pPr>
              <w:widowControl/>
              <w:adjustRightInd w:val="0"/>
              <w:snapToGrid w:val="0"/>
              <w:textAlignment w:val="baseline"/>
              <w:rPr>
                <w:color w:val="000000"/>
                <w:kern w:val="0"/>
                <w:szCs w:val="21"/>
              </w:rPr>
            </w:pPr>
            <w:r>
              <w:rPr>
                <w:color w:val="000000"/>
                <w:kern w:val="0"/>
                <w:szCs w:val="21"/>
              </w:rPr>
              <w:t>货物配置、包括备品备件、耗品耗材等提供齐全，货物实物品牌、规格、型号、配置数量与采购结果、合同约定相符。</w:t>
            </w:r>
          </w:p>
        </w:tc>
        <w:tc>
          <w:tcPr>
            <w:tcW w:w="4601" w:type="dxa"/>
            <w:vAlign w:val="center"/>
          </w:tcPr>
          <w:p w14:paraId="5753BA18">
            <w:pPr>
              <w:widowControl/>
              <w:adjustRightInd w:val="0"/>
              <w:snapToGrid w:val="0"/>
              <w:textAlignment w:val="baseline"/>
              <w:rPr>
                <w:color w:val="000000"/>
                <w:kern w:val="0"/>
                <w:szCs w:val="21"/>
              </w:rPr>
            </w:pPr>
            <w:r>
              <w:rPr>
                <w:color w:val="000000"/>
                <w:kern w:val="0"/>
                <w:szCs w:val="21"/>
              </w:rPr>
              <w:t>依据《合同》及其附件（包括但不限于《采购需求》《供应商投标（响应）文件》《投标澄清函》《技术协议》等）约定，现场核查。</w:t>
            </w:r>
          </w:p>
        </w:tc>
      </w:tr>
      <w:tr w14:paraId="69C03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0986A312">
            <w:pPr>
              <w:widowControl/>
              <w:adjustRightInd w:val="0"/>
              <w:snapToGrid w:val="0"/>
              <w:jc w:val="center"/>
              <w:textAlignment w:val="baseline"/>
              <w:rPr>
                <w:color w:val="000000"/>
                <w:kern w:val="0"/>
                <w:szCs w:val="21"/>
              </w:rPr>
            </w:pPr>
            <w:r>
              <w:rPr>
                <w:color w:val="000000"/>
                <w:kern w:val="0"/>
                <w:szCs w:val="21"/>
              </w:rPr>
              <w:t>3</w:t>
            </w:r>
          </w:p>
        </w:tc>
        <w:tc>
          <w:tcPr>
            <w:tcW w:w="3694" w:type="dxa"/>
            <w:vAlign w:val="center"/>
          </w:tcPr>
          <w:p w14:paraId="0D2AA629">
            <w:pPr>
              <w:widowControl/>
              <w:adjustRightInd w:val="0"/>
              <w:snapToGrid w:val="0"/>
              <w:textAlignment w:val="baseline"/>
              <w:rPr>
                <w:color w:val="000000" w:themeColor="text1"/>
                <w:kern w:val="0"/>
                <w:szCs w:val="21"/>
                <w14:textFill>
                  <w14:solidFill>
                    <w14:schemeClr w14:val="tx1"/>
                  </w14:solidFill>
                </w14:textFill>
              </w:rPr>
            </w:pPr>
            <w:r>
              <w:rPr>
                <w:color w:val="000000"/>
                <w:kern w:val="0"/>
                <w:szCs w:val="21"/>
              </w:rPr>
              <w:t>所有功能和指标参数（包括边界极限值）达到采购结果合同约定要求。</w:t>
            </w:r>
          </w:p>
        </w:tc>
        <w:tc>
          <w:tcPr>
            <w:tcW w:w="4601" w:type="dxa"/>
            <w:vAlign w:val="center"/>
          </w:tcPr>
          <w:p w14:paraId="38352459">
            <w:pPr>
              <w:adjustRightInd w:val="0"/>
              <w:snapToGrid w:val="0"/>
              <w:rPr>
                <w:kern w:val="0"/>
                <w:szCs w:val="21"/>
              </w:rPr>
            </w:pPr>
            <w:r>
              <w:rPr>
                <w:color w:val="000000"/>
                <w:kern w:val="0"/>
                <w:szCs w:val="21"/>
              </w:rPr>
              <w:t>依据《合同》及其附件（包括但不限于《采购需求》《供应商投标（响应）文件》《投标澄清函》《技术协议》等）约定，通过现场核查、现场测试、供应商应提供《供应商货物类项目完工报告》《产品出厂检测报告》《产品合格证书》《第三方检测报告》（如有）等一种或多种方式进行验收。</w:t>
            </w:r>
          </w:p>
        </w:tc>
      </w:tr>
      <w:tr w14:paraId="7F873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0F57A56B">
            <w:pPr>
              <w:widowControl/>
              <w:adjustRightInd w:val="0"/>
              <w:snapToGrid w:val="0"/>
              <w:jc w:val="center"/>
              <w:textAlignment w:val="baseline"/>
              <w:rPr>
                <w:color w:val="000000"/>
                <w:kern w:val="0"/>
                <w:szCs w:val="21"/>
              </w:rPr>
            </w:pPr>
            <w:r>
              <w:rPr>
                <w:color w:val="000000"/>
                <w:kern w:val="0"/>
                <w:szCs w:val="21"/>
              </w:rPr>
              <w:t>4</w:t>
            </w:r>
          </w:p>
        </w:tc>
        <w:tc>
          <w:tcPr>
            <w:tcW w:w="3694" w:type="dxa"/>
            <w:vAlign w:val="center"/>
          </w:tcPr>
          <w:p w14:paraId="3071BDFB">
            <w:pPr>
              <w:widowControl/>
              <w:adjustRightInd w:val="0"/>
              <w:snapToGrid w:val="0"/>
              <w:textAlignment w:val="baseline"/>
              <w:rPr>
                <w:color w:val="000000"/>
                <w:kern w:val="0"/>
                <w:szCs w:val="21"/>
              </w:rPr>
            </w:pPr>
            <w:r>
              <w:rPr>
                <w:color w:val="000000"/>
                <w:kern w:val="0"/>
                <w:szCs w:val="21"/>
              </w:rPr>
              <w:t>培训等合同服务要求完成情况。</w:t>
            </w:r>
          </w:p>
        </w:tc>
        <w:tc>
          <w:tcPr>
            <w:tcW w:w="4601" w:type="dxa"/>
            <w:vAlign w:val="center"/>
          </w:tcPr>
          <w:p w14:paraId="1692244C">
            <w:pPr>
              <w:widowControl/>
              <w:adjustRightInd w:val="0"/>
              <w:snapToGrid w:val="0"/>
              <w:textAlignment w:val="baseline"/>
              <w:rPr>
                <w:color w:val="000000"/>
                <w:kern w:val="0"/>
                <w:szCs w:val="21"/>
              </w:rPr>
            </w:pPr>
            <w:r>
              <w:rPr>
                <w:color w:val="000000"/>
                <w:kern w:val="0"/>
                <w:szCs w:val="21"/>
              </w:rPr>
              <w:t>现场核查。供应商须根据合同约定提供《培训视频》影像资料等。</w:t>
            </w:r>
          </w:p>
        </w:tc>
      </w:tr>
      <w:tr w14:paraId="578DC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005BB35B">
            <w:pPr>
              <w:widowControl/>
              <w:adjustRightInd w:val="0"/>
              <w:snapToGrid w:val="0"/>
              <w:jc w:val="center"/>
              <w:textAlignment w:val="baseline"/>
              <w:rPr>
                <w:color w:val="000000"/>
                <w:kern w:val="0"/>
                <w:szCs w:val="21"/>
              </w:rPr>
            </w:pPr>
            <w:r>
              <w:rPr>
                <w:color w:val="000000"/>
                <w:kern w:val="0"/>
                <w:szCs w:val="21"/>
              </w:rPr>
              <w:t>5</w:t>
            </w:r>
          </w:p>
        </w:tc>
        <w:tc>
          <w:tcPr>
            <w:tcW w:w="3694" w:type="dxa"/>
            <w:vAlign w:val="center"/>
          </w:tcPr>
          <w:p w14:paraId="58FC676C">
            <w:pPr>
              <w:widowControl/>
              <w:adjustRightInd w:val="0"/>
              <w:snapToGrid w:val="0"/>
              <w:textAlignment w:val="baseline"/>
              <w:rPr>
                <w:color w:val="000000" w:themeColor="text1"/>
                <w:kern w:val="0"/>
                <w:szCs w:val="21"/>
                <w14:textFill>
                  <w14:solidFill>
                    <w14:schemeClr w14:val="tx1"/>
                  </w14:solidFill>
                </w14:textFill>
              </w:rPr>
            </w:pPr>
            <w:r>
              <w:rPr>
                <w:color w:val="000000"/>
                <w:kern w:val="0"/>
                <w:szCs w:val="21"/>
              </w:rPr>
              <w:t>验证测试设备的运行稳定性</w:t>
            </w:r>
          </w:p>
        </w:tc>
        <w:tc>
          <w:tcPr>
            <w:tcW w:w="4601" w:type="dxa"/>
            <w:vAlign w:val="center"/>
          </w:tcPr>
          <w:p w14:paraId="6618915F">
            <w:pPr>
              <w:widowControl/>
              <w:adjustRightInd w:val="0"/>
              <w:snapToGrid w:val="0"/>
              <w:textAlignment w:val="baseline"/>
              <w:rPr>
                <w:color w:val="000000"/>
                <w:kern w:val="0"/>
                <w:szCs w:val="21"/>
              </w:rPr>
            </w:pPr>
            <w:r>
              <w:rPr>
                <w:color w:val="000000"/>
                <w:kern w:val="0"/>
                <w:szCs w:val="21"/>
              </w:rPr>
              <w:t>试运行验证测试设备运行稳定达标</w:t>
            </w:r>
          </w:p>
        </w:tc>
      </w:tr>
      <w:tr w14:paraId="52111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759A5935">
            <w:pPr>
              <w:widowControl/>
              <w:adjustRightInd w:val="0"/>
              <w:snapToGrid w:val="0"/>
              <w:jc w:val="center"/>
              <w:textAlignment w:val="baseline"/>
              <w:rPr>
                <w:color w:val="000000"/>
                <w:kern w:val="0"/>
                <w:szCs w:val="21"/>
              </w:rPr>
            </w:pPr>
            <w:r>
              <w:rPr>
                <w:color w:val="000000"/>
                <w:kern w:val="0"/>
                <w:szCs w:val="21"/>
              </w:rPr>
              <w:t>6</w:t>
            </w:r>
          </w:p>
        </w:tc>
        <w:tc>
          <w:tcPr>
            <w:tcW w:w="8295" w:type="dxa"/>
            <w:gridSpan w:val="2"/>
            <w:vAlign w:val="center"/>
          </w:tcPr>
          <w:p w14:paraId="3D5D4243">
            <w:pPr>
              <w:widowControl/>
              <w:adjustRightInd w:val="0"/>
              <w:snapToGrid w:val="0"/>
              <w:textAlignment w:val="baseline"/>
              <w:rPr>
                <w:color w:val="000000"/>
                <w:kern w:val="0"/>
                <w:szCs w:val="21"/>
              </w:rPr>
            </w:pPr>
            <w:r>
              <w:rPr>
                <w:color w:val="000000"/>
                <w:kern w:val="0"/>
                <w:szCs w:val="21"/>
              </w:rPr>
              <w:t>提示：</w:t>
            </w:r>
          </w:p>
          <w:p w14:paraId="3DC3CF7E">
            <w:pPr>
              <w:widowControl/>
              <w:adjustRightInd w:val="0"/>
              <w:snapToGrid w:val="0"/>
              <w:textAlignment w:val="baseline"/>
              <w:rPr>
                <w:color w:val="000000"/>
                <w:kern w:val="0"/>
                <w:szCs w:val="21"/>
              </w:rPr>
            </w:pPr>
            <w:r>
              <w:rPr>
                <w:color w:val="000000"/>
                <w:kern w:val="0"/>
                <w:szCs w:val="21"/>
              </w:rPr>
              <w:t>1.经费负责人应当按照采购合同及其附件规定的每一项技术、服务、安全标准组织对供应商履约情况进行验收。</w:t>
            </w:r>
          </w:p>
          <w:p w14:paraId="1BFBF5BC">
            <w:pPr>
              <w:widowControl/>
              <w:adjustRightInd w:val="0"/>
              <w:snapToGrid w:val="0"/>
              <w:textAlignment w:val="baseline"/>
              <w:rPr>
                <w:color w:val="000000"/>
                <w:kern w:val="0"/>
                <w:szCs w:val="21"/>
              </w:rPr>
            </w:pPr>
            <w:r>
              <w:rPr>
                <w:color w:val="000000"/>
                <w:kern w:val="0"/>
                <w:szCs w:val="21"/>
              </w:rPr>
              <w:t>2.《供应商货物类项目完工报告》《项目建设单位货物类项目完工自验收报告》《第三方检测报告》（如有）等与验收相关的材料由经费负责人妥善保管存档。</w:t>
            </w:r>
          </w:p>
          <w:p w14:paraId="2C0EE26C">
            <w:pPr>
              <w:widowControl/>
              <w:adjustRightInd w:val="0"/>
              <w:snapToGrid w:val="0"/>
              <w:textAlignment w:val="baseline"/>
              <w:rPr>
                <w:color w:val="000000"/>
                <w:kern w:val="0"/>
                <w:szCs w:val="21"/>
              </w:rPr>
            </w:pPr>
            <w:r>
              <w:rPr>
                <w:color w:val="000000"/>
                <w:kern w:val="0"/>
                <w:szCs w:val="21"/>
              </w:rPr>
              <w:t>3.</w:t>
            </w:r>
            <w:bookmarkStart w:id="6" w:name="OLE_LINK4"/>
            <w:r>
              <w:rPr>
                <w:color w:val="000000"/>
                <w:kern w:val="0"/>
                <w:szCs w:val="21"/>
              </w:rPr>
              <w:t>《技术协议》</w:t>
            </w:r>
            <w:bookmarkEnd w:id="6"/>
            <w:r>
              <w:rPr>
                <w:color w:val="000000"/>
                <w:kern w:val="0"/>
                <w:szCs w:val="21"/>
              </w:rPr>
              <w:t xml:space="preserve">作为合同有效组成部分，由经费负责人和供应商应在招标完成后第一时间根据采购招标结果（即《采购需求》、《供应商投标（响应）文件》和《投标澄清函》等文件）签订，其内容应与采购招标结果保持一致。《技术协议》中一般包含配置、数量、价格、功能指标参数、服务承诺等内容。 </w:t>
            </w:r>
          </w:p>
        </w:tc>
      </w:tr>
      <w:tr w14:paraId="25D33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60" w:type="dxa"/>
            <w:gridSpan w:val="3"/>
            <w:vAlign w:val="center"/>
          </w:tcPr>
          <w:p w14:paraId="753C4FED">
            <w:pPr>
              <w:widowControl/>
              <w:adjustRightInd w:val="0"/>
              <w:snapToGrid w:val="0"/>
              <w:textAlignment w:val="baseline"/>
              <w:rPr>
                <w:color w:val="000000"/>
                <w:kern w:val="0"/>
                <w:szCs w:val="21"/>
              </w:rPr>
            </w:pPr>
            <w:r>
              <w:rPr>
                <w:b/>
                <w:color w:val="000000"/>
                <w:kern w:val="0"/>
                <w:szCs w:val="21"/>
              </w:rPr>
              <w:t>学校验收复核要求：</w:t>
            </w:r>
            <w:r>
              <w:rPr>
                <w:color w:val="000000"/>
                <w:kern w:val="0"/>
                <w:szCs w:val="21"/>
              </w:rPr>
              <w:t>经费负责人自验收通过后，将《学校采购货物类项目验收复核申请表》《学校采购项目验收报告》《供应商履约情况评价表》《供应商货物类项目完工报告》《项目建设单位货物类项目完工自验收报告》等相关资料，递交学校国资处，由国资处组织专家现场验收复核。</w:t>
            </w:r>
          </w:p>
        </w:tc>
      </w:tr>
      <w:tr w14:paraId="0F1B3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59" w:type="dxa"/>
            <w:gridSpan w:val="2"/>
            <w:vAlign w:val="center"/>
          </w:tcPr>
          <w:p w14:paraId="327BFC9D">
            <w:pPr>
              <w:widowControl/>
              <w:adjustRightInd w:val="0"/>
              <w:snapToGrid w:val="0"/>
              <w:textAlignment w:val="baseline"/>
              <w:rPr>
                <w:color w:val="000000"/>
                <w:kern w:val="0"/>
                <w:szCs w:val="21"/>
              </w:rPr>
            </w:pPr>
            <w:r>
              <w:rPr>
                <w:color w:val="000000"/>
                <w:kern w:val="0"/>
                <w:szCs w:val="21"/>
              </w:rPr>
              <w:t>验收时是否需要供应商提供样品</w:t>
            </w:r>
          </w:p>
        </w:tc>
        <w:tc>
          <w:tcPr>
            <w:tcW w:w="4601" w:type="dxa"/>
            <w:vAlign w:val="center"/>
          </w:tcPr>
          <w:p w14:paraId="5996F3FE">
            <w:pPr>
              <w:widowControl/>
              <w:adjustRightInd w:val="0"/>
              <w:snapToGrid w:val="0"/>
              <w:textAlignment w:val="baseline"/>
              <w:rPr>
                <w:color w:val="000000"/>
                <w:kern w:val="0"/>
                <w:szCs w:val="21"/>
              </w:rPr>
            </w:pPr>
            <w:r>
              <w:rPr>
                <w:color w:val="000000"/>
                <w:kern w:val="0"/>
                <w:szCs w:val="21"/>
              </w:rPr>
              <w:t xml:space="preserve">□是 </w:t>
            </w:r>
            <w:r>
              <w:rPr>
                <w:rFonts w:eastAsia="楷体"/>
                <w:sz w:val="22"/>
                <w:szCs w:val="22"/>
              </w:rPr>
              <w:sym w:font="Wingdings 2" w:char="F052"/>
            </w:r>
            <w:r>
              <w:rPr>
                <w:color w:val="000000"/>
                <w:kern w:val="0"/>
                <w:szCs w:val="21"/>
              </w:rPr>
              <w:t>否</w:t>
            </w:r>
          </w:p>
        </w:tc>
      </w:tr>
      <w:tr w14:paraId="7F89B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59" w:type="dxa"/>
            <w:gridSpan w:val="2"/>
            <w:vAlign w:val="center"/>
          </w:tcPr>
          <w:p w14:paraId="2177345D">
            <w:pPr>
              <w:widowControl/>
              <w:adjustRightInd w:val="0"/>
              <w:snapToGrid w:val="0"/>
              <w:textAlignment w:val="baseline"/>
              <w:rPr>
                <w:color w:val="000000"/>
                <w:kern w:val="0"/>
                <w:szCs w:val="21"/>
              </w:rPr>
            </w:pPr>
            <w:r>
              <w:rPr>
                <w:color w:val="000000"/>
                <w:kern w:val="0"/>
                <w:szCs w:val="21"/>
              </w:rPr>
              <w:t>验收时是否需供应商提供必要的其他设备</w:t>
            </w:r>
          </w:p>
        </w:tc>
        <w:tc>
          <w:tcPr>
            <w:tcW w:w="4601" w:type="dxa"/>
            <w:vAlign w:val="center"/>
          </w:tcPr>
          <w:p w14:paraId="75209F3C">
            <w:pPr>
              <w:widowControl/>
              <w:adjustRightInd w:val="0"/>
              <w:snapToGrid w:val="0"/>
              <w:textAlignment w:val="baseline"/>
              <w:rPr>
                <w:color w:val="000000"/>
                <w:kern w:val="0"/>
                <w:szCs w:val="21"/>
              </w:rPr>
            </w:pPr>
            <w:r>
              <w:rPr>
                <w:color w:val="000000"/>
                <w:kern w:val="0"/>
                <w:szCs w:val="21"/>
              </w:rPr>
              <w:t xml:space="preserve">□是 </w:t>
            </w:r>
            <w:r>
              <w:rPr>
                <w:rFonts w:eastAsia="楷体"/>
                <w:sz w:val="22"/>
                <w:szCs w:val="22"/>
              </w:rPr>
              <w:sym w:font="Wingdings 2" w:char="F052"/>
            </w:r>
            <w:r>
              <w:rPr>
                <w:color w:val="000000"/>
                <w:kern w:val="0"/>
                <w:szCs w:val="21"/>
              </w:rPr>
              <w:t>否</w:t>
            </w:r>
          </w:p>
        </w:tc>
      </w:tr>
      <w:tr w14:paraId="491F3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60" w:type="dxa"/>
            <w:gridSpan w:val="3"/>
            <w:vAlign w:val="center"/>
          </w:tcPr>
          <w:p w14:paraId="623C94A4">
            <w:pPr>
              <w:widowControl/>
              <w:adjustRightInd w:val="0"/>
              <w:snapToGrid w:val="0"/>
              <w:textAlignment w:val="baseline"/>
              <w:rPr>
                <w:color w:val="000000"/>
                <w:kern w:val="0"/>
                <w:szCs w:val="21"/>
              </w:rPr>
            </w:pPr>
            <w:r>
              <w:rPr>
                <w:color w:val="000000"/>
                <w:kern w:val="0"/>
                <w:szCs w:val="21"/>
              </w:rPr>
              <w:t>二、</w:t>
            </w:r>
            <w:r>
              <w:rPr>
                <w:b/>
                <w:bCs/>
                <w:color w:val="000000"/>
                <w:kern w:val="0"/>
                <w:szCs w:val="21"/>
              </w:rPr>
              <w:t>服务类项目验收要求</w:t>
            </w:r>
          </w:p>
        </w:tc>
      </w:tr>
      <w:tr w14:paraId="170B0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60" w:type="dxa"/>
            <w:gridSpan w:val="3"/>
            <w:vAlign w:val="center"/>
          </w:tcPr>
          <w:p w14:paraId="4DCB9B21">
            <w:pPr>
              <w:widowControl/>
              <w:adjustRightInd w:val="0"/>
              <w:snapToGrid w:val="0"/>
              <w:textAlignment w:val="baseline"/>
              <w:rPr>
                <w:color w:val="000000"/>
                <w:kern w:val="0"/>
                <w:szCs w:val="21"/>
              </w:rPr>
            </w:pPr>
            <w:r>
              <w:rPr>
                <w:b/>
                <w:color w:val="000000"/>
                <w:kern w:val="0"/>
                <w:szCs w:val="21"/>
              </w:rPr>
              <w:t>项目建设单位验收要求：</w:t>
            </w:r>
            <w:bookmarkStart w:id="7" w:name="OLE_LINK35"/>
            <w:r>
              <w:rPr>
                <w:szCs w:val="21"/>
              </w:rPr>
              <w:t>根据项目特点对服务期内的服务履约实施情况进行考核，结合考核情况和服务效果进行验收。验收报告须经国资处备案。</w:t>
            </w:r>
            <w:bookmarkEnd w:id="7"/>
          </w:p>
        </w:tc>
      </w:tr>
      <w:tr w14:paraId="46DE7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60" w:type="dxa"/>
            <w:gridSpan w:val="3"/>
            <w:vAlign w:val="center"/>
          </w:tcPr>
          <w:p w14:paraId="1E33DE28">
            <w:pPr>
              <w:widowControl/>
              <w:adjustRightInd w:val="0"/>
              <w:snapToGrid w:val="0"/>
              <w:textAlignment w:val="baseline"/>
              <w:rPr>
                <w:color w:val="000000"/>
                <w:kern w:val="0"/>
                <w:szCs w:val="21"/>
              </w:rPr>
            </w:pPr>
            <w:r>
              <w:rPr>
                <w:b/>
                <w:color w:val="000000"/>
                <w:kern w:val="0"/>
                <w:szCs w:val="21"/>
              </w:rPr>
              <w:t>学校验收备案要求：</w:t>
            </w:r>
            <w:r>
              <w:rPr>
                <w:bCs/>
                <w:color w:val="000000"/>
                <w:kern w:val="0"/>
                <w:szCs w:val="21"/>
              </w:rPr>
              <w:t>项目单位提供《学校采购服务类项目验收报告》《服务类供应商履约情况评价表》</w:t>
            </w:r>
            <w:r>
              <w:rPr>
                <w:szCs w:val="21"/>
              </w:rPr>
              <w:t>。国资处可根据项目情况采用抽查等方式进行复核。</w:t>
            </w:r>
          </w:p>
        </w:tc>
      </w:tr>
      <w:tr w14:paraId="4064D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60" w:type="dxa"/>
            <w:gridSpan w:val="3"/>
            <w:vAlign w:val="center"/>
          </w:tcPr>
          <w:p w14:paraId="5F9A6014">
            <w:pPr>
              <w:widowControl/>
              <w:adjustRightInd w:val="0"/>
              <w:snapToGrid w:val="0"/>
              <w:jc w:val="left"/>
              <w:textAlignment w:val="baseline"/>
              <w:rPr>
                <w:color w:val="000000"/>
                <w:kern w:val="0"/>
                <w:szCs w:val="21"/>
              </w:rPr>
            </w:pPr>
            <w:r>
              <w:rPr>
                <w:b/>
                <w:bCs/>
                <w:color w:val="000000"/>
                <w:kern w:val="0"/>
                <w:szCs w:val="21"/>
              </w:rPr>
              <w:t>三、除现场验收外，需提供的其他验收要求</w:t>
            </w:r>
          </w:p>
        </w:tc>
      </w:tr>
      <w:tr w14:paraId="37B7C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59" w:type="dxa"/>
            <w:gridSpan w:val="2"/>
            <w:vAlign w:val="center"/>
          </w:tcPr>
          <w:p w14:paraId="782018CC">
            <w:pPr>
              <w:widowControl/>
              <w:adjustRightInd w:val="0"/>
              <w:snapToGrid w:val="0"/>
              <w:textAlignment w:val="baseline"/>
              <w:rPr>
                <w:color w:val="000000"/>
                <w:kern w:val="0"/>
                <w:szCs w:val="21"/>
              </w:rPr>
            </w:pPr>
            <w:r>
              <w:rPr>
                <w:color w:val="000000"/>
                <w:kern w:val="0"/>
                <w:szCs w:val="21"/>
              </w:rPr>
              <w:t>验收时是否需提供第三方检测报告</w:t>
            </w:r>
          </w:p>
        </w:tc>
        <w:tc>
          <w:tcPr>
            <w:tcW w:w="4601" w:type="dxa"/>
            <w:vAlign w:val="center"/>
          </w:tcPr>
          <w:p w14:paraId="02644D50">
            <w:pPr>
              <w:widowControl/>
              <w:adjustRightInd w:val="0"/>
              <w:snapToGrid w:val="0"/>
              <w:textAlignment w:val="baseline"/>
              <w:rPr>
                <w:color w:val="000000"/>
                <w:kern w:val="0"/>
                <w:szCs w:val="21"/>
              </w:rPr>
            </w:pPr>
          </w:p>
          <w:p w14:paraId="5CF6ABA3">
            <w:pPr>
              <w:widowControl/>
              <w:adjustRightInd w:val="0"/>
              <w:snapToGrid w:val="0"/>
              <w:textAlignment w:val="baseline"/>
              <w:rPr>
                <w:color w:val="000000"/>
                <w:kern w:val="0"/>
                <w:szCs w:val="21"/>
              </w:rPr>
            </w:pPr>
            <w:r>
              <w:rPr>
                <w:color w:val="000000"/>
                <w:kern w:val="0"/>
                <w:szCs w:val="21"/>
              </w:rPr>
              <w:t xml:space="preserve">□是 </w:t>
            </w:r>
            <w:r>
              <w:rPr>
                <w:rFonts w:eastAsia="楷体"/>
                <w:sz w:val="22"/>
                <w:szCs w:val="22"/>
              </w:rPr>
              <w:sym w:font="Wingdings 2" w:char="F052"/>
            </w:r>
            <w:r>
              <w:rPr>
                <w:color w:val="000000"/>
                <w:kern w:val="0"/>
                <w:szCs w:val="21"/>
              </w:rPr>
              <w:t>否</w:t>
            </w:r>
          </w:p>
          <w:p w14:paraId="7E23612F">
            <w:pPr>
              <w:widowControl/>
              <w:adjustRightInd w:val="0"/>
              <w:snapToGrid w:val="0"/>
              <w:textAlignment w:val="baseline"/>
              <w:rPr>
                <w:color w:val="000000"/>
                <w:kern w:val="0"/>
                <w:szCs w:val="21"/>
              </w:rPr>
            </w:pPr>
          </w:p>
          <w:p w14:paraId="2E54382B">
            <w:pPr>
              <w:widowControl/>
              <w:adjustRightInd w:val="0"/>
              <w:snapToGrid w:val="0"/>
              <w:textAlignment w:val="baseline"/>
              <w:rPr>
                <w:color w:val="000000"/>
                <w:kern w:val="0"/>
                <w:szCs w:val="21"/>
              </w:rPr>
            </w:pPr>
            <w:r>
              <w:rPr>
                <w:color w:val="000000"/>
                <w:kern w:val="0"/>
                <w:szCs w:val="21"/>
              </w:rPr>
              <w:t>如需提供第三方检测报告，需满足下列要求：</w:t>
            </w:r>
          </w:p>
          <w:p w14:paraId="6FFB9944">
            <w:pPr>
              <w:widowControl/>
              <w:adjustRightInd w:val="0"/>
              <w:snapToGrid w:val="0"/>
              <w:textAlignment w:val="baseline"/>
              <w:rPr>
                <w:color w:val="000000"/>
                <w:kern w:val="0"/>
                <w:szCs w:val="21"/>
              </w:rPr>
            </w:pPr>
            <w:r>
              <w:rPr>
                <w:color w:val="000000"/>
                <w:kern w:val="0"/>
                <w:szCs w:val="21"/>
              </w:rPr>
              <w:t>对于检测机构的要求：国家正规检测机构，出具的检测报告由验收复核专家认可之后作为验收复核通过的主要依据。</w:t>
            </w:r>
          </w:p>
          <w:p w14:paraId="2233C921">
            <w:pPr>
              <w:widowControl/>
              <w:adjustRightInd w:val="0"/>
              <w:snapToGrid w:val="0"/>
              <w:textAlignment w:val="baseline"/>
              <w:rPr>
                <w:color w:val="000000"/>
                <w:kern w:val="0"/>
                <w:szCs w:val="21"/>
              </w:rPr>
            </w:pPr>
            <w:r>
              <w:rPr>
                <w:color w:val="000000"/>
                <w:kern w:val="0"/>
                <w:szCs w:val="21"/>
              </w:rPr>
              <w:t>对于检测执行标准的要求：各项检测项目标准以检测机构按照行业相关要求最新适用并执行的标准为准。</w:t>
            </w:r>
          </w:p>
        </w:tc>
      </w:tr>
      <w:bookmarkEnd w:id="5"/>
    </w:tbl>
    <w:p w14:paraId="1F88C112">
      <w:pPr>
        <w:adjustRightInd w:val="0"/>
        <w:snapToGrid w:val="0"/>
        <w:spacing w:line="360" w:lineRule="auto"/>
        <w:ind w:firstLine="440" w:firstLineChars="200"/>
        <w:rPr>
          <w:rFonts w:eastAsia="楷体"/>
          <w:color w:val="FF0000"/>
          <w:sz w:val="22"/>
          <w:szCs w:val="22"/>
        </w:rPr>
      </w:pPr>
    </w:p>
    <w:p w14:paraId="5C63A5A1">
      <w:pPr>
        <w:adjustRightInd w:val="0"/>
        <w:snapToGrid w:val="0"/>
        <w:spacing w:line="360" w:lineRule="auto"/>
        <w:ind w:firstLine="440" w:firstLineChars="200"/>
        <w:rPr>
          <w:rFonts w:eastAsia="楷体"/>
          <w:color w:val="FF0000"/>
          <w:sz w:val="22"/>
          <w:szCs w:val="22"/>
        </w:rPr>
      </w:pPr>
    </w:p>
    <w:p w14:paraId="75D60660">
      <w:pPr>
        <w:adjustRightInd w:val="0"/>
        <w:snapToGrid w:val="0"/>
        <w:spacing w:line="360" w:lineRule="auto"/>
        <w:ind w:firstLine="420" w:firstLineChars="200"/>
      </w:pPr>
    </w:p>
    <w:p w14:paraId="793C7502">
      <w:pPr>
        <w:tabs>
          <w:tab w:val="left" w:pos="900"/>
        </w:tabs>
        <w:adjustRightInd w:val="0"/>
        <w:snapToGrid w:val="0"/>
        <w:spacing w:line="360" w:lineRule="auto"/>
        <w:ind w:firstLine="420" w:firstLineChars="200"/>
      </w:pPr>
    </w:p>
    <w:sectPr>
      <w:footerReference r:id="rId3" w:type="default"/>
      <w:pgSz w:w="11906" w:h="16838"/>
      <w:pgMar w:top="1871" w:right="1418" w:bottom="1588" w:left="1418"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方正小标宋简体">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ADA28B">
    <w:pPr>
      <w:pStyle w:val="5"/>
      <w:jc w:val="center"/>
    </w:pPr>
    <w:r>
      <w:fldChar w:fldCharType="begin"/>
    </w:r>
    <w:r>
      <w:instrText xml:space="preserve">PAGE   \* MERGEFORMAT</w:instrText>
    </w:r>
    <w:r>
      <w:fldChar w:fldCharType="separate"/>
    </w:r>
    <w:r>
      <w:rPr>
        <w:lang w:val="zh-CN"/>
      </w:rPr>
      <w:t>5</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1FC"/>
    <w:rsid w:val="00000ADB"/>
    <w:rsid w:val="000045B7"/>
    <w:rsid w:val="0000609F"/>
    <w:rsid w:val="00012B28"/>
    <w:rsid w:val="000170BA"/>
    <w:rsid w:val="00017928"/>
    <w:rsid w:val="00017C9A"/>
    <w:rsid w:val="000345B6"/>
    <w:rsid w:val="00037EB6"/>
    <w:rsid w:val="0004707F"/>
    <w:rsid w:val="000578DF"/>
    <w:rsid w:val="00060610"/>
    <w:rsid w:val="00063B9E"/>
    <w:rsid w:val="000816A4"/>
    <w:rsid w:val="00090056"/>
    <w:rsid w:val="00092B2E"/>
    <w:rsid w:val="00094C16"/>
    <w:rsid w:val="000A209A"/>
    <w:rsid w:val="000A21C5"/>
    <w:rsid w:val="000A57A8"/>
    <w:rsid w:val="000B5F74"/>
    <w:rsid w:val="000C588B"/>
    <w:rsid w:val="000C5FD7"/>
    <w:rsid w:val="000D1438"/>
    <w:rsid w:val="000E50F5"/>
    <w:rsid w:val="000F1FA8"/>
    <w:rsid w:val="000F2A29"/>
    <w:rsid w:val="00102045"/>
    <w:rsid w:val="00105428"/>
    <w:rsid w:val="001118D9"/>
    <w:rsid w:val="0011348A"/>
    <w:rsid w:val="00121267"/>
    <w:rsid w:val="001218F7"/>
    <w:rsid w:val="00121B7F"/>
    <w:rsid w:val="001262EF"/>
    <w:rsid w:val="0012727F"/>
    <w:rsid w:val="0013226A"/>
    <w:rsid w:val="00134751"/>
    <w:rsid w:val="00140AF0"/>
    <w:rsid w:val="00140C41"/>
    <w:rsid w:val="00141299"/>
    <w:rsid w:val="0014178C"/>
    <w:rsid w:val="001507CE"/>
    <w:rsid w:val="00150952"/>
    <w:rsid w:val="00150BB2"/>
    <w:rsid w:val="0015496B"/>
    <w:rsid w:val="00157667"/>
    <w:rsid w:val="001609FC"/>
    <w:rsid w:val="00162A76"/>
    <w:rsid w:val="00163196"/>
    <w:rsid w:val="00176534"/>
    <w:rsid w:val="00177BD4"/>
    <w:rsid w:val="0018461B"/>
    <w:rsid w:val="00192B6A"/>
    <w:rsid w:val="001B03C0"/>
    <w:rsid w:val="001B0A84"/>
    <w:rsid w:val="001B1B91"/>
    <w:rsid w:val="001B38ED"/>
    <w:rsid w:val="001B712C"/>
    <w:rsid w:val="001C0880"/>
    <w:rsid w:val="001C19BA"/>
    <w:rsid w:val="001C3356"/>
    <w:rsid w:val="001C3893"/>
    <w:rsid w:val="001C3D78"/>
    <w:rsid w:val="001C41C3"/>
    <w:rsid w:val="001C5915"/>
    <w:rsid w:val="001C7C84"/>
    <w:rsid w:val="001E0980"/>
    <w:rsid w:val="001E1FDF"/>
    <w:rsid w:val="001E5B8B"/>
    <w:rsid w:val="001E61E5"/>
    <w:rsid w:val="001F2F73"/>
    <w:rsid w:val="0021026B"/>
    <w:rsid w:val="00214F3E"/>
    <w:rsid w:val="002204EA"/>
    <w:rsid w:val="002262A0"/>
    <w:rsid w:val="00230B96"/>
    <w:rsid w:val="00233C66"/>
    <w:rsid w:val="00237253"/>
    <w:rsid w:val="002440C5"/>
    <w:rsid w:val="00244594"/>
    <w:rsid w:val="00244A77"/>
    <w:rsid w:val="00245208"/>
    <w:rsid w:val="002501FD"/>
    <w:rsid w:val="002529C7"/>
    <w:rsid w:val="00255503"/>
    <w:rsid w:val="00255550"/>
    <w:rsid w:val="002569F5"/>
    <w:rsid w:val="00264031"/>
    <w:rsid w:val="0027521E"/>
    <w:rsid w:val="00277679"/>
    <w:rsid w:val="00280353"/>
    <w:rsid w:val="002815C8"/>
    <w:rsid w:val="002878EA"/>
    <w:rsid w:val="00290359"/>
    <w:rsid w:val="00293B6E"/>
    <w:rsid w:val="00297819"/>
    <w:rsid w:val="002A4902"/>
    <w:rsid w:val="002A6571"/>
    <w:rsid w:val="002B287A"/>
    <w:rsid w:val="002B3A1B"/>
    <w:rsid w:val="002C0CC3"/>
    <w:rsid w:val="002C1D63"/>
    <w:rsid w:val="002C7863"/>
    <w:rsid w:val="002D06B9"/>
    <w:rsid w:val="002D68DE"/>
    <w:rsid w:val="002D7991"/>
    <w:rsid w:val="002D7EBC"/>
    <w:rsid w:val="002E1EFE"/>
    <w:rsid w:val="002F0BEB"/>
    <w:rsid w:val="00300CA8"/>
    <w:rsid w:val="00300E6A"/>
    <w:rsid w:val="003027D7"/>
    <w:rsid w:val="00303423"/>
    <w:rsid w:val="00305D95"/>
    <w:rsid w:val="00306DA8"/>
    <w:rsid w:val="003078A0"/>
    <w:rsid w:val="00310DA3"/>
    <w:rsid w:val="00310E17"/>
    <w:rsid w:val="003113D4"/>
    <w:rsid w:val="00311594"/>
    <w:rsid w:val="0031502A"/>
    <w:rsid w:val="00323357"/>
    <w:rsid w:val="003243F0"/>
    <w:rsid w:val="00327213"/>
    <w:rsid w:val="0033313D"/>
    <w:rsid w:val="003458D7"/>
    <w:rsid w:val="00345D8D"/>
    <w:rsid w:val="00351AB0"/>
    <w:rsid w:val="00353168"/>
    <w:rsid w:val="00353C03"/>
    <w:rsid w:val="00353EC3"/>
    <w:rsid w:val="00361390"/>
    <w:rsid w:val="0036352F"/>
    <w:rsid w:val="003649AF"/>
    <w:rsid w:val="00365116"/>
    <w:rsid w:val="00371949"/>
    <w:rsid w:val="00375975"/>
    <w:rsid w:val="0037638F"/>
    <w:rsid w:val="00381C4A"/>
    <w:rsid w:val="00390F4C"/>
    <w:rsid w:val="003A243E"/>
    <w:rsid w:val="003B1B61"/>
    <w:rsid w:val="003B2051"/>
    <w:rsid w:val="003B4712"/>
    <w:rsid w:val="003C207F"/>
    <w:rsid w:val="003C277F"/>
    <w:rsid w:val="003D06DB"/>
    <w:rsid w:val="003D4AEF"/>
    <w:rsid w:val="003E4113"/>
    <w:rsid w:val="003E4FDA"/>
    <w:rsid w:val="003E5394"/>
    <w:rsid w:val="003E675E"/>
    <w:rsid w:val="003F1D71"/>
    <w:rsid w:val="003F341A"/>
    <w:rsid w:val="003F37A4"/>
    <w:rsid w:val="003F4F91"/>
    <w:rsid w:val="003F5577"/>
    <w:rsid w:val="003F57FA"/>
    <w:rsid w:val="003F7CB0"/>
    <w:rsid w:val="003F7E54"/>
    <w:rsid w:val="00400968"/>
    <w:rsid w:val="00406295"/>
    <w:rsid w:val="00410B1E"/>
    <w:rsid w:val="004151CD"/>
    <w:rsid w:val="00415A37"/>
    <w:rsid w:val="00426CB3"/>
    <w:rsid w:val="00436B73"/>
    <w:rsid w:val="004374DA"/>
    <w:rsid w:val="00440EDB"/>
    <w:rsid w:val="00442A4D"/>
    <w:rsid w:val="00453832"/>
    <w:rsid w:val="00455ED6"/>
    <w:rsid w:val="004712B7"/>
    <w:rsid w:val="0048154C"/>
    <w:rsid w:val="00481EE9"/>
    <w:rsid w:val="0048792B"/>
    <w:rsid w:val="00490D0E"/>
    <w:rsid w:val="00491E5A"/>
    <w:rsid w:val="00492DD3"/>
    <w:rsid w:val="004951D7"/>
    <w:rsid w:val="00495B30"/>
    <w:rsid w:val="004A43F0"/>
    <w:rsid w:val="004A69FE"/>
    <w:rsid w:val="004B3DFE"/>
    <w:rsid w:val="004C0EDE"/>
    <w:rsid w:val="004C6E57"/>
    <w:rsid w:val="004D47EE"/>
    <w:rsid w:val="004D7FAC"/>
    <w:rsid w:val="004E36C2"/>
    <w:rsid w:val="004E4B14"/>
    <w:rsid w:val="004F27FB"/>
    <w:rsid w:val="00501176"/>
    <w:rsid w:val="00501E8E"/>
    <w:rsid w:val="0051081D"/>
    <w:rsid w:val="00510891"/>
    <w:rsid w:val="0051141F"/>
    <w:rsid w:val="00524AB7"/>
    <w:rsid w:val="0052535A"/>
    <w:rsid w:val="005307ED"/>
    <w:rsid w:val="0053111A"/>
    <w:rsid w:val="00537D96"/>
    <w:rsid w:val="00544653"/>
    <w:rsid w:val="00545874"/>
    <w:rsid w:val="00551F52"/>
    <w:rsid w:val="00555D36"/>
    <w:rsid w:val="00557A2C"/>
    <w:rsid w:val="00557F71"/>
    <w:rsid w:val="00562C62"/>
    <w:rsid w:val="00562FB7"/>
    <w:rsid w:val="005633CE"/>
    <w:rsid w:val="00571ADE"/>
    <w:rsid w:val="00572CCF"/>
    <w:rsid w:val="005732C7"/>
    <w:rsid w:val="005737B7"/>
    <w:rsid w:val="00575012"/>
    <w:rsid w:val="005774B1"/>
    <w:rsid w:val="00582A16"/>
    <w:rsid w:val="005853E9"/>
    <w:rsid w:val="00585AD7"/>
    <w:rsid w:val="00586153"/>
    <w:rsid w:val="0059304A"/>
    <w:rsid w:val="005951EF"/>
    <w:rsid w:val="005B02D0"/>
    <w:rsid w:val="005B0AC7"/>
    <w:rsid w:val="005B317C"/>
    <w:rsid w:val="005B5B9E"/>
    <w:rsid w:val="005B62C9"/>
    <w:rsid w:val="005B698D"/>
    <w:rsid w:val="005B6A13"/>
    <w:rsid w:val="005C3DA0"/>
    <w:rsid w:val="005D1A12"/>
    <w:rsid w:val="005E0008"/>
    <w:rsid w:val="005E373A"/>
    <w:rsid w:val="005E435D"/>
    <w:rsid w:val="005E6A0A"/>
    <w:rsid w:val="005E7748"/>
    <w:rsid w:val="005E7C85"/>
    <w:rsid w:val="005F06FA"/>
    <w:rsid w:val="005F1571"/>
    <w:rsid w:val="005F26A4"/>
    <w:rsid w:val="005F271F"/>
    <w:rsid w:val="005F3727"/>
    <w:rsid w:val="005F401F"/>
    <w:rsid w:val="0060360E"/>
    <w:rsid w:val="00605B14"/>
    <w:rsid w:val="006075F8"/>
    <w:rsid w:val="00611202"/>
    <w:rsid w:val="00611E61"/>
    <w:rsid w:val="006139E7"/>
    <w:rsid w:val="00620197"/>
    <w:rsid w:val="00620652"/>
    <w:rsid w:val="006237BE"/>
    <w:rsid w:val="00634FF1"/>
    <w:rsid w:val="00636F27"/>
    <w:rsid w:val="00640733"/>
    <w:rsid w:val="00642B2A"/>
    <w:rsid w:val="0064334B"/>
    <w:rsid w:val="00643D51"/>
    <w:rsid w:val="006538FB"/>
    <w:rsid w:val="006706FD"/>
    <w:rsid w:val="006772FA"/>
    <w:rsid w:val="00681FDD"/>
    <w:rsid w:val="006873DB"/>
    <w:rsid w:val="006878E9"/>
    <w:rsid w:val="006A6A2F"/>
    <w:rsid w:val="006C2706"/>
    <w:rsid w:val="006C2918"/>
    <w:rsid w:val="006C4154"/>
    <w:rsid w:val="006C511C"/>
    <w:rsid w:val="006C687D"/>
    <w:rsid w:val="006C782C"/>
    <w:rsid w:val="006D095D"/>
    <w:rsid w:val="006D2C2D"/>
    <w:rsid w:val="006D3A11"/>
    <w:rsid w:val="006E014B"/>
    <w:rsid w:val="006E1E8B"/>
    <w:rsid w:val="006E330A"/>
    <w:rsid w:val="006F3B7B"/>
    <w:rsid w:val="006F5B28"/>
    <w:rsid w:val="006F5E53"/>
    <w:rsid w:val="006F7061"/>
    <w:rsid w:val="007011DF"/>
    <w:rsid w:val="00703AC6"/>
    <w:rsid w:val="00710AA5"/>
    <w:rsid w:val="00711E56"/>
    <w:rsid w:val="007132C5"/>
    <w:rsid w:val="00715B3F"/>
    <w:rsid w:val="0071642D"/>
    <w:rsid w:val="00717C94"/>
    <w:rsid w:val="00721306"/>
    <w:rsid w:val="007234E0"/>
    <w:rsid w:val="00725D8A"/>
    <w:rsid w:val="00727C0A"/>
    <w:rsid w:val="00730287"/>
    <w:rsid w:val="007369E1"/>
    <w:rsid w:val="0074203F"/>
    <w:rsid w:val="007435CD"/>
    <w:rsid w:val="007437CA"/>
    <w:rsid w:val="00746CF7"/>
    <w:rsid w:val="007554BB"/>
    <w:rsid w:val="00755FDD"/>
    <w:rsid w:val="0075752D"/>
    <w:rsid w:val="00760039"/>
    <w:rsid w:val="00763273"/>
    <w:rsid w:val="0076501A"/>
    <w:rsid w:val="00770F4F"/>
    <w:rsid w:val="007803AD"/>
    <w:rsid w:val="007839AE"/>
    <w:rsid w:val="00785146"/>
    <w:rsid w:val="00791CD0"/>
    <w:rsid w:val="007A059E"/>
    <w:rsid w:val="007A41C0"/>
    <w:rsid w:val="007A5A82"/>
    <w:rsid w:val="007A5DE1"/>
    <w:rsid w:val="007A7B4C"/>
    <w:rsid w:val="007B0025"/>
    <w:rsid w:val="007B0FEB"/>
    <w:rsid w:val="007B4412"/>
    <w:rsid w:val="007C7E7D"/>
    <w:rsid w:val="007D270D"/>
    <w:rsid w:val="007D2C32"/>
    <w:rsid w:val="007D423E"/>
    <w:rsid w:val="007D4F3E"/>
    <w:rsid w:val="007D72DA"/>
    <w:rsid w:val="007D7B8D"/>
    <w:rsid w:val="007E1C48"/>
    <w:rsid w:val="007E62AE"/>
    <w:rsid w:val="007E73EB"/>
    <w:rsid w:val="007F1338"/>
    <w:rsid w:val="007F2546"/>
    <w:rsid w:val="007F4BD9"/>
    <w:rsid w:val="007F4C10"/>
    <w:rsid w:val="007F5C59"/>
    <w:rsid w:val="00800E12"/>
    <w:rsid w:val="00801053"/>
    <w:rsid w:val="0080610F"/>
    <w:rsid w:val="00810968"/>
    <w:rsid w:val="00811918"/>
    <w:rsid w:val="008153D5"/>
    <w:rsid w:val="00823CA9"/>
    <w:rsid w:val="00824562"/>
    <w:rsid w:val="00825F4C"/>
    <w:rsid w:val="00831869"/>
    <w:rsid w:val="00833A4F"/>
    <w:rsid w:val="00834FF0"/>
    <w:rsid w:val="0083650B"/>
    <w:rsid w:val="008403A0"/>
    <w:rsid w:val="0084652E"/>
    <w:rsid w:val="00846FC6"/>
    <w:rsid w:val="00847A0B"/>
    <w:rsid w:val="00860344"/>
    <w:rsid w:val="00860346"/>
    <w:rsid w:val="008627C7"/>
    <w:rsid w:val="008635D7"/>
    <w:rsid w:val="00870113"/>
    <w:rsid w:val="00873F09"/>
    <w:rsid w:val="008775E2"/>
    <w:rsid w:val="00881F75"/>
    <w:rsid w:val="008875CA"/>
    <w:rsid w:val="0089621F"/>
    <w:rsid w:val="008A7248"/>
    <w:rsid w:val="008B21EB"/>
    <w:rsid w:val="008B5DBC"/>
    <w:rsid w:val="008C0BE7"/>
    <w:rsid w:val="008C49D1"/>
    <w:rsid w:val="008C7368"/>
    <w:rsid w:val="008D094B"/>
    <w:rsid w:val="008D11A7"/>
    <w:rsid w:val="008D17DD"/>
    <w:rsid w:val="008D4186"/>
    <w:rsid w:val="008D5F08"/>
    <w:rsid w:val="008E111B"/>
    <w:rsid w:val="008E38CF"/>
    <w:rsid w:val="008E5DAA"/>
    <w:rsid w:val="008E5F1D"/>
    <w:rsid w:val="008E6FAC"/>
    <w:rsid w:val="008F2ED3"/>
    <w:rsid w:val="008F3C13"/>
    <w:rsid w:val="008F6AEC"/>
    <w:rsid w:val="00902581"/>
    <w:rsid w:val="00912013"/>
    <w:rsid w:val="00915D65"/>
    <w:rsid w:val="00925E61"/>
    <w:rsid w:val="0092649F"/>
    <w:rsid w:val="0093090F"/>
    <w:rsid w:val="00946EF5"/>
    <w:rsid w:val="0095685D"/>
    <w:rsid w:val="0095718B"/>
    <w:rsid w:val="009604BB"/>
    <w:rsid w:val="009618B7"/>
    <w:rsid w:val="00962CDE"/>
    <w:rsid w:val="0099177F"/>
    <w:rsid w:val="00992532"/>
    <w:rsid w:val="00995789"/>
    <w:rsid w:val="009A7391"/>
    <w:rsid w:val="009B2EF0"/>
    <w:rsid w:val="009B3732"/>
    <w:rsid w:val="009B4C25"/>
    <w:rsid w:val="009B628C"/>
    <w:rsid w:val="009C2163"/>
    <w:rsid w:val="009C257D"/>
    <w:rsid w:val="009C3957"/>
    <w:rsid w:val="009C5FCD"/>
    <w:rsid w:val="009D18B6"/>
    <w:rsid w:val="009D2D9F"/>
    <w:rsid w:val="009D33C2"/>
    <w:rsid w:val="009D3518"/>
    <w:rsid w:val="009E0F69"/>
    <w:rsid w:val="009F0011"/>
    <w:rsid w:val="009F206D"/>
    <w:rsid w:val="009F3B77"/>
    <w:rsid w:val="009F66DE"/>
    <w:rsid w:val="009F6CAB"/>
    <w:rsid w:val="009F7A2C"/>
    <w:rsid w:val="00A01710"/>
    <w:rsid w:val="00A047F0"/>
    <w:rsid w:val="00A14ED7"/>
    <w:rsid w:val="00A161FC"/>
    <w:rsid w:val="00A2430D"/>
    <w:rsid w:val="00A30438"/>
    <w:rsid w:val="00A30C68"/>
    <w:rsid w:val="00A4094F"/>
    <w:rsid w:val="00A500A4"/>
    <w:rsid w:val="00A5591E"/>
    <w:rsid w:val="00A61746"/>
    <w:rsid w:val="00A63300"/>
    <w:rsid w:val="00A701AE"/>
    <w:rsid w:val="00A7512D"/>
    <w:rsid w:val="00A75C48"/>
    <w:rsid w:val="00A75D88"/>
    <w:rsid w:val="00A765E9"/>
    <w:rsid w:val="00A76D9E"/>
    <w:rsid w:val="00A865ED"/>
    <w:rsid w:val="00A86C18"/>
    <w:rsid w:val="00A93FD2"/>
    <w:rsid w:val="00AA1A80"/>
    <w:rsid w:val="00AA2AC3"/>
    <w:rsid w:val="00AB4712"/>
    <w:rsid w:val="00AB48E9"/>
    <w:rsid w:val="00AC005D"/>
    <w:rsid w:val="00AC2EB1"/>
    <w:rsid w:val="00AC6F95"/>
    <w:rsid w:val="00AD4C30"/>
    <w:rsid w:val="00AD6EAD"/>
    <w:rsid w:val="00AE18CF"/>
    <w:rsid w:val="00AE1AFA"/>
    <w:rsid w:val="00AE67A6"/>
    <w:rsid w:val="00AF7468"/>
    <w:rsid w:val="00B015CE"/>
    <w:rsid w:val="00B01FBC"/>
    <w:rsid w:val="00B03658"/>
    <w:rsid w:val="00B04427"/>
    <w:rsid w:val="00B0779B"/>
    <w:rsid w:val="00B149B5"/>
    <w:rsid w:val="00B151BE"/>
    <w:rsid w:val="00B209E9"/>
    <w:rsid w:val="00B236CB"/>
    <w:rsid w:val="00B30D51"/>
    <w:rsid w:val="00B33451"/>
    <w:rsid w:val="00B33F63"/>
    <w:rsid w:val="00B35632"/>
    <w:rsid w:val="00B43698"/>
    <w:rsid w:val="00B4481B"/>
    <w:rsid w:val="00B4710C"/>
    <w:rsid w:val="00B47D50"/>
    <w:rsid w:val="00B7018C"/>
    <w:rsid w:val="00B7019E"/>
    <w:rsid w:val="00B7185F"/>
    <w:rsid w:val="00B72BD6"/>
    <w:rsid w:val="00B869C6"/>
    <w:rsid w:val="00B87CB4"/>
    <w:rsid w:val="00B91989"/>
    <w:rsid w:val="00B94A57"/>
    <w:rsid w:val="00B97895"/>
    <w:rsid w:val="00BA115A"/>
    <w:rsid w:val="00BA1466"/>
    <w:rsid w:val="00BA15B5"/>
    <w:rsid w:val="00BA359E"/>
    <w:rsid w:val="00BA6CF4"/>
    <w:rsid w:val="00BB03C1"/>
    <w:rsid w:val="00BB2053"/>
    <w:rsid w:val="00BB469B"/>
    <w:rsid w:val="00BB7A38"/>
    <w:rsid w:val="00BC04A3"/>
    <w:rsid w:val="00BC3D86"/>
    <w:rsid w:val="00BC7870"/>
    <w:rsid w:val="00BD0727"/>
    <w:rsid w:val="00BD11BC"/>
    <w:rsid w:val="00BD305E"/>
    <w:rsid w:val="00BE04B2"/>
    <w:rsid w:val="00BE12E8"/>
    <w:rsid w:val="00BE1EF1"/>
    <w:rsid w:val="00BE5444"/>
    <w:rsid w:val="00BF1C8F"/>
    <w:rsid w:val="00BF7E50"/>
    <w:rsid w:val="00C1098B"/>
    <w:rsid w:val="00C10C07"/>
    <w:rsid w:val="00C10F61"/>
    <w:rsid w:val="00C15054"/>
    <w:rsid w:val="00C163BC"/>
    <w:rsid w:val="00C23258"/>
    <w:rsid w:val="00C27434"/>
    <w:rsid w:val="00C32ADD"/>
    <w:rsid w:val="00C34505"/>
    <w:rsid w:val="00C35B3B"/>
    <w:rsid w:val="00C36A51"/>
    <w:rsid w:val="00C459CE"/>
    <w:rsid w:val="00C479F8"/>
    <w:rsid w:val="00C51CEE"/>
    <w:rsid w:val="00C53AA9"/>
    <w:rsid w:val="00C56D21"/>
    <w:rsid w:val="00C63818"/>
    <w:rsid w:val="00C643DA"/>
    <w:rsid w:val="00C74982"/>
    <w:rsid w:val="00C82348"/>
    <w:rsid w:val="00C92D3F"/>
    <w:rsid w:val="00C950B9"/>
    <w:rsid w:val="00C95481"/>
    <w:rsid w:val="00CA1559"/>
    <w:rsid w:val="00CA1D32"/>
    <w:rsid w:val="00CC44C8"/>
    <w:rsid w:val="00CD1229"/>
    <w:rsid w:val="00CD153F"/>
    <w:rsid w:val="00CD2230"/>
    <w:rsid w:val="00CD50E0"/>
    <w:rsid w:val="00CD5C95"/>
    <w:rsid w:val="00CE0FFF"/>
    <w:rsid w:val="00CE546B"/>
    <w:rsid w:val="00CF3F57"/>
    <w:rsid w:val="00CF5863"/>
    <w:rsid w:val="00CF7DC8"/>
    <w:rsid w:val="00D04B4C"/>
    <w:rsid w:val="00D07E51"/>
    <w:rsid w:val="00D12F04"/>
    <w:rsid w:val="00D156F3"/>
    <w:rsid w:val="00D17B51"/>
    <w:rsid w:val="00D21F75"/>
    <w:rsid w:val="00D22E33"/>
    <w:rsid w:val="00D324D9"/>
    <w:rsid w:val="00D333CD"/>
    <w:rsid w:val="00D36298"/>
    <w:rsid w:val="00D41788"/>
    <w:rsid w:val="00D44196"/>
    <w:rsid w:val="00D449F2"/>
    <w:rsid w:val="00D44E67"/>
    <w:rsid w:val="00D45ED1"/>
    <w:rsid w:val="00D512BD"/>
    <w:rsid w:val="00D532CD"/>
    <w:rsid w:val="00D55A25"/>
    <w:rsid w:val="00D56E82"/>
    <w:rsid w:val="00D6619A"/>
    <w:rsid w:val="00D7490B"/>
    <w:rsid w:val="00D76AA8"/>
    <w:rsid w:val="00D8060D"/>
    <w:rsid w:val="00D81319"/>
    <w:rsid w:val="00D8247A"/>
    <w:rsid w:val="00D82B79"/>
    <w:rsid w:val="00D87F17"/>
    <w:rsid w:val="00D94396"/>
    <w:rsid w:val="00D97FEA"/>
    <w:rsid w:val="00DA1B3C"/>
    <w:rsid w:val="00DA2BF3"/>
    <w:rsid w:val="00DA57C1"/>
    <w:rsid w:val="00DB1D64"/>
    <w:rsid w:val="00DB6ED1"/>
    <w:rsid w:val="00DC1928"/>
    <w:rsid w:val="00DD1742"/>
    <w:rsid w:val="00DD2AD3"/>
    <w:rsid w:val="00DE15E5"/>
    <w:rsid w:val="00DF1EA0"/>
    <w:rsid w:val="00DF245C"/>
    <w:rsid w:val="00DF5062"/>
    <w:rsid w:val="00DF65CB"/>
    <w:rsid w:val="00E023CC"/>
    <w:rsid w:val="00E02FC1"/>
    <w:rsid w:val="00E0462B"/>
    <w:rsid w:val="00E0581E"/>
    <w:rsid w:val="00E07247"/>
    <w:rsid w:val="00E10251"/>
    <w:rsid w:val="00E1130A"/>
    <w:rsid w:val="00E14E80"/>
    <w:rsid w:val="00E17608"/>
    <w:rsid w:val="00E22081"/>
    <w:rsid w:val="00E26107"/>
    <w:rsid w:val="00E34A5B"/>
    <w:rsid w:val="00E36D46"/>
    <w:rsid w:val="00E4264C"/>
    <w:rsid w:val="00E458B0"/>
    <w:rsid w:val="00E501AE"/>
    <w:rsid w:val="00E506CD"/>
    <w:rsid w:val="00E512A8"/>
    <w:rsid w:val="00E538A0"/>
    <w:rsid w:val="00E57E43"/>
    <w:rsid w:val="00E65CE7"/>
    <w:rsid w:val="00E6628A"/>
    <w:rsid w:val="00E71DB9"/>
    <w:rsid w:val="00E72D7F"/>
    <w:rsid w:val="00E72F6F"/>
    <w:rsid w:val="00E73399"/>
    <w:rsid w:val="00E744D3"/>
    <w:rsid w:val="00E74CB1"/>
    <w:rsid w:val="00E75230"/>
    <w:rsid w:val="00E7573D"/>
    <w:rsid w:val="00E821CF"/>
    <w:rsid w:val="00E822B6"/>
    <w:rsid w:val="00E83E2F"/>
    <w:rsid w:val="00E85911"/>
    <w:rsid w:val="00E85E97"/>
    <w:rsid w:val="00E8749A"/>
    <w:rsid w:val="00E90A5E"/>
    <w:rsid w:val="00E93031"/>
    <w:rsid w:val="00E931F1"/>
    <w:rsid w:val="00E972E0"/>
    <w:rsid w:val="00EA4358"/>
    <w:rsid w:val="00EA4482"/>
    <w:rsid w:val="00EA5BB2"/>
    <w:rsid w:val="00EA67C5"/>
    <w:rsid w:val="00EA7524"/>
    <w:rsid w:val="00EB42C3"/>
    <w:rsid w:val="00EB5304"/>
    <w:rsid w:val="00ED27A4"/>
    <w:rsid w:val="00ED5154"/>
    <w:rsid w:val="00EE2CE9"/>
    <w:rsid w:val="00EE39D9"/>
    <w:rsid w:val="00EF2087"/>
    <w:rsid w:val="00EF4FBA"/>
    <w:rsid w:val="00F02423"/>
    <w:rsid w:val="00F072C1"/>
    <w:rsid w:val="00F07693"/>
    <w:rsid w:val="00F10369"/>
    <w:rsid w:val="00F13265"/>
    <w:rsid w:val="00F14B96"/>
    <w:rsid w:val="00F1681C"/>
    <w:rsid w:val="00F17DEA"/>
    <w:rsid w:val="00F223B3"/>
    <w:rsid w:val="00F33F13"/>
    <w:rsid w:val="00F35137"/>
    <w:rsid w:val="00F43286"/>
    <w:rsid w:val="00F438F3"/>
    <w:rsid w:val="00F57DCD"/>
    <w:rsid w:val="00F63AEB"/>
    <w:rsid w:val="00F65DFE"/>
    <w:rsid w:val="00F72305"/>
    <w:rsid w:val="00F7623C"/>
    <w:rsid w:val="00F77F3E"/>
    <w:rsid w:val="00F8648C"/>
    <w:rsid w:val="00F908A8"/>
    <w:rsid w:val="00F93AA6"/>
    <w:rsid w:val="00F94194"/>
    <w:rsid w:val="00F959C8"/>
    <w:rsid w:val="00F9750C"/>
    <w:rsid w:val="00F9789E"/>
    <w:rsid w:val="00FA67D4"/>
    <w:rsid w:val="00FB00E1"/>
    <w:rsid w:val="00FB12A5"/>
    <w:rsid w:val="00FB1587"/>
    <w:rsid w:val="00FB322D"/>
    <w:rsid w:val="00FB42CB"/>
    <w:rsid w:val="00FB43C6"/>
    <w:rsid w:val="00FB5401"/>
    <w:rsid w:val="00FC1111"/>
    <w:rsid w:val="00FC194B"/>
    <w:rsid w:val="00FC3BB8"/>
    <w:rsid w:val="00FD6CA8"/>
    <w:rsid w:val="00FE1B41"/>
    <w:rsid w:val="00FF21F2"/>
    <w:rsid w:val="00FF339E"/>
    <w:rsid w:val="00FF40F9"/>
    <w:rsid w:val="00FF47AD"/>
    <w:rsid w:val="00FF6875"/>
    <w:rsid w:val="00FF698C"/>
    <w:rsid w:val="1BC72B84"/>
    <w:rsid w:val="3C7D12A7"/>
    <w:rsid w:val="4F9B5B7A"/>
    <w:rsid w:val="4FAF6015"/>
    <w:rsid w:val="61A83DCA"/>
    <w:rsid w:val="7DB33A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26"/>
    <w:semiHidden/>
    <w:unhideWhenUsed/>
    <w:qFormat/>
    <w:uiPriority w:val="99"/>
    <w:pPr>
      <w:jc w:val="left"/>
    </w:pPr>
  </w:style>
  <w:style w:type="paragraph" w:styleId="3">
    <w:name w:val="Plain Text"/>
    <w:basedOn w:val="1"/>
    <w:link w:val="16"/>
    <w:qFormat/>
    <w:uiPriority w:val="0"/>
    <w:rPr>
      <w:rFonts w:ascii="宋体" w:hAnsi="Courier New" w:cstheme="minorBidi"/>
      <w:szCs w:val="22"/>
    </w:rPr>
  </w:style>
  <w:style w:type="paragraph" w:styleId="4">
    <w:name w:val="Balloon Text"/>
    <w:basedOn w:val="1"/>
    <w:link w:val="24"/>
    <w:semiHidden/>
    <w:unhideWhenUsed/>
    <w:qFormat/>
    <w:uiPriority w:val="99"/>
    <w:rPr>
      <w:sz w:val="18"/>
      <w:szCs w:val="18"/>
    </w:rPr>
  </w:style>
  <w:style w:type="paragraph" w:styleId="5">
    <w:name w:val="footer"/>
    <w:basedOn w:val="1"/>
    <w:link w:val="17"/>
    <w:qFormat/>
    <w:uiPriority w:val="0"/>
    <w:pPr>
      <w:tabs>
        <w:tab w:val="center" w:pos="4153"/>
        <w:tab w:val="right" w:pos="8306"/>
      </w:tabs>
      <w:snapToGrid w:val="0"/>
      <w:jc w:val="left"/>
    </w:pPr>
    <w:rPr>
      <w:rFonts w:asciiTheme="minorHAnsi" w:hAnsiTheme="minorHAnsi" w:eastAsiaTheme="minorEastAsia" w:cstheme="minorBidi"/>
      <w:sz w:val="18"/>
      <w:szCs w:val="22"/>
    </w:rPr>
  </w:style>
  <w:style w:type="paragraph" w:styleId="6">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itle"/>
    <w:basedOn w:val="1"/>
    <w:link w:val="18"/>
    <w:qFormat/>
    <w:uiPriority w:val="0"/>
    <w:pPr>
      <w:spacing w:before="240" w:after="60"/>
      <w:jc w:val="center"/>
      <w:outlineLvl w:val="0"/>
    </w:pPr>
    <w:rPr>
      <w:rFonts w:ascii="Arial" w:hAnsi="Arial" w:cs="Arial"/>
      <w:b/>
      <w:bCs/>
      <w:sz w:val="32"/>
      <w:szCs w:val="32"/>
    </w:rPr>
  </w:style>
  <w:style w:type="paragraph" w:styleId="8">
    <w:name w:val="annotation subject"/>
    <w:basedOn w:val="2"/>
    <w:next w:val="2"/>
    <w:link w:val="27"/>
    <w:semiHidden/>
    <w:unhideWhenUsed/>
    <w:qFormat/>
    <w:uiPriority w:val="99"/>
    <w:rPr>
      <w:b/>
      <w:bCs/>
    </w:rPr>
  </w:style>
  <w:style w:type="table" w:styleId="10">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character" w:styleId="13">
    <w:name w:val="Emphasis"/>
    <w:basedOn w:val="11"/>
    <w:qFormat/>
    <w:uiPriority w:val="20"/>
    <w:rPr>
      <w:i/>
      <w:iCs/>
    </w:rPr>
  </w:style>
  <w:style w:type="character" w:styleId="14">
    <w:name w:val="Hyperlink"/>
    <w:basedOn w:val="11"/>
    <w:semiHidden/>
    <w:unhideWhenUsed/>
    <w:uiPriority w:val="99"/>
    <w:rPr>
      <w:color w:val="0000FF"/>
      <w:u w:val="single"/>
    </w:rPr>
  </w:style>
  <w:style w:type="character" w:styleId="15">
    <w:name w:val="annotation reference"/>
    <w:basedOn w:val="11"/>
    <w:semiHidden/>
    <w:unhideWhenUsed/>
    <w:qFormat/>
    <w:uiPriority w:val="99"/>
    <w:rPr>
      <w:sz w:val="21"/>
      <w:szCs w:val="21"/>
    </w:rPr>
  </w:style>
  <w:style w:type="character" w:customStyle="1" w:styleId="16">
    <w:name w:val="纯文本 字符"/>
    <w:link w:val="3"/>
    <w:uiPriority w:val="0"/>
    <w:rPr>
      <w:rFonts w:ascii="宋体" w:hAnsi="Courier New" w:eastAsia="宋体"/>
    </w:rPr>
  </w:style>
  <w:style w:type="character" w:customStyle="1" w:styleId="17">
    <w:name w:val="页脚 字符"/>
    <w:link w:val="5"/>
    <w:qFormat/>
    <w:uiPriority w:val="0"/>
    <w:rPr>
      <w:sz w:val="18"/>
    </w:rPr>
  </w:style>
  <w:style w:type="character" w:customStyle="1" w:styleId="18">
    <w:name w:val="标题 字符"/>
    <w:link w:val="7"/>
    <w:qFormat/>
    <w:uiPriority w:val="0"/>
    <w:rPr>
      <w:rFonts w:ascii="Arial" w:hAnsi="Arial" w:eastAsia="宋体" w:cs="Arial"/>
      <w:b/>
      <w:bCs/>
      <w:sz w:val="32"/>
      <w:szCs w:val="32"/>
    </w:rPr>
  </w:style>
  <w:style w:type="character" w:customStyle="1" w:styleId="19">
    <w:name w:val="页脚 Char"/>
    <w:basedOn w:val="11"/>
    <w:semiHidden/>
    <w:qFormat/>
    <w:uiPriority w:val="99"/>
    <w:rPr>
      <w:rFonts w:ascii="Times New Roman" w:hAnsi="Times New Roman" w:eastAsia="宋体" w:cs="Times New Roman"/>
      <w:sz w:val="18"/>
      <w:szCs w:val="18"/>
    </w:rPr>
  </w:style>
  <w:style w:type="character" w:customStyle="1" w:styleId="20">
    <w:name w:val="标题 Char"/>
    <w:basedOn w:val="11"/>
    <w:qFormat/>
    <w:uiPriority w:val="10"/>
    <w:rPr>
      <w:rFonts w:eastAsia="宋体" w:asciiTheme="majorHAnsi" w:hAnsiTheme="majorHAnsi" w:cstheme="majorBidi"/>
      <w:b/>
      <w:bCs/>
      <w:sz w:val="32"/>
      <w:szCs w:val="32"/>
    </w:rPr>
  </w:style>
  <w:style w:type="character" w:customStyle="1" w:styleId="21">
    <w:name w:val="纯文本 Char"/>
    <w:basedOn w:val="11"/>
    <w:semiHidden/>
    <w:qFormat/>
    <w:uiPriority w:val="99"/>
    <w:rPr>
      <w:rFonts w:ascii="宋体" w:hAnsi="Courier New" w:eastAsia="宋体" w:cs="Courier New"/>
      <w:szCs w:val="21"/>
    </w:rPr>
  </w:style>
  <w:style w:type="character" w:customStyle="1" w:styleId="22">
    <w:name w:val="页眉 字符"/>
    <w:basedOn w:val="11"/>
    <w:link w:val="6"/>
    <w:qFormat/>
    <w:uiPriority w:val="99"/>
    <w:rPr>
      <w:rFonts w:ascii="Times New Roman" w:hAnsi="Times New Roman" w:eastAsia="宋体" w:cs="Times New Roman"/>
      <w:sz w:val="18"/>
      <w:szCs w:val="18"/>
    </w:rPr>
  </w:style>
  <w:style w:type="paragraph" w:styleId="23">
    <w:name w:val="List Paragraph"/>
    <w:basedOn w:val="1"/>
    <w:qFormat/>
    <w:uiPriority w:val="34"/>
    <w:pPr>
      <w:ind w:firstLine="420" w:firstLineChars="200"/>
    </w:pPr>
  </w:style>
  <w:style w:type="character" w:customStyle="1" w:styleId="24">
    <w:name w:val="批注框文本 字符"/>
    <w:basedOn w:val="11"/>
    <w:link w:val="4"/>
    <w:semiHidden/>
    <w:qFormat/>
    <w:uiPriority w:val="99"/>
    <w:rPr>
      <w:rFonts w:ascii="Times New Roman" w:hAnsi="Times New Roman" w:eastAsia="宋体" w:cs="Times New Roman"/>
      <w:sz w:val="18"/>
      <w:szCs w:val="18"/>
    </w:rPr>
  </w:style>
  <w:style w:type="paragraph" w:customStyle="1" w:styleId="25">
    <w:name w:val="paragraph"/>
    <w:basedOn w:val="1"/>
    <w:semiHidden/>
    <w:qFormat/>
    <w:uiPriority w:val="0"/>
    <w:pPr>
      <w:widowControl/>
      <w:spacing w:before="100" w:beforeAutospacing="1" w:after="100" w:afterAutospacing="1"/>
      <w:jc w:val="left"/>
    </w:pPr>
    <w:rPr>
      <w:rFonts w:ascii="等线" w:hAnsi="等线" w:eastAsia="等线"/>
      <w:kern w:val="0"/>
      <w:sz w:val="24"/>
      <w:szCs w:val="24"/>
    </w:rPr>
  </w:style>
  <w:style w:type="character" w:customStyle="1" w:styleId="26">
    <w:name w:val="批注文字 字符"/>
    <w:basedOn w:val="11"/>
    <w:link w:val="2"/>
    <w:semiHidden/>
    <w:uiPriority w:val="99"/>
    <w:rPr>
      <w:rFonts w:ascii="Times New Roman" w:hAnsi="Times New Roman" w:eastAsia="宋体" w:cs="Times New Roman"/>
      <w:kern w:val="2"/>
      <w:sz w:val="21"/>
    </w:rPr>
  </w:style>
  <w:style w:type="character" w:customStyle="1" w:styleId="27">
    <w:name w:val="批注主题 字符"/>
    <w:basedOn w:val="26"/>
    <w:link w:val="8"/>
    <w:semiHidden/>
    <w:uiPriority w:val="99"/>
    <w:rPr>
      <w:rFonts w:ascii="Times New Roman" w:hAnsi="Times New Roman" w:eastAsia="宋体" w:cs="Times New Roman"/>
      <w:b/>
      <w:bCs/>
      <w:kern w:val="2"/>
      <w:sz w:val="21"/>
    </w:rPr>
  </w:style>
  <w:style w:type="paragraph" w:customStyle="1" w:styleId="28">
    <w:name w:val="Revision"/>
    <w:hidden/>
    <w:semiHidden/>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1007</Words>
  <Characters>1021</Characters>
  <Lines>34</Lines>
  <Paragraphs>9</Paragraphs>
  <TotalTime>25</TotalTime>
  <ScaleCrop>false</ScaleCrop>
  <LinksUpToDate>false</LinksUpToDate>
  <CharactersWithSpaces>1273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2026-08-03T10:43:00Z</dcterms:created>
  <dc:creator>User</dc:creator>
  <cp:lastModifiedBy>小武~</cp:lastModifiedBy>
  <dcterms:modified xsi:type="dcterms:W3CDTF">2026-08-03T11:39:12Z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BDEE70F1FE2E41F2BEC4F49D9B258114_13</vt:lpwstr>
  </property>
  <property fmtid="{D5CDD505-2E9C-101B-9397-08002B2CF9AE}" pid="4" name="KSOTemplateDocerSaveRecord">
    <vt:lpwstr>eyJoZGlkIjoiN2FlYWRjNzgyNjdiOGMxMjhlN2RmZGMxZDViYWM0ZDEiLCJ1c2VySWQiOiIxMTc2MTE0MzY5In0=</vt:lpwstr>
  </property>
</Properties>
</file>