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56" w:beforeLines="50"/>
        <w:ind w:firstLine="723" w:firstLineChars="200"/>
        <w:jc w:val="center"/>
        <w:textAlignment w:val="baseline"/>
        <w:rPr>
          <w:rFonts w:ascii="宋体" w:hAnsi="宋体" w:cs="宋体"/>
          <w:b/>
          <w:bCs/>
          <w:kern w:val="0"/>
          <w:sz w:val="36"/>
          <w:szCs w:val="36"/>
        </w:rPr>
      </w:pPr>
      <w:bookmarkStart w:id="0" w:name="_Toc158978330"/>
      <w:bookmarkStart w:id="1" w:name="_Toc172360661"/>
      <w:bookmarkStart w:id="2" w:name="_Toc219271393"/>
      <w:r>
        <w:rPr>
          <w:rFonts w:hint="eastAsia" w:ascii="宋体" w:hAnsi="宋体" w:cs="宋体"/>
          <w:b/>
          <w:bCs/>
          <w:kern w:val="0"/>
          <w:sz w:val="36"/>
          <w:szCs w:val="36"/>
        </w:rPr>
        <w:t>西安交通大学MBA项目苏州实习实践基地</w:t>
      </w:r>
    </w:p>
    <w:p>
      <w:pPr>
        <w:widowControl/>
        <w:adjustRightInd w:val="0"/>
        <w:snapToGrid w:val="0"/>
        <w:spacing w:before="156" w:beforeLines="50"/>
        <w:ind w:firstLine="723" w:firstLineChars="200"/>
        <w:jc w:val="center"/>
        <w:textAlignment w:val="baseline"/>
        <w:rPr>
          <w:rFonts w:ascii="宋体" w:hAnsi="宋体" w:cs="宋体"/>
          <w:b/>
          <w:bCs/>
          <w:kern w:val="0"/>
          <w:sz w:val="36"/>
          <w:szCs w:val="36"/>
        </w:rPr>
      </w:pPr>
      <w:r>
        <w:rPr>
          <w:rFonts w:hint="eastAsia" w:ascii="宋体" w:hAnsi="宋体" w:cs="宋体"/>
          <w:b/>
          <w:bCs/>
          <w:kern w:val="0"/>
          <w:sz w:val="36"/>
          <w:szCs w:val="36"/>
        </w:rPr>
        <w:t>教学管理辅助服务采购需求</w:t>
      </w:r>
    </w:p>
    <w:p>
      <w:p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一、采购标的需实现的功能或者目标，以及为落实政府采购政策需满足的要求：</w:t>
      </w:r>
      <w:bookmarkStart w:id="5" w:name="_GoBack"/>
      <w:bookmarkEnd w:id="5"/>
    </w:p>
    <w:p>
      <w:p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（一）采购目标</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本项目要求中标供应商为西安交通大学经济与金融学院MBA项目提供2025</w:t>
      </w:r>
      <w:r>
        <w:rPr>
          <w:rFonts w:ascii="Arial" w:hAnsi="Arial" w:cs="Arial"/>
          <w:color w:val="71777D"/>
          <w:sz w:val="14"/>
          <w:szCs w:val="14"/>
          <w:shd w:val="clear" w:color="auto" w:fill="FFFFFF"/>
        </w:rPr>
        <w:t>～</w:t>
      </w:r>
      <w:r>
        <w:rPr>
          <w:rFonts w:hint="eastAsia" w:ascii="宋体" w:hAnsi="宋体" w:cs="宋体"/>
          <w:sz w:val="28"/>
          <w:szCs w:val="28"/>
        </w:rPr>
        <w:t>2027级在苏州实习实践基地开展品牌宣传推广、非学位课程和实践性模块课程等的教学管理和学生管理提供辅助服务，不断提升项目在本区域及全国的品牌影响力，改进教学效果，提升人才培养质量和服务水平，促进MBA项目高质量发展。</w:t>
      </w:r>
    </w:p>
    <w:p>
      <w:p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（二）为落实政府采购政策需满足的要求</w:t>
      </w:r>
    </w:p>
    <w:p>
      <w:pPr>
        <w:tabs>
          <w:tab w:val="left" w:pos="900"/>
        </w:tabs>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根据《政府采购促进中小企业发展管理办法》（财库【2020】46号）规定，本项目专门面向中型、小型、微型企业采购,中标公司应为中型、小型、微型企业，且不再执行价格评审优惠的扶持政策。</w:t>
      </w:r>
    </w:p>
    <w:p>
      <w:pPr>
        <w:tabs>
          <w:tab w:val="left" w:pos="900"/>
        </w:tabs>
        <w:adjustRightInd w:val="0"/>
        <w:snapToGrid w:val="0"/>
        <w:spacing w:before="156" w:beforeLines="50"/>
        <w:ind w:firstLine="560" w:firstLineChars="200"/>
        <w:rPr>
          <w:rFonts w:ascii="宋体" w:hAnsi="宋体" w:cs="宋体"/>
          <w:sz w:val="28"/>
          <w:szCs w:val="28"/>
          <w:u w:val="single"/>
        </w:rPr>
      </w:pPr>
      <w:r>
        <w:rPr>
          <w:rFonts w:hint="eastAsia" w:ascii="宋体" w:hAnsi="宋体" w:cs="宋体"/>
          <w:sz w:val="28"/>
          <w:szCs w:val="28"/>
        </w:rPr>
        <w:t>本项目采购标的对应的《中小企业划型标准规定》所属行业为：</w:t>
      </w:r>
      <w:r>
        <w:rPr>
          <w:rFonts w:hint="eastAsia" w:ascii="宋体" w:hAnsi="宋体" w:cs="宋体"/>
          <w:sz w:val="28"/>
          <w:szCs w:val="28"/>
          <w:u w:val="single"/>
        </w:rPr>
        <w:t>其他未列明行业</w:t>
      </w:r>
      <w:r>
        <w:rPr>
          <w:rFonts w:hint="eastAsia" w:ascii="宋体" w:hAnsi="宋体" w:cs="宋体"/>
          <w:sz w:val="28"/>
          <w:szCs w:val="28"/>
        </w:rPr>
        <w:t>。</w:t>
      </w:r>
    </w:p>
    <w:p>
      <w:p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（三）中标公司资质要求</w:t>
      </w:r>
    </w:p>
    <w:p>
      <w:pPr>
        <w:tabs>
          <w:tab w:val="left" w:pos="900"/>
        </w:tabs>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 xml:space="preserve">在以上要求的基础之上，投标公司需提供项目负责人具有5年及以上教育教学服务工作经验的证明，并出具相关业绩证明1个。 </w:t>
      </w:r>
    </w:p>
    <w:p>
      <w:pPr>
        <w:tabs>
          <w:tab w:val="left" w:pos="900"/>
        </w:tabs>
        <w:adjustRightInd w:val="0"/>
        <w:snapToGrid w:val="0"/>
        <w:spacing w:before="156" w:beforeLines="50"/>
        <w:ind w:firstLine="562" w:firstLineChars="200"/>
        <w:rPr>
          <w:rFonts w:ascii="宋体" w:hAnsi="宋体" w:cs="宋体"/>
          <w:sz w:val="28"/>
          <w:szCs w:val="28"/>
        </w:rPr>
      </w:pPr>
      <w:r>
        <w:rPr>
          <w:rFonts w:hint="eastAsia" w:ascii="宋体" w:hAnsi="宋体" w:cs="宋体"/>
          <w:b/>
          <w:sz w:val="28"/>
          <w:szCs w:val="28"/>
        </w:rPr>
        <w:t>二、采购标的需执行的国家相关标准、行业标准、地方标准或者其他标准、规范：</w:t>
      </w:r>
    </w:p>
    <w:p>
      <w:pPr>
        <w:tabs>
          <w:tab w:val="left" w:pos="900"/>
        </w:tabs>
        <w:adjustRightInd w:val="0"/>
        <w:snapToGrid w:val="0"/>
        <w:spacing w:before="156" w:beforeLines="50"/>
        <w:ind w:firstLine="560" w:firstLineChars="200"/>
        <w:rPr>
          <w:rFonts w:ascii="宋体" w:hAnsi="宋体" w:cs="宋体"/>
          <w:color w:val="FF0000"/>
          <w:sz w:val="28"/>
          <w:szCs w:val="28"/>
        </w:rPr>
      </w:pPr>
      <w:r>
        <w:rPr>
          <w:rFonts w:hint="eastAsia" w:ascii="宋体" w:hAnsi="宋体" w:cs="宋体"/>
          <w:sz w:val="28"/>
          <w:szCs w:val="28"/>
        </w:rPr>
        <w:t>无</w:t>
      </w:r>
    </w:p>
    <w:p>
      <w:p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三、采购标的概况</w:t>
      </w:r>
    </w:p>
    <w:p>
      <w:pPr>
        <w:adjustRightInd w:val="0"/>
        <w:snapToGrid w:val="0"/>
        <w:spacing w:before="156" w:beforeLines="50"/>
        <w:ind w:firstLine="560" w:firstLineChars="200"/>
        <w:rPr>
          <w:rFonts w:ascii="宋体" w:hAnsi="宋体" w:cs="宋体"/>
          <w:sz w:val="28"/>
          <w:szCs w:val="28"/>
          <w:u w:val="single"/>
        </w:rPr>
      </w:pPr>
      <w:r>
        <w:rPr>
          <w:rFonts w:hint="eastAsia" w:ascii="宋体" w:hAnsi="宋体" w:cs="宋体"/>
          <w:sz w:val="28"/>
          <w:szCs w:val="28"/>
        </w:rPr>
        <w:t>（一）采购项目名称：</w:t>
      </w:r>
      <w:r>
        <w:rPr>
          <w:rFonts w:hint="eastAsia" w:ascii="宋体" w:hAnsi="宋体" w:cs="宋体"/>
          <w:sz w:val="28"/>
          <w:szCs w:val="28"/>
          <w:u w:val="single"/>
        </w:rPr>
        <w:t xml:space="preserve">西安交通大学MBA项目苏州实习实践基地教学管理辅助服务  </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（二）采购数量及服务人数：</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2025级合同签订后 1个月内，需提供（1）苏州地区报名2025年全国硕士研究生招生考试西安交通大学MBA项目的学生信息，不少于100人；（2）苏州地区参加西安交通大学2025年MBA“卓越管理人才夏令营”综合考核学生信息，不少于80人；（3）按照合同约定完成后续服务。</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采购数量</w:t>
      </w:r>
      <w:r>
        <w:rPr>
          <w:rFonts w:hint="eastAsia" w:ascii="宋体" w:hAnsi="宋体" w:cs="宋体"/>
          <w:sz w:val="28"/>
          <w:szCs w:val="28"/>
          <w:u w:val="single"/>
        </w:rPr>
        <w:t>3次</w:t>
      </w:r>
      <w:r>
        <w:rPr>
          <w:rFonts w:hint="eastAsia" w:ascii="宋体" w:hAnsi="宋体" w:cs="宋体"/>
          <w:sz w:val="28"/>
          <w:szCs w:val="28"/>
        </w:rPr>
        <w:t>，包括2025级、2026级、2027级</w:t>
      </w:r>
      <w:r>
        <w:rPr>
          <w:rFonts w:hint="eastAsia" w:ascii="宋体" w:hAnsi="宋体" w:cs="宋体"/>
          <w:b/>
          <w:bCs/>
          <w:sz w:val="28"/>
          <w:szCs w:val="28"/>
          <w:u w:val="single"/>
        </w:rPr>
        <w:t>三个年级</w:t>
      </w:r>
      <w:r>
        <w:rPr>
          <w:rFonts w:hint="eastAsia" w:ascii="宋体" w:hAnsi="宋体" w:cs="宋体"/>
          <w:sz w:val="28"/>
          <w:szCs w:val="28"/>
        </w:rPr>
        <w:t>MBA项目品牌宣传推广、教学管理辅助服务，西安交通大学批准的人数</w:t>
      </w:r>
      <w:r>
        <w:rPr>
          <w:rFonts w:hint="eastAsia" w:ascii="宋体" w:hAnsi="宋体" w:cs="宋体"/>
          <w:sz w:val="28"/>
          <w:szCs w:val="28"/>
          <w:u w:val="single"/>
        </w:rPr>
        <w:t>约212人</w:t>
      </w:r>
      <w:r>
        <w:rPr>
          <w:rFonts w:hint="eastAsia" w:ascii="宋体" w:hAnsi="宋体" w:cs="宋体"/>
          <w:sz w:val="28"/>
          <w:szCs w:val="28"/>
        </w:rPr>
        <w:t>。</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（三）最高限价：</w:t>
      </w:r>
      <w:r>
        <w:rPr>
          <w:rFonts w:hint="eastAsia" w:ascii="宋体" w:hAnsi="宋体" w:cs="宋体"/>
          <w:sz w:val="28"/>
          <w:szCs w:val="28"/>
          <w:u w:val="none"/>
        </w:rPr>
        <w:t>人民币</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882.98万</w:t>
      </w:r>
      <w:r>
        <w:rPr>
          <w:rFonts w:hint="eastAsia" w:ascii="宋体" w:hAnsi="宋体" w:cs="宋体"/>
          <w:sz w:val="28"/>
          <w:szCs w:val="28"/>
          <w:u w:val="single"/>
          <w:lang w:val="en-US" w:eastAsia="zh-CN"/>
        </w:rPr>
        <w:t xml:space="preserve"> </w:t>
      </w:r>
      <w:r>
        <w:rPr>
          <w:rFonts w:hint="eastAsia" w:ascii="宋体" w:hAnsi="宋体" w:cs="宋体"/>
          <w:sz w:val="28"/>
          <w:szCs w:val="28"/>
          <w:u w:val="none"/>
        </w:rPr>
        <w:t>元</w:t>
      </w:r>
      <w:r>
        <w:rPr>
          <w:rFonts w:hint="eastAsia" w:ascii="宋体" w:hAnsi="宋体" w:cs="宋体"/>
          <w:sz w:val="28"/>
          <w:szCs w:val="28"/>
        </w:rPr>
        <w:t>。按本采购文件所载批准人数测算</w:t>
      </w:r>
      <w:r>
        <w:rPr>
          <w:rFonts w:hint="eastAsia" w:ascii="宋体" w:hAnsi="宋体" w:cs="宋体"/>
          <w:sz w:val="28"/>
          <w:szCs w:val="28"/>
          <w:lang w:eastAsia="zh-CN"/>
        </w:rPr>
        <w:t>。</w:t>
      </w:r>
      <w:r>
        <w:rPr>
          <w:rFonts w:hint="eastAsia" w:ascii="宋体" w:hAnsi="宋体" w:cs="宋体"/>
          <w:sz w:val="28"/>
          <w:szCs w:val="28"/>
        </w:rPr>
        <w:t>若采购</w:t>
      </w:r>
      <w:r>
        <w:rPr>
          <w:rFonts w:hint="eastAsia" w:ascii="宋体" w:hAnsi="宋体" w:cs="宋体"/>
          <w:sz w:val="28"/>
          <w:szCs w:val="28"/>
          <w:lang w:val="en-US" w:eastAsia="zh-CN"/>
        </w:rPr>
        <w:t>方</w:t>
      </w:r>
      <w:r>
        <w:rPr>
          <w:rFonts w:hint="eastAsia" w:ascii="宋体" w:hAnsi="宋体" w:cs="宋体"/>
          <w:sz w:val="28"/>
          <w:szCs w:val="28"/>
        </w:rPr>
        <w:t>调整学生人数，服务内容、服务人数和服务金额以调整后的情况为准。2025级</w:t>
      </w:r>
      <w:r>
        <w:rPr>
          <w:rFonts w:ascii="Arial" w:hAnsi="Arial" w:cs="Arial"/>
          <w:color w:val="71777D"/>
          <w:sz w:val="14"/>
          <w:szCs w:val="14"/>
          <w:shd w:val="clear" w:color="auto" w:fill="FFFFFF"/>
        </w:rPr>
        <w:t>～</w:t>
      </w:r>
      <w:r>
        <w:rPr>
          <w:rFonts w:hint="eastAsia" w:ascii="宋体" w:hAnsi="宋体" w:cs="宋体"/>
          <w:sz w:val="28"/>
          <w:szCs w:val="28"/>
        </w:rPr>
        <w:t>2027级合同金额分别占标的总金额的30%、35%、35%。</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（四）服务期限：合同按项目年级签订，提供全周期服务，每级有效期三年；后续年级的服务合同签署与否，由采购人视履约验收情况而定，如签订2027级合同，合同服务期至2030年7月结束。</w:t>
      </w:r>
    </w:p>
    <w:p>
      <w:pPr>
        <w:tabs>
          <w:tab w:val="left" w:pos="900"/>
        </w:tabs>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（五）服务地点：</w:t>
      </w:r>
      <w:r>
        <w:rPr>
          <w:rFonts w:hint="eastAsia" w:ascii="宋体" w:hAnsi="宋体" w:cs="宋体"/>
          <w:sz w:val="28"/>
          <w:szCs w:val="28"/>
          <w:u w:val="single"/>
        </w:rPr>
        <w:t>苏州</w:t>
      </w:r>
      <w:r>
        <w:rPr>
          <w:rFonts w:hint="eastAsia" w:ascii="宋体" w:hAnsi="宋体" w:cs="宋体"/>
          <w:sz w:val="28"/>
          <w:szCs w:val="28"/>
        </w:rPr>
        <w:t>。</w:t>
      </w:r>
    </w:p>
    <w:p>
      <w:pPr>
        <w:tabs>
          <w:tab w:val="left" w:pos="900"/>
        </w:tabs>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（六）付款进度安排：</w:t>
      </w:r>
      <w:r>
        <w:rPr>
          <w:rFonts w:hint="eastAsia" w:ascii="宋体" w:hAnsi="宋体" w:cs="宋体"/>
          <w:sz w:val="28"/>
          <w:szCs w:val="28"/>
          <w:u w:val="single"/>
        </w:rPr>
        <w:t>根据当年实际报到注册的2025级</w:t>
      </w:r>
      <w:r>
        <w:rPr>
          <w:rFonts w:ascii="Arial" w:hAnsi="Arial" w:cs="Arial"/>
          <w:color w:val="71777D"/>
          <w:sz w:val="14"/>
          <w:szCs w:val="14"/>
          <w:u w:val="single"/>
          <w:shd w:val="clear" w:color="auto" w:fill="FFFFFF"/>
        </w:rPr>
        <w:t>～</w:t>
      </w:r>
      <w:r>
        <w:rPr>
          <w:rFonts w:hint="eastAsia" w:ascii="宋体" w:hAnsi="宋体" w:cs="宋体"/>
          <w:sz w:val="28"/>
          <w:szCs w:val="28"/>
          <w:u w:val="single"/>
        </w:rPr>
        <w:t>2027级学生实际人数结算，结合相关的教学管理辅助服务工作情况，考核合格、中标公司提供正规发票后，每一级合同第一年、第二年、第三年结束之前一个月分别支付合同总额的至多不超过40%、40%、20%</w:t>
      </w:r>
      <w:r>
        <w:rPr>
          <w:rFonts w:hint="eastAsia" w:ascii="宋体" w:hAnsi="宋体" w:cs="宋体"/>
          <w:sz w:val="28"/>
          <w:szCs w:val="28"/>
        </w:rPr>
        <w:t>。</w:t>
      </w:r>
    </w:p>
    <w:p>
      <w:pPr>
        <w:tabs>
          <w:tab w:val="left" w:pos="900"/>
        </w:tabs>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(七)报价说明</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1.本项目报价为完成本项目的全部相关服务费用明细。</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2.本项目报价包含中标公司应支付的税费和其他相关费用。</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3.以当年实际服务的学生人数为结算基准。</w:t>
      </w:r>
    </w:p>
    <w:p>
      <w:pPr>
        <w:adjustRightInd w:val="0"/>
        <w:snapToGrid w:val="0"/>
        <w:spacing w:before="156" w:beforeLines="50"/>
        <w:ind w:firstLine="0" w:firstLineChars="0"/>
      </w:pPr>
    </w:p>
    <w:p>
      <w:p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四、采购标的需满足的质量、安全、技术规格、物理特性等要求：</w:t>
      </w:r>
    </w:p>
    <w:p>
      <w:pPr>
        <w:widowControl/>
        <w:adjustRightInd w:val="0"/>
        <w:snapToGrid w:val="0"/>
        <w:spacing w:before="156" w:beforeLines="50"/>
        <w:ind w:firstLine="562" w:firstLineChars="200"/>
        <w:jc w:val="left"/>
        <w:textAlignment w:val="baseline"/>
        <w:rPr>
          <w:rFonts w:ascii="宋体" w:hAnsi="宋体" w:cs="宋体"/>
          <w:b/>
          <w:bCs/>
          <w:kern w:val="0"/>
          <w:sz w:val="28"/>
          <w:szCs w:val="28"/>
        </w:rPr>
      </w:pPr>
      <w:r>
        <w:rPr>
          <w:rFonts w:hint="eastAsia" w:ascii="宋体" w:hAnsi="宋体" w:cs="宋体"/>
          <w:b/>
          <w:bCs/>
          <w:kern w:val="0"/>
          <w:sz w:val="28"/>
          <w:szCs w:val="28"/>
        </w:rPr>
        <w:t>（一）采购要求</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1.</w:t>
      </w:r>
      <w:bookmarkStart w:id="3" w:name="OLE_LINK4"/>
      <w:bookmarkStart w:id="4" w:name="OLE_LINK3"/>
      <w:r>
        <w:rPr>
          <w:rFonts w:hint="eastAsia" w:ascii="宋体" w:hAnsi="宋体" w:cs="宋体"/>
          <w:sz w:val="28"/>
          <w:szCs w:val="28"/>
        </w:rPr>
        <w:t>投标方</w:t>
      </w:r>
      <w:bookmarkEnd w:id="3"/>
      <w:bookmarkEnd w:id="4"/>
      <w:r>
        <w:rPr>
          <w:rFonts w:hint="eastAsia" w:ascii="宋体" w:hAnsi="宋体" w:cs="宋体"/>
          <w:sz w:val="28"/>
          <w:szCs w:val="28"/>
        </w:rPr>
        <w:t>需自行负责建立拓展宣传渠道，提供科学、合理和有效的品牌宣传推广方案，包括并不限于开展项目咨询、线上和线下品牌宣传等，确保为采购方推荐优秀生源并达到预期的生源规模；</w:t>
      </w:r>
    </w:p>
    <w:p>
      <w:pPr>
        <w:widowControl/>
        <w:adjustRightInd w:val="0"/>
        <w:snapToGrid w:val="0"/>
        <w:spacing w:before="156" w:beforeLines="50"/>
        <w:ind w:firstLine="560" w:firstLineChars="200"/>
        <w:jc w:val="left"/>
        <w:textAlignment w:val="baseline"/>
        <w:rPr>
          <w:rFonts w:hint="eastAsia" w:ascii="宋体" w:hAnsi="宋体" w:eastAsia="宋体" w:cs="宋体"/>
          <w:sz w:val="28"/>
          <w:szCs w:val="28"/>
          <w:lang w:eastAsia="zh-CN"/>
        </w:rPr>
      </w:pPr>
      <w:r>
        <w:rPr>
          <w:rFonts w:hint="eastAsia" w:ascii="宋体" w:hAnsi="宋体" w:cs="宋体"/>
          <w:sz w:val="28"/>
          <w:szCs w:val="28"/>
        </w:rPr>
        <w:t>2. 投标方需协助采购方为当地学生提供开展教学活动的必要条件</w:t>
      </w:r>
      <w:r>
        <w:rPr>
          <w:rFonts w:hint="eastAsia" w:ascii="宋体" w:hAnsi="宋体" w:cs="宋体"/>
          <w:sz w:val="28"/>
          <w:szCs w:val="28"/>
          <w:lang w:eastAsia="zh-CN"/>
        </w:rPr>
        <w:t>，</w:t>
      </w:r>
      <w:r>
        <w:rPr>
          <w:rFonts w:hint="eastAsia" w:ascii="宋体" w:hAnsi="宋体" w:cs="宋体"/>
          <w:sz w:val="28"/>
          <w:szCs w:val="28"/>
        </w:rPr>
        <w:t>协调解决教学过程中出现的问题</w:t>
      </w:r>
      <w:r>
        <w:rPr>
          <w:rFonts w:hint="eastAsia" w:ascii="宋体" w:hAnsi="宋体" w:cs="宋体"/>
          <w:sz w:val="28"/>
          <w:szCs w:val="28"/>
          <w:lang w:eastAsia="zh-CN"/>
        </w:rPr>
        <w:t>，</w:t>
      </w:r>
      <w:r>
        <w:rPr>
          <w:rFonts w:hint="eastAsia" w:cs="宋体"/>
          <w:sz w:val="28"/>
          <w:szCs w:val="28"/>
        </w:rPr>
        <w:t>提供必要措施确保学生教学与实践活动中的人身安全</w:t>
      </w:r>
      <w:r>
        <w:rPr>
          <w:rFonts w:hint="eastAsia" w:cs="宋体"/>
          <w:sz w:val="28"/>
          <w:szCs w:val="28"/>
          <w:lang w:eastAsia="zh-CN"/>
        </w:rPr>
        <w:t>，</w:t>
      </w:r>
      <w:r>
        <w:rPr>
          <w:rFonts w:hint="eastAsia" w:ascii="宋体" w:hAnsi="宋体" w:cs="宋体"/>
          <w:sz w:val="28"/>
          <w:szCs w:val="28"/>
        </w:rPr>
        <w:t>协助采购方完成教学活动与实践活动的安全有序进行</w:t>
      </w:r>
      <w:r>
        <w:rPr>
          <w:rFonts w:hint="eastAsia" w:ascii="宋体" w:hAnsi="宋体" w:cs="宋体"/>
          <w:sz w:val="28"/>
          <w:szCs w:val="28"/>
          <w:lang w:eastAsia="zh-CN"/>
        </w:rPr>
        <w:t>；</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3. 投标方协助采购</w:t>
      </w:r>
      <w:r>
        <w:rPr>
          <w:rFonts w:hint="eastAsia" w:ascii="宋体" w:hAnsi="宋体" w:cs="宋体"/>
          <w:sz w:val="28"/>
          <w:szCs w:val="28"/>
          <w:lang w:val="en-US" w:eastAsia="zh-CN"/>
        </w:rPr>
        <w:t>方</w:t>
      </w:r>
      <w:r>
        <w:rPr>
          <w:rFonts w:hint="eastAsia" w:ascii="宋体" w:hAnsi="宋体" w:cs="宋体"/>
          <w:sz w:val="28"/>
          <w:szCs w:val="28"/>
        </w:rPr>
        <w:t>进行教育教学安排，协助授课教师完成教学资料的整理、教材预定、课后作业的收集、整理以及课后教学评估、教学后勤保障等工作；</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4. 投标方按照采购</w:t>
      </w:r>
      <w:r>
        <w:rPr>
          <w:rFonts w:hint="eastAsia" w:ascii="宋体" w:hAnsi="宋体" w:cs="宋体"/>
          <w:sz w:val="28"/>
          <w:szCs w:val="28"/>
          <w:lang w:val="en-US" w:eastAsia="zh-CN"/>
        </w:rPr>
        <w:t>方</w:t>
      </w:r>
      <w:r>
        <w:rPr>
          <w:rFonts w:hint="eastAsia" w:ascii="宋体" w:hAnsi="宋体" w:cs="宋体"/>
          <w:sz w:val="28"/>
          <w:szCs w:val="28"/>
        </w:rPr>
        <w:t>要求选择合适的授课场地并负责场地的布置与安排，配备的教学设备包括但不限于电脑设备、投影仪、麦克风等，配备专职教学辅助人员，做好授课教师的接待和食宿安排，保证教学活动的顺利进行；</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5. 投标方协助采购</w:t>
      </w:r>
      <w:r>
        <w:rPr>
          <w:rFonts w:hint="eastAsia" w:ascii="宋体" w:hAnsi="宋体" w:cs="宋体"/>
          <w:sz w:val="28"/>
          <w:szCs w:val="28"/>
          <w:lang w:val="en-US" w:eastAsia="zh-CN"/>
        </w:rPr>
        <w:t>方</w:t>
      </w:r>
      <w:r>
        <w:rPr>
          <w:rFonts w:hint="eastAsia" w:ascii="宋体" w:hAnsi="宋体" w:cs="宋体"/>
          <w:sz w:val="28"/>
          <w:szCs w:val="28"/>
        </w:rPr>
        <w:t>督促学生完成培养计划各教学环节的学习，完成考试等工作的协调服务；督促学生完成论文开题、中期考核、回校答辩等任务，督促学生按期毕业；</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6. 投标方负责做好学生思政、班级建设、学生管理及开学和毕业典礼等工作，完成学生学籍信息采集、资料发放、各类统考组织、出国选拔和评优评奖等工作；</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7. 投标方协助采购</w:t>
      </w:r>
      <w:r>
        <w:rPr>
          <w:rFonts w:hint="eastAsia" w:ascii="宋体" w:hAnsi="宋体" w:cs="宋体"/>
          <w:sz w:val="28"/>
          <w:szCs w:val="28"/>
          <w:lang w:val="en-US" w:eastAsia="zh-CN"/>
        </w:rPr>
        <w:t>方</w:t>
      </w:r>
      <w:r>
        <w:rPr>
          <w:rFonts w:hint="eastAsia" w:ascii="宋体" w:hAnsi="宋体" w:cs="宋体"/>
          <w:sz w:val="28"/>
          <w:szCs w:val="28"/>
        </w:rPr>
        <w:t>完成实习实践课程并对学生实践过程进行监督，协助采购</w:t>
      </w:r>
      <w:r>
        <w:rPr>
          <w:rFonts w:hint="eastAsia" w:ascii="宋体" w:hAnsi="宋体" w:cs="宋体"/>
          <w:sz w:val="28"/>
          <w:szCs w:val="28"/>
          <w:lang w:val="en-US" w:eastAsia="zh-CN"/>
        </w:rPr>
        <w:t>方</w:t>
      </w:r>
      <w:r>
        <w:rPr>
          <w:rFonts w:hint="eastAsia" w:ascii="宋体" w:hAnsi="宋体" w:cs="宋体"/>
          <w:sz w:val="28"/>
          <w:szCs w:val="28"/>
        </w:rPr>
        <w:t>开发学生实习实践基地，按采购</w:t>
      </w:r>
      <w:r>
        <w:rPr>
          <w:rFonts w:hint="eastAsia" w:ascii="宋体" w:hAnsi="宋体" w:cs="宋体"/>
          <w:sz w:val="28"/>
          <w:szCs w:val="28"/>
          <w:lang w:val="en-US" w:eastAsia="zh-CN"/>
        </w:rPr>
        <w:t>方</w:t>
      </w:r>
      <w:r>
        <w:rPr>
          <w:rFonts w:hint="eastAsia" w:ascii="宋体" w:hAnsi="宋体" w:cs="宋体"/>
          <w:sz w:val="28"/>
          <w:szCs w:val="28"/>
        </w:rPr>
        <w:t>要求推荐当地有影响力的企业家作为校外导师人选，并协助做好考察及管理工作；</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8. 投标方协助采购</w:t>
      </w:r>
      <w:r>
        <w:rPr>
          <w:rFonts w:hint="eastAsia" w:ascii="宋体" w:hAnsi="宋体" w:cs="宋体"/>
          <w:sz w:val="28"/>
          <w:szCs w:val="28"/>
          <w:lang w:val="en-US" w:eastAsia="zh-CN"/>
        </w:rPr>
        <w:t>方</w:t>
      </w:r>
      <w:r>
        <w:rPr>
          <w:rFonts w:hint="eastAsia" w:ascii="宋体" w:hAnsi="宋体" w:cs="宋体"/>
          <w:sz w:val="28"/>
          <w:szCs w:val="28"/>
        </w:rPr>
        <w:t>做好各类型评估、认证所需的工作，及时提供所需要的材料；</w:t>
      </w:r>
    </w:p>
    <w:p>
      <w:pPr>
        <w:widowControl/>
        <w:adjustRightInd w:val="0"/>
        <w:snapToGrid w:val="0"/>
        <w:spacing w:before="156" w:beforeLines="50"/>
        <w:ind w:firstLine="560" w:firstLineChars="200"/>
        <w:jc w:val="left"/>
        <w:textAlignment w:val="baseline"/>
      </w:pPr>
      <w:r>
        <w:rPr>
          <w:rFonts w:hint="eastAsia" w:ascii="宋体" w:hAnsi="宋体" w:cs="宋体"/>
          <w:sz w:val="28"/>
          <w:szCs w:val="28"/>
        </w:rPr>
        <w:t>9. 投标方应积极组织各类学生活动并通过网站进行及时报道；定期开展校友活动，跟踪报道优秀</w:t>
      </w:r>
      <w:r>
        <w:rPr>
          <w:rFonts w:ascii="宋体" w:hAnsi="宋体" w:cs="宋体"/>
          <w:sz w:val="28"/>
          <w:szCs w:val="28"/>
        </w:rPr>
        <w:t>校</w:t>
      </w:r>
      <w:r>
        <w:rPr>
          <w:rFonts w:hint="eastAsia" w:ascii="宋体" w:hAnsi="宋体" w:cs="宋体"/>
          <w:sz w:val="28"/>
          <w:szCs w:val="28"/>
        </w:rPr>
        <w:t>友事迹；</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10.在学生最长学习期限内（最长服务期内），协助为学生提供教育教学有关服务；</w:t>
      </w:r>
    </w:p>
    <w:p>
      <w:pPr>
        <w:widowControl/>
        <w:adjustRightInd w:val="0"/>
        <w:snapToGrid w:val="0"/>
        <w:spacing w:before="156" w:beforeLines="50"/>
        <w:ind w:firstLine="560" w:firstLineChars="200"/>
        <w:jc w:val="left"/>
        <w:textAlignment w:val="baseline"/>
        <w:rPr>
          <w:rFonts w:ascii="宋体" w:hAnsi="宋体" w:cs="宋体"/>
          <w:b/>
          <w:sz w:val="28"/>
          <w:szCs w:val="28"/>
        </w:rPr>
      </w:pPr>
      <w:r>
        <w:rPr>
          <w:rFonts w:hint="eastAsia" w:ascii="宋体" w:hAnsi="宋体" w:cs="宋体"/>
          <w:sz w:val="28"/>
          <w:szCs w:val="28"/>
        </w:rPr>
        <w:t>11. 投标方须接受采购</w:t>
      </w:r>
      <w:r>
        <w:rPr>
          <w:rFonts w:hint="eastAsia" w:ascii="宋体" w:hAnsi="宋体" w:cs="宋体"/>
          <w:sz w:val="28"/>
          <w:szCs w:val="28"/>
          <w:lang w:val="en-US" w:eastAsia="zh-CN"/>
        </w:rPr>
        <w:t>方</w:t>
      </w:r>
      <w:r>
        <w:rPr>
          <w:rFonts w:hint="eastAsia" w:ascii="宋体" w:hAnsi="宋体" w:cs="宋体"/>
          <w:sz w:val="28"/>
          <w:szCs w:val="28"/>
        </w:rPr>
        <w:t>对以上各项服务质量、效能的监管及评估，并提供过程记录和相关质量报告。</w:t>
      </w:r>
    </w:p>
    <w:p>
      <w:pPr>
        <w:widowControl/>
        <w:adjustRightInd w:val="0"/>
        <w:snapToGrid w:val="0"/>
        <w:spacing w:before="156" w:beforeLines="50"/>
        <w:ind w:firstLine="562" w:firstLineChars="200"/>
        <w:jc w:val="left"/>
        <w:textAlignment w:val="baseline"/>
        <w:rPr>
          <w:rFonts w:ascii="宋体" w:hAnsi="宋体" w:cs="宋体"/>
          <w:b/>
          <w:bCs/>
          <w:sz w:val="28"/>
          <w:szCs w:val="28"/>
        </w:rPr>
      </w:pPr>
      <w:r>
        <w:rPr>
          <w:rFonts w:hint="eastAsia" w:ascii="宋体" w:hAnsi="宋体" w:cs="宋体"/>
          <w:b/>
          <w:bCs/>
          <w:sz w:val="28"/>
          <w:szCs w:val="28"/>
        </w:rPr>
        <w:t>（二）服务实施要求</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1.项目实施总体进度要求</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中标公司签订合同时根据采购</w:t>
      </w:r>
      <w:r>
        <w:rPr>
          <w:rFonts w:hint="eastAsia" w:ascii="宋体" w:hAnsi="宋体" w:cs="宋体"/>
          <w:sz w:val="28"/>
          <w:szCs w:val="28"/>
          <w:lang w:val="en-US" w:eastAsia="zh-CN"/>
        </w:rPr>
        <w:t>方</w:t>
      </w:r>
      <w:r>
        <w:rPr>
          <w:rFonts w:hint="eastAsia" w:ascii="宋体" w:hAnsi="宋体" w:cs="宋体"/>
          <w:sz w:val="28"/>
          <w:szCs w:val="28"/>
        </w:rPr>
        <w:t>的要求，制定服务计划及资源保障计划，并按计划实施。</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2.项目团队要求</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中标公司应建立专业的项目宣传推广和教学辅助服务人员队伍，包括项目负责人、项目宣传推广专员、项目教学管理专员、项目学生管理人员等。团队规模至少5人及以上，需提供用工合同和社保证明。项目服务主要负责人在本项目中的岗位职责及管理权限清晰，并配备经验丰富的项目服务业务人员承担本项目工作。中标公司应定期对其工作人员进行党建思政、法律法规、教学规范、班级组织建设等相关的培训。</w:t>
      </w:r>
    </w:p>
    <w:p>
      <w:pPr>
        <w:widowControl/>
        <w:numPr>
          <w:ilvl w:val="255"/>
          <w:numId w:val="0"/>
        </w:numPr>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3.服务管理要求</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1）中标公司应严格执行《中华人民共和国民法典》、《中华人民共和国劳动合同法》及服务所在地最低工资标准等相关法律、法规并依法与服务人员签订劳动合同，并办理各种用工手续。如因用工不当，给采购</w:t>
      </w:r>
      <w:r>
        <w:rPr>
          <w:rFonts w:hint="eastAsia" w:ascii="宋体" w:hAnsi="宋体" w:cs="宋体"/>
          <w:sz w:val="28"/>
          <w:szCs w:val="28"/>
          <w:lang w:val="en-US" w:eastAsia="zh-CN"/>
        </w:rPr>
        <w:t>方</w:t>
      </w:r>
      <w:r>
        <w:rPr>
          <w:rFonts w:hint="eastAsia" w:ascii="宋体" w:hAnsi="宋体" w:cs="宋体"/>
          <w:sz w:val="28"/>
          <w:szCs w:val="28"/>
        </w:rPr>
        <w:t>及服务人员造成的损失应由中标公司承担（中标公司应提供承诺函进行响应，格式自拟）；</w:t>
      </w:r>
    </w:p>
    <w:p>
      <w:pPr>
        <w:widowControl/>
        <w:numPr>
          <w:ilvl w:val="255"/>
          <w:numId w:val="0"/>
        </w:numPr>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（2）中标公司从业人员在服务期间发生伤亡事故，或在服务过程中造成第三人伤亡的，责任由中标公司承担（中标公司应提供承诺函进行响应，格式自拟）；</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（3）中标公司应制定详细的服务实施方案文本，并根据采购</w:t>
      </w:r>
      <w:r>
        <w:rPr>
          <w:rFonts w:hint="eastAsia" w:ascii="宋体" w:hAnsi="宋体" w:cs="宋体"/>
          <w:sz w:val="28"/>
          <w:szCs w:val="28"/>
          <w:lang w:val="en-US" w:eastAsia="zh-CN"/>
        </w:rPr>
        <w:t>方</w:t>
      </w:r>
      <w:r>
        <w:rPr>
          <w:rFonts w:hint="eastAsia" w:ascii="宋体" w:hAnsi="宋体" w:cs="宋体"/>
          <w:sz w:val="28"/>
          <w:szCs w:val="28"/>
        </w:rPr>
        <w:t>要求开展项目宣传推广及辅助教学服务等工作；</w:t>
      </w:r>
    </w:p>
    <w:p>
      <w:pPr>
        <w:widowControl/>
        <w:numPr>
          <w:ilvl w:val="255"/>
          <w:numId w:val="0"/>
        </w:numPr>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（4）中标公司需在合同签署10个工作日内向采购</w:t>
      </w:r>
      <w:r>
        <w:rPr>
          <w:rFonts w:hint="eastAsia" w:ascii="宋体" w:hAnsi="宋体" w:cs="宋体"/>
          <w:sz w:val="28"/>
          <w:szCs w:val="28"/>
          <w:lang w:val="en-US" w:eastAsia="zh-CN"/>
        </w:rPr>
        <w:t>方</w:t>
      </w:r>
      <w:r>
        <w:rPr>
          <w:rFonts w:hint="eastAsia" w:ascii="宋体" w:hAnsi="宋体" w:cs="宋体"/>
          <w:sz w:val="28"/>
          <w:szCs w:val="28"/>
        </w:rPr>
        <w:t>缴纳20万元履约保证金。采购</w:t>
      </w:r>
      <w:r>
        <w:rPr>
          <w:rFonts w:hint="eastAsia" w:ascii="宋体" w:hAnsi="宋体" w:cs="宋体"/>
          <w:sz w:val="28"/>
          <w:szCs w:val="28"/>
          <w:lang w:val="en-US" w:eastAsia="zh-CN"/>
        </w:rPr>
        <w:t>方</w:t>
      </w:r>
      <w:r>
        <w:rPr>
          <w:rFonts w:hint="eastAsia" w:ascii="宋体" w:hAnsi="宋体" w:cs="宋体"/>
          <w:sz w:val="28"/>
          <w:szCs w:val="28"/>
        </w:rPr>
        <w:t>为中标公司开具履约保证金收据。中标公司如有违规行为时，采购</w:t>
      </w:r>
      <w:r>
        <w:rPr>
          <w:rFonts w:hint="eastAsia" w:ascii="宋体" w:hAnsi="宋体" w:cs="宋体"/>
          <w:sz w:val="28"/>
          <w:szCs w:val="28"/>
          <w:lang w:val="en-US" w:eastAsia="zh-CN"/>
        </w:rPr>
        <w:t>方</w:t>
      </w:r>
      <w:r>
        <w:rPr>
          <w:rFonts w:hint="eastAsia" w:ascii="宋体" w:hAnsi="宋体" w:cs="宋体"/>
          <w:sz w:val="28"/>
          <w:szCs w:val="28"/>
        </w:rPr>
        <w:t>有权从其履约保证金中扣除一定金额，作为损失赔偿。合同期满后，双方核算履约保证金剩余金额，并无息退还中标公司；</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（5）中标公司制作的宣传资料及项目宣传渠道须经采购</w:t>
      </w:r>
      <w:r>
        <w:rPr>
          <w:rFonts w:hint="eastAsia" w:ascii="宋体" w:hAnsi="宋体" w:cs="宋体"/>
          <w:sz w:val="28"/>
          <w:szCs w:val="28"/>
          <w:lang w:val="en-US" w:eastAsia="zh-CN"/>
        </w:rPr>
        <w:t>方</w:t>
      </w:r>
      <w:r>
        <w:rPr>
          <w:rFonts w:hint="eastAsia" w:ascii="宋体" w:hAnsi="宋体" w:cs="宋体"/>
          <w:sz w:val="28"/>
          <w:szCs w:val="28"/>
        </w:rPr>
        <w:t>审核后方可实施；</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（6）在履约过程中，如中标公司所提供服务未达到约定服务成效，影响项目的服务质量，采购</w:t>
      </w:r>
      <w:r>
        <w:rPr>
          <w:rFonts w:hint="eastAsia" w:ascii="宋体" w:hAnsi="宋体" w:cs="宋体"/>
          <w:sz w:val="28"/>
          <w:szCs w:val="28"/>
          <w:lang w:val="en-US" w:eastAsia="zh-CN"/>
        </w:rPr>
        <w:t>方</w:t>
      </w:r>
      <w:r>
        <w:rPr>
          <w:rFonts w:hint="eastAsia" w:ascii="宋体" w:hAnsi="宋体" w:cs="宋体"/>
          <w:sz w:val="28"/>
          <w:szCs w:val="28"/>
        </w:rPr>
        <w:t>可随时解除合同；</w:t>
      </w:r>
    </w:p>
    <w:p>
      <w:pPr>
        <w:adjustRightInd w:val="0"/>
        <w:snapToGrid w:val="0"/>
        <w:spacing w:before="156" w:beforeLines="50"/>
        <w:ind w:firstLine="560" w:firstLineChars="200"/>
        <w:textAlignment w:val="baseline"/>
        <w:rPr>
          <w:rFonts w:ascii="宋体" w:hAnsi="宋体" w:cs="宋体"/>
          <w:sz w:val="28"/>
          <w:szCs w:val="28"/>
        </w:rPr>
      </w:pPr>
      <w:r>
        <w:rPr>
          <w:rFonts w:hint="eastAsia" w:ascii="宋体" w:hAnsi="宋体" w:cs="宋体"/>
          <w:sz w:val="28"/>
          <w:szCs w:val="28"/>
        </w:rPr>
        <w:t>（7）中标公司应定期及时向采购</w:t>
      </w:r>
      <w:r>
        <w:rPr>
          <w:rFonts w:hint="eastAsia" w:ascii="宋体" w:hAnsi="宋体" w:cs="宋体"/>
          <w:sz w:val="28"/>
          <w:szCs w:val="28"/>
          <w:lang w:val="en-US" w:eastAsia="zh-CN"/>
        </w:rPr>
        <w:t>方</w:t>
      </w:r>
      <w:r>
        <w:rPr>
          <w:rFonts w:hint="eastAsia" w:ascii="宋体" w:hAnsi="宋体" w:cs="宋体"/>
          <w:sz w:val="28"/>
          <w:szCs w:val="28"/>
        </w:rPr>
        <w:t>通告相关的重大事项及进展情况。在服务期间内，采购</w:t>
      </w:r>
      <w:r>
        <w:rPr>
          <w:rFonts w:hint="eastAsia" w:ascii="宋体" w:hAnsi="宋体" w:cs="宋体"/>
          <w:sz w:val="28"/>
          <w:szCs w:val="28"/>
          <w:lang w:val="en-US" w:eastAsia="zh-CN"/>
        </w:rPr>
        <w:t>方</w:t>
      </w:r>
      <w:r>
        <w:rPr>
          <w:rFonts w:hint="eastAsia" w:ascii="宋体" w:hAnsi="宋体" w:cs="宋体"/>
          <w:sz w:val="28"/>
          <w:szCs w:val="28"/>
        </w:rPr>
        <w:t>对中标公司所提供的服务内容和服务质量进行定期考核，如考核不合格，采购</w:t>
      </w:r>
      <w:r>
        <w:rPr>
          <w:rFonts w:hint="eastAsia" w:ascii="宋体" w:hAnsi="宋体" w:cs="宋体"/>
          <w:sz w:val="28"/>
          <w:szCs w:val="28"/>
          <w:lang w:val="en-US" w:eastAsia="zh-CN"/>
        </w:rPr>
        <w:t>方</w:t>
      </w:r>
      <w:r>
        <w:rPr>
          <w:rFonts w:hint="eastAsia" w:ascii="宋体" w:hAnsi="宋体" w:cs="宋体"/>
          <w:sz w:val="28"/>
          <w:szCs w:val="28"/>
        </w:rPr>
        <w:t>有权立即终止合同；</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（8）中标公司接受项目行业管理部门及政府有关部门的指导，接受采购</w:t>
      </w:r>
      <w:r>
        <w:rPr>
          <w:rFonts w:hint="eastAsia" w:ascii="宋体" w:hAnsi="宋体" w:cs="宋体"/>
          <w:sz w:val="28"/>
          <w:szCs w:val="28"/>
          <w:lang w:val="en-US" w:eastAsia="zh-CN"/>
        </w:rPr>
        <w:t>方</w:t>
      </w:r>
      <w:r>
        <w:rPr>
          <w:rFonts w:hint="eastAsia" w:ascii="宋体" w:hAnsi="宋体" w:cs="宋体"/>
          <w:sz w:val="28"/>
          <w:szCs w:val="28"/>
        </w:rPr>
        <w:t>的监督；</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（9）如上级主管部门关于专业学位办学的政策发生变化，服务内容以上级部门发布的最新政策为准（中标公司应提供承诺函进行响应，格式自拟）。</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（三）服务承诺</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1.本项目的学费统一定价，并由西安交通大学负责统一收取学生的学费。中标公司不得擅自收费或更改费用数额，亦不得篡改收款账户信息；</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2.根据采购</w:t>
      </w:r>
      <w:r>
        <w:rPr>
          <w:rFonts w:hint="eastAsia" w:ascii="宋体" w:hAnsi="宋体" w:cs="宋体"/>
          <w:sz w:val="28"/>
          <w:szCs w:val="28"/>
          <w:lang w:val="en-US" w:eastAsia="zh-CN"/>
        </w:rPr>
        <w:t>方</w:t>
      </w:r>
      <w:r>
        <w:rPr>
          <w:rFonts w:hint="eastAsia" w:ascii="宋体" w:hAnsi="宋体" w:cs="宋体"/>
          <w:sz w:val="28"/>
          <w:szCs w:val="28"/>
        </w:rPr>
        <w:t>的项目管理要求和时间进度安排，在规定的时间内完成当年年度意向学生的挖掘，并使报考人数及录取人数达到规定要求；</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3.服务提供过程中，中标公司需保证市场宣传推广及教学服务过程中给学生所提供的所有相关信息与采购</w:t>
      </w:r>
      <w:r>
        <w:rPr>
          <w:rFonts w:hint="eastAsia" w:ascii="宋体" w:hAnsi="宋体" w:cs="宋体"/>
          <w:sz w:val="28"/>
          <w:szCs w:val="28"/>
          <w:lang w:val="en-US" w:eastAsia="zh-CN"/>
        </w:rPr>
        <w:t>方</w:t>
      </w:r>
      <w:r>
        <w:rPr>
          <w:rFonts w:hint="eastAsia" w:ascii="宋体" w:hAnsi="宋体" w:cs="宋体"/>
          <w:sz w:val="28"/>
          <w:szCs w:val="28"/>
        </w:rPr>
        <w:t>提供的信息完全一致。如因中标公司传达的信息有错误、不准确、不完整，给采购</w:t>
      </w:r>
      <w:r>
        <w:rPr>
          <w:rFonts w:hint="eastAsia" w:ascii="宋体" w:hAnsi="宋体" w:cs="宋体"/>
          <w:sz w:val="28"/>
          <w:szCs w:val="28"/>
          <w:lang w:val="en-US" w:eastAsia="zh-CN"/>
        </w:rPr>
        <w:t>方</w:t>
      </w:r>
      <w:r>
        <w:rPr>
          <w:rFonts w:hint="eastAsia" w:ascii="宋体" w:hAnsi="宋体" w:cs="宋体"/>
          <w:sz w:val="28"/>
          <w:szCs w:val="28"/>
        </w:rPr>
        <w:t>造成名誉、形象、经济、知识产权等方面损失，采购</w:t>
      </w:r>
      <w:r>
        <w:rPr>
          <w:rFonts w:hint="eastAsia" w:ascii="宋体" w:hAnsi="宋体" w:cs="宋体"/>
          <w:sz w:val="28"/>
          <w:szCs w:val="28"/>
          <w:lang w:val="en-US" w:eastAsia="zh-CN"/>
        </w:rPr>
        <w:t>方</w:t>
      </w:r>
      <w:r>
        <w:rPr>
          <w:rFonts w:hint="eastAsia" w:ascii="宋体" w:hAnsi="宋体" w:cs="宋体"/>
          <w:sz w:val="28"/>
          <w:szCs w:val="28"/>
        </w:rPr>
        <w:t>有权单方终止协议，并要求中标公司赔偿相应损失；</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4.中标公司只能为采购</w:t>
      </w:r>
      <w:r>
        <w:rPr>
          <w:rFonts w:hint="eastAsia" w:ascii="宋体" w:hAnsi="宋体" w:cs="宋体"/>
          <w:sz w:val="28"/>
          <w:szCs w:val="28"/>
          <w:lang w:val="en-US" w:eastAsia="zh-CN"/>
        </w:rPr>
        <w:t>方</w:t>
      </w:r>
      <w:r>
        <w:rPr>
          <w:rFonts w:hint="eastAsia" w:ascii="宋体" w:hAnsi="宋体" w:cs="宋体"/>
          <w:sz w:val="28"/>
          <w:szCs w:val="28"/>
        </w:rPr>
        <w:t>提供专业学位教育服务，不得以任何方式与其他单位（包括高校）开展与本项目相同或相似的任何培训、经营和服务。如中标公司已与其他单位建立与本项目专业相同或相似的合作关系，中标后应将这些服务合同在采购</w:t>
      </w:r>
      <w:r>
        <w:rPr>
          <w:rFonts w:hint="eastAsia" w:ascii="宋体" w:hAnsi="宋体" w:cs="宋体"/>
          <w:sz w:val="28"/>
          <w:szCs w:val="28"/>
          <w:lang w:val="en-US" w:eastAsia="zh-CN"/>
        </w:rPr>
        <w:t>方</w:t>
      </w:r>
      <w:r>
        <w:rPr>
          <w:rFonts w:hint="eastAsia" w:ascii="宋体" w:hAnsi="宋体" w:cs="宋体"/>
          <w:sz w:val="28"/>
          <w:szCs w:val="28"/>
        </w:rPr>
        <w:t>处备案，并在与其他单位有关合同服务期满后终止服务关系。否则，采购</w:t>
      </w:r>
      <w:r>
        <w:rPr>
          <w:rFonts w:hint="eastAsia" w:ascii="宋体" w:hAnsi="宋体" w:cs="宋体"/>
          <w:sz w:val="28"/>
          <w:szCs w:val="28"/>
          <w:lang w:val="en-US" w:eastAsia="zh-CN"/>
        </w:rPr>
        <w:t>方</w:t>
      </w:r>
      <w:r>
        <w:rPr>
          <w:rFonts w:hint="eastAsia" w:ascii="宋体" w:hAnsi="宋体" w:cs="宋体"/>
          <w:sz w:val="28"/>
          <w:szCs w:val="28"/>
        </w:rPr>
        <w:t>有权终止已签署的合同；</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5.中标公司应釆用合理的方式和必要的举措来保护项目相关的学生信息及教学资料的安全，保证相关信息不被窃取、损害或在未授权的条件下被使用；</w:t>
      </w:r>
    </w:p>
    <w:p>
      <w:pPr>
        <w:widowControl/>
        <w:adjustRightInd w:val="0"/>
        <w:snapToGrid w:val="0"/>
        <w:spacing w:before="156" w:beforeLines="50"/>
        <w:ind w:firstLine="560" w:firstLineChars="200"/>
        <w:jc w:val="left"/>
        <w:textAlignment w:val="baseline"/>
        <w:rPr>
          <w:rFonts w:ascii="宋体" w:hAnsi="宋体" w:cs="宋体"/>
          <w:sz w:val="28"/>
          <w:szCs w:val="28"/>
        </w:rPr>
      </w:pPr>
      <w:r>
        <w:rPr>
          <w:rFonts w:hint="eastAsia" w:ascii="宋体" w:hAnsi="宋体" w:cs="宋体"/>
          <w:sz w:val="28"/>
          <w:szCs w:val="28"/>
        </w:rPr>
        <w:t>6.中标公司在项目进行中按照合同履行相关责任，将涉及本项目的所有内部资料、技术文档、数据和信息保存完整，记录清晰，并予以保密，维护采购</w:t>
      </w:r>
      <w:r>
        <w:rPr>
          <w:rFonts w:hint="eastAsia" w:ascii="宋体" w:hAnsi="宋体" w:cs="宋体"/>
          <w:sz w:val="28"/>
          <w:szCs w:val="28"/>
          <w:lang w:val="en-US" w:eastAsia="zh-CN"/>
        </w:rPr>
        <w:t>方</w:t>
      </w:r>
      <w:r>
        <w:rPr>
          <w:rFonts w:hint="eastAsia" w:ascii="宋体" w:hAnsi="宋体" w:cs="宋体"/>
          <w:sz w:val="28"/>
          <w:szCs w:val="28"/>
        </w:rPr>
        <w:t>的品牌声誉。</w:t>
      </w:r>
    </w:p>
    <w:p>
      <w:pPr>
        <w:numPr>
          <w:ilvl w:val="0"/>
          <w:numId w:val="1"/>
        </w:num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采购标的需满足的服务保障要求</w:t>
      </w:r>
    </w:p>
    <w:p>
      <w:p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1.服务保障期：项目学制为三年，每一级学生在校学习时间为三年。三年合同期结束之后，如有学生因故未能按计划完成学业，中标公司需继续提供相关服务至学生毕业为止。</w:t>
      </w:r>
    </w:p>
    <w:p>
      <w:pPr>
        <w:adjustRightInd w:val="0"/>
        <w:snapToGrid w:val="0"/>
        <w:spacing w:before="156" w:beforeLines="50"/>
        <w:ind w:firstLine="560" w:firstLineChars="200"/>
        <w:rPr>
          <w:rFonts w:ascii="宋体" w:hAnsi="宋体" w:cs="宋体"/>
          <w:sz w:val="28"/>
          <w:szCs w:val="28"/>
          <w:lang w:bidi="ar"/>
        </w:rPr>
      </w:pPr>
      <w:r>
        <w:rPr>
          <w:rFonts w:hint="eastAsia" w:ascii="宋体" w:hAnsi="宋体" w:cs="宋体"/>
          <w:sz w:val="28"/>
          <w:szCs w:val="28"/>
        </w:rPr>
        <w:t>2.服务响应时间：成立售后服务小组，保障提供7*24小时服务。</w:t>
      </w:r>
      <w:r>
        <w:rPr>
          <w:rFonts w:hint="eastAsia" w:ascii="宋体" w:hAnsi="宋体" w:cs="宋体"/>
          <w:sz w:val="28"/>
          <w:szCs w:val="28"/>
          <w:lang w:bidi="ar"/>
        </w:rPr>
        <w:t>在服务期内全力配合采购</w:t>
      </w:r>
      <w:r>
        <w:rPr>
          <w:rFonts w:hint="eastAsia" w:ascii="宋体" w:hAnsi="宋体" w:cs="宋体"/>
          <w:sz w:val="28"/>
          <w:szCs w:val="28"/>
          <w:lang w:val="en-US" w:eastAsia="zh-CN"/>
        </w:rPr>
        <w:t>方</w:t>
      </w:r>
      <w:r>
        <w:rPr>
          <w:rFonts w:hint="eastAsia" w:ascii="宋体" w:hAnsi="宋体" w:cs="宋体"/>
          <w:sz w:val="28"/>
          <w:szCs w:val="28"/>
          <w:lang w:bidi="ar"/>
        </w:rPr>
        <w:t>要求，在接到通知后2小时内响应，如有需要应在 24 小时内派遣项目负责人前往采购</w:t>
      </w:r>
      <w:r>
        <w:rPr>
          <w:rFonts w:hint="eastAsia" w:ascii="宋体" w:hAnsi="宋体" w:cs="宋体"/>
          <w:sz w:val="28"/>
          <w:szCs w:val="28"/>
          <w:lang w:val="en-US" w:eastAsia="zh-CN"/>
        </w:rPr>
        <w:t>方</w:t>
      </w:r>
      <w:r>
        <w:rPr>
          <w:rFonts w:hint="eastAsia" w:ascii="宋体" w:hAnsi="宋体" w:cs="宋体"/>
          <w:sz w:val="28"/>
          <w:szCs w:val="28"/>
          <w:lang w:bidi="ar"/>
        </w:rPr>
        <w:t>指定地点协商相关事宜。</w:t>
      </w:r>
    </w:p>
    <w:p>
      <w:pPr>
        <w:tabs>
          <w:tab w:val="left" w:pos="900"/>
        </w:tabs>
        <w:adjustRightInd w:val="0"/>
        <w:snapToGrid w:val="0"/>
        <w:spacing w:before="156" w:beforeLines="50"/>
        <w:ind w:firstLine="562" w:firstLineChars="200"/>
        <w:rPr>
          <w:rFonts w:ascii="宋体" w:hAnsi="宋体" w:cs="宋体"/>
          <w:b/>
          <w:sz w:val="28"/>
          <w:szCs w:val="28"/>
        </w:rPr>
      </w:pPr>
      <w:r>
        <w:rPr>
          <w:rFonts w:hint="eastAsia" w:ascii="宋体" w:hAnsi="宋体" w:cs="宋体"/>
          <w:b/>
          <w:sz w:val="28"/>
          <w:szCs w:val="28"/>
        </w:rPr>
        <w:t>六、评分标准</w:t>
      </w:r>
    </w:p>
    <w:tbl>
      <w:tblPr>
        <w:tblStyle w:val="11"/>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073"/>
        <w:gridCol w:w="866"/>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79" w:type="dxa"/>
            <w:vAlign w:val="center"/>
          </w:tcPr>
          <w:p>
            <w:pPr>
              <w:adjustRightInd w:val="0"/>
              <w:snapToGrid w:val="0"/>
              <w:jc w:val="center"/>
              <w:rPr>
                <w:rFonts w:ascii="宋体" w:hAnsi="宋体" w:cs="宋体"/>
                <w:sz w:val="24"/>
                <w:szCs w:val="24"/>
              </w:rPr>
            </w:pPr>
            <w:r>
              <w:rPr>
                <w:rFonts w:hint="eastAsia" w:ascii="宋体" w:hAnsi="宋体" w:cs="宋体"/>
                <w:sz w:val="24"/>
                <w:szCs w:val="24"/>
              </w:rPr>
              <w:t>序号</w:t>
            </w:r>
          </w:p>
        </w:tc>
        <w:tc>
          <w:tcPr>
            <w:tcW w:w="1073" w:type="dxa"/>
            <w:vAlign w:val="center"/>
          </w:tcPr>
          <w:p>
            <w:pPr>
              <w:adjustRightInd w:val="0"/>
              <w:snapToGrid w:val="0"/>
              <w:jc w:val="center"/>
              <w:rPr>
                <w:rFonts w:ascii="宋体" w:hAnsi="宋体" w:cs="宋体"/>
                <w:sz w:val="24"/>
                <w:szCs w:val="24"/>
              </w:rPr>
            </w:pPr>
            <w:r>
              <w:rPr>
                <w:rFonts w:hint="eastAsia" w:ascii="宋体" w:hAnsi="宋体" w:cs="宋体"/>
                <w:sz w:val="24"/>
                <w:szCs w:val="24"/>
              </w:rPr>
              <w:t>评分因素及权重</w:t>
            </w:r>
          </w:p>
        </w:tc>
        <w:tc>
          <w:tcPr>
            <w:tcW w:w="866" w:type="dxa"/>
            <w:vAlign w:val="center"/>
          </w:tcPr>
          <w:p>
            <w:pPr>
              <w:adjustRightInd w:val="0"/>
              <w:snapToGrid w:val="0"/>
              <w:jc w:val="center"/>
              <w:rPr>
                <w:rFonts w:ascii="宋体" w:hAnsi="宋体" w:cs="宋体"/>
                <w:sz w:val="24"/>
                <w:szCs w:val="24"/>
              </w:rPr>
            </w:pPr>
            <w:r>
              <w:rPr>
                <w:rFonts w:hint="eastAsia" w:ascii="宋体" w:hAnsi="宋体" w:cs="宋体"/>
                <w:sz w:val="24"/>
                <w:szCs w:val="24"/>
              </w:rPr>
              <w:t>分值</w:t>
            </w:r>
          </w:p>
        </w:tc>
        <w:tc>
          <w:tcPr>
            <w:tcW w:w="6900" w:type="dxa"/>
            <w:vAlign w:val="center"/>
          </w:tcPr>
          <w:p>
            <w:pPr>
              <w:adjustRightInd w:val="0"/>
              <w:snapToGrid w:val="0"/>
              <w:jc w:val="center"/>
              <w:rPr>
                <w:rFonts w:ascii="宋体" w:hAnsi="宋体" w:cs="宋体"/>
                <w:sz w:val="24"/>
                <w:szCs w:val="24"/>
              </w:rPr>
            </w:pPr>
            <w:r>
              <w:rPr>
                <w:rFonts w:hint="eastAsia" w:ascii="宋体" w:hAnsi="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0" w:hRule="atLeast"/>
          <w:jc w:val="center"/>
        </w:trPr>
        <w:tc>
          <w:tcPr>
            <w:tcW w:w="479" w:type="dxa"/>
            <w:vAlign w:val="center"/>
          </w:tcPr>
          <w:p>
            <w:pPr>
              <w:adjustRightInd w:val="0"/>
              <w:snapToGrid w:val="0"/>
              <w:jc w:val="center"/>
              <w:rPr>
                <w:rFonts w:ascii="宋体" w:hAnsi="宋体" w:cs="宋体"/>
                <w:sz w:val="24"/>
                <w:szCs w:val="24"/>
              </w:rPr>
            </w:pPr>
            <w:r>
              <w:rPr>
                <w:rFonts w:hint="eastAsia" w:ascii="宋体" w:hAnsi="宋体" w:cs="宋体"/>
                <w:sz w:val="24"/>
                <w:szCs w:val="24"/>
              </w:rPr>
              <w:t>1</w:t>
            </w:r>
          </w:p>
        </w:tc>
        <w:tc>
          <w:tcPr>
            <w:tcW w:w="1073" w:type="dxa"/>
            <w:vAlign w:val="center"/>
          </w:tcPr>
          <w:p>
            <w:pPr>
              <w:adjustRightInd w:val="0"/>
              <w:snapToGrid w:val="0"/>
              <w:jc w:val="center"/>
              <w:rPr>
                <w:rFonts w:ascii="宋体" w:hAnsi="宋体" w:cs="宋体"/>
                <w:sz w:val="24"/>
                <w:szCs w:val="24"/>
              </w:rPr>
            </w:pPr>
            <w:r>
              <w:rPr>
                <w:rFonts w:hint="eastAsia" w:ascii="宋体" w:hAnsi="宋体" w:cs="宋体"/>
                <w:sz w:val="24"/>
                <w:szCs w:val="24"/>
              </w:rPr>
              <w:t>投标报价10%</w:t>
            </w:r>
          </w:p>
        </w:tc>
        <w:tc>
          <w:tcPr>
            <w:tcW w:w="866" w:type="dxa"/>
            <w:vAlign w:val="center"/>
          </w:tcPr>
          <w:p>
            <w:pPr>
              <w:adjustRightInd w:val="0"/>
              <w:snapToGrid w:val="0"/>
              <w:jc w:val="center"/>
              <w:rPr>
                <w:rFonts w:ascii="宋体" w:hAnsi="宋体" w:cs="宋体"/>
                <w:sz w:val="24"/>
                <w:szCs w:val="24"/>
              </w:rPr>
            </w:pPr>
            <w:r>
              <w:rPr>
                <w:rFonts w:hint="eastAsia" w:ascii="宋体" w:hAnsi="宋体" w:cs="宋体"/>
                <w:sz w:val="24"/>
                <w:szCs w:val="24"/>
              </w:rPr>
              <w:t>10分</w:t>
            </w:r>
          </w:p>
        </w:tc>
        <w:tc>
          <w:tcPr>
            <w:tcW w:w="6900" w:type="dxa"/>
          </w:tcPr>
          <w:p>
            <w:pPr>
              <w:adjustRightInd w:val="0"/>
              <w:snapToGrid w:val="0"/>
              <w:rPr>
                <w:rFonts w:ascii="宋体" w:hAnsi="宋体" w:cs="宋体"/>
                <w:szCs w:val="21"/>
              </w:rPr>
            </w:pPr>
            <w:r>
              <w:rPr>
                <w:rFonts w:hint="eastAsia" w:ascii="宋体" w:hAnsi="宋体" w:cs="宋体"/>
                <w:szCs w:val="21"/>
              </w:rPr>
              <w:t>满足招标文件要求且把投标价格最低的投标报价为评标基准价，其价格分为满分。其他中标公司的价格分按照下列公式计算：投标报价得分=（评标基准价/投标报价）x10%x100</w:t>
            </w:r>
          </w:p>
          <w:p>
            <w:pPr>
              <w:adjustRightInd w:val="0"/>
              <w:snapToGrid w:val="0"/>
              <w:rPr>
                <w:rFonts w:ascii="宋体" w:hAnsi="宋体" w:cs="宋体"/>
                <w:szCs w:val="21"/>
              </w:rPr>
            </w:pPr>
            <w:r>
              <w:rPr>
                <w:rFonts w:hint="eastAsia" w:ascii="宋体" w:hAnsi="宋体" w:cs="宋体"/>
                <w:szCs w:val="21"/>
              </w:rPr>
              <w:t>注：（1）评标过程中，不得去掉报价中的最高报价和最低报价。</w:t>
            </w:r>
          </w:p>
          <w:p>
            <w:pPr>
              <w:adjustRightInd w:val="0"/>
              <w:snapToGrid w:val="0"/>
              <w:rPr>
                <w:rFonts w:ascii="宋体" w:hAnsi="宋体" w:cs="宋体"/>
                <w:szCs w:val="21"/>
              </w:rPr>
            </w:pPr>
            <w:r>
              <w:rPr>
                <w:rFonts w:hint="eastAsia" w:ascii="宋体" w:hAnsi="宋体" w:cs="宋体"/>
                <w:szCs w:val="21"/>
              </w:rPr>
              <w:t>（2）因落实政府采购政策进行价格调整的，以调整后的价格计算评标基准价和投标报价。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479" w:type="dxa"/>
            <w:vMerge w:val="restart"/>
            <w:vAlign w:val="center"/>
          </w:tcPr>
          <w:p>
            <w:pPr>
              <w:adjustRightInd w:val="0"/>
              <w:snapToGrid w:val="0"/>
              <w:jc w:val="center"/>
              <w:rPr>
                <w:rFonts w:ascii="宋体" w:hAnsi="宋体" w:cs="宋体"/>
                <w:sz w:val="24"/>
                <w:szCs w:val="24"/>
              </w:rPr>
            </w:pPr>
            <w:r>
              <w:rPr>
                <w:rFonts w:hint="eastAsia" w:ascii="宋体" w:hAnsi="宋体" w:cs="宋体"/>
                <w:sz w:val="24"/>
                <w:szCs w:val="24"/>
              </w:rPr>
              <w:t>2</w:t>
            </w:r>
          </w:p>
        </w:tc>
        <w:tc>
          <w:tcPr>
            <w:tcW w:w="1073" w:type="dxa"/>
            <w:vMerge w:val="restart"/>
            <w:vAlign w:val="center"/>
          </w:tcPr>
          <w:p>
            <w:pPr>
              <w:adjustRightInd w:val="0"/>
              <w:snapToGrid w:val="0"/>
              <w:jc w:val="center"/>
              <w:rPr>
                <w:rFonts w:ascii="宋体" w:hAnsi="宋体" w:cs="宋体"/>
                <w:sz w:val="24"/>
                <w:szCs w:val="24"/>
              </w:rPr>
            </w:pPr>
            <w:r>
              <w:rPr>
                <w:rFonts w:hint="eastAsia" w:ascii="宋体" w:hAnsi="宋体" w:cs="宋体"/>
                <w:sz w:val="24"/>
                <w:szCs w:val="24"/>
              </w:rPr>
              <w:t>服务能力10%</w:t>
            </w:r>
          </w:p>
        </w:tc>
        <w:tc>
          <w:tcPr>
            <w:tcW w:w="866" w:type="dxa"/>
            <w:vAlign w:val="center"/>
          </w:tcPr>
          <w:p>
            <w:pPr>
              <w:adjustRightInd w:val="0"/>
              <w:snapToGrid w:val="0"/>
              <w:jc w:val="center"/>
              <w:rPr>
                <w:rFonts w:ascii="宋体" w:hAnsi="宋体" w:cs="宋体"/>
                <w:sz w:val="24"/>
                <w:szCs w:val="24"/>
              </w:rPr>
            </w:pPr>
            <w:r>
              <w:rPr>
                <w:rFonts w:hint="eastAsia" w:ascii="宋体" w:hAnsi="宋体" w:cs="宋体"/>
                <w:sz w:val="24"/>
                <w:szCs w:val="24"/>
              </w:rPr>
              <w:t>执行团队5分</w:t>
            </w:r>
          </w:p>
        </w:tc>
        <w:tc>
          <w:tcPr>
            <w:tcW w:w="6900" w:type="dxa"/>
          </w:tcPr>
          <w:p>
            <w:pPr>
              <w:adjustRightInd w:val="0"/>
              <w:snapToGrid w:val="0"/>
              <w:rPr>
                <w:rFonts w:ascii="宋体" w:hAnsi="宋体" w:cs="宋体"/>
                <w:szCs w:val="21"/>
              </w:rPr>
            </w:pPr>
            <w:r>
              <w:rPr>
                <w:rFonts w:hint="eastAsia" w:ascii="宋体" w:hAnsi="宋体" w:cs="宋体"/>
                <w:szCs w:val="21"/>
              </w:rPr>
              <w:t>对项目团队，包括负责人、项目宣传推广专员、项目教学管理专员、项目学生管理人员配置等进行综合评价：</w:t>
            </w:r>
          </w:p>
          <w:p>
            <w:pPr>
              <w:adjustRightInd w:val="0"/>
              <w:snapToGrid w:val="0"/>
              <w:rPr>
                <w:rFonts w:ascii="宋体" w:hAnsi="宋体" w:cs="宋体"/>
                <w:szCs w:val="21"/>
              </w:rPr>
            </w:pPr>
            <w:r>
              <w:rPr>
                <w:rFonts w:hint="eastAsia" w:ascii="宋体" w:hAnsi="宋体" w:cs="宋体"/>
                <w:szCs w:val="21"/>
              </w:rPr>
              <w:t>（1）团队负责人：具有本科及以上学历得1分（提供学历证、学位证），本科以下学历不得分；</w:t>
            </w:r>
          </w:p>
          <w:p>
            <w:pPr>
              <w:adjustRightInd w:val="0"/>
              <w:snapToGrid w:val="0"/>
              <w:rPr>
                <w:rFonts w:ascii="宋体" w:hAnsi="宋体" w:cs="宋体"/>
                <w:szCs w:val="21"/>
              </w:rPr>
            </w:pPr>
            <w:r>
              <w:rPr>
                <w:rFonts w:hint="eastAsia" w:ascii="宋体" w:hAnsi="宋体" w:cs="宋体"/>
                <w:szCs w:val="21"/>
              </w:rPr>
              <w:t>具有6年及以上教育教学服务经验得1分，不够6年不得分；</w:t>
            </w:r>
          </w:p>
          <w:p>
            <w:pPr>
              <w:adjustRightInd w:val="0"/>
              <w:snapToGrid w:val="0"/>
              <w:rPr>
                <w:rFonts w:ascii="宋体" w:hAnsi="宋体" w:cs="宋体"/>
                <w:szCs w:val="21"/>
              </w:rPr>
            </w:pPr>
            <w:r>
              <w:rPr>
                <w:rFonts w:hint="eastAsia" w:ascii="宋体" w:hAnsi="宋体" w:cs="宋体"/>
                <w:szCs w:val="21"/>
              </w:rPr>
              <w:t>（2）团队其余成员：本科及以上学历2人及以上得2分（提供学历证、学位证），不满足条件不得分；</w:t>
            </w:r>
          </w:p>
          <w:p>
            <w:pPr>
              <w:adjustRightInd w:val="0"/>
              <w:snapToGrid w:val="0"/>
              <w:rPr>
                <w:rFonts w:ascii="宋体" w:hAnsi="宋体" w:cs="宋体"/>
                <w:szCs w:val="21"/>
              </w:rPr>
            </w:pPr>
            <w:r>
              <w:rPr>
                <w:rFonts w:hint="eastAsia" w:ascii="宋体" w:hAnsi="宋体" w:cs="宋体"/>
                <w:szCs w:val="21"/>
              </w:rPr>
              <w:t>（3）满足项目要求，项目团队经验丰富、分工合理、职责明晰，得0～1分。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79" w:type="dxa"/>
            <w:vMerge w:val="continue"/>
            <w:vAlign w:val="center"/>
          </w:tcPr>
          <w:p>
            <w:pPr>
              <w:adjustRightInd w:val="0"/>
              <w:snapToGrid w:val="0"/>
              <w:jc w:val="center"/>
              <w:rPr>
                <w:rFonts w:ascii="宋体" w:hAnsi="宋体" w:cs="宋体"/>
                <w:sz w:val="24"/>
                <w:szCs w:val="24"/>
              </w:rPr>
            </w:pPr>
          </w:p>
        </w:tc>
        <w:tc>
          <w:tcPr>
            <w:tcW w:w="1073" w:type="dxa"/>
            <w:vMerge w:val="continue"/>
            <w:vAlign w:val="center"/>
          </w:tcPr>
          <w:p>
            <w:pPr>
              <w:adjustRightInd w:val="0"/>
              <w:snapToGrid w:val="0"/>
              <w:jc w:val="center"/>
              <w:rPr>
                <w:rFonts w:ascii="宋体" w:hAnsi="宋体" w:cs="宋体"/>
                <w:sz w:val="24"/>
                <w:szCs w:val="24"/>
              </w:rPr>
            </w:pPr>
          </w:p>
        </w:tc>
        <w:tc>
          <w:tcPr>
            <w:tcW w:w="866" w:type="dxa"/>
            <w:vAlign w:val="center"/>
          </w:tcPr>
          <w:p>
            <w:pPr>
              <w:tabs>
                <w:tab w:val="left" w:pos="-94"/>
                <w:tab w:val="left" w:pos="1620"/>
              </w:tabs>
              <w:adjustRightInd w:val="0"/>
              <w:snapToGrid w:val="0"/>
              <w:jc w:val="center"/>
              <w:textAlignment w:val="baseline"/>
              <w:outlineLvl w:val="1"/>
              <w:rPr>
                <w:rFonts w:ascii="宋体" w:hAnsi="宋体" w:cs="宋体"/>
                <w:sz w:val="24"/>
                <w:szCs w:val="24"/>
              </w:rPr>
            </w:pPr>
            <w:r>
              <w:rPr>
                <w:rFonts w:hint="eastAsia" w:ascii="宋体" w:hAnsi="宋体" w:cs="宋体"/>
                <w:sz w:val="24"/>
                <w:szCs w:val="24"/>
              </w:rPr>
              <w:t>软硬件保障5分</w:t>
            </w:r>
          </w:p>
        </w:tc>
        <w:tc>
          <w:tcPr>
            <w:tcW w:w="6900" w:type="dxa"/>
            <w:vAlign w:val="center"/>
          </w:tcPr>
          <w:p>
            <w:pPr>
              <w:adjustRightInd w:val="0"/>
              <w:snapToGrid w:val="0"/>
              <w:rPr>
                <w:rFonts w:ascii="宋体" w:hAnsi="宋体" w:cs="宋体"/>
                <w:szCs w:val="21"/>
              </w:rPr>
            </w:pPr>
            <w:r>
              <w:rPr>
                <w:rFonts w:hint="eastAsia" w:ascii="宋体" w:hAnsi="宋体" w:cs="宋体"/>
                <w:szCs w:val="21"/>
              </w:rPr>
              <w:t>可提供能满足授课和教学辅助服务的教学场所（教室、研讨室及服务办公室）和齐全的教学设备，满足项目使用要求：</w:t>
            </w:r>
          </w:p>
          <w:p>
            <w:pPr>
              <w:adjustRightInd w:val="0"/>
              <w:snapToGrid w:val="0"/>
              <w:rPr>
                <w:rFonts w:ascii="宋体" w:hAnsi="宋体" w:cs="宋体"/>
                <w:szCs w:val="21"/>
              </w:rPr>
            </w:pPr>
            <w:r>
              <w:rPr>
                <w:rFonts w:hint="eastAsia" w:ascii="宋体" w:hAnsi="宋体" w:cs="宋体"/>
                <w:szCs w:val="21"/>
              </w:rPr>
              <w:t>（1）投入的教室宽敞，提供70人以上座位的教室1间，提供20人以上座位的研讨室1间，提供服务办公室1间，设备设施配置齐全，有力保障项目运行，得3～5分；</w:t>
            </w:r>
          </w:p>
          <w:p>
            <w:pPr>
              <w:adjustRightInd w:val="0"/>
              <w:snapToGrid w:val="0"/>
              <w:rPr>
                <w:rFonts w:ascii="宋体" w:hAnsi="宋体" w:cs="宋体"/>
                <w:szCs w:val="21"/>
              </w:rPr>
            </w:pPr>
            <w:r>
              <w:rPr>
                <w:rFonts w:hint="eastAsia" w:ascii="宋体" w:hAnsi="宋体" w:cs="宋体"/>
                <w:szCs w:val="21"/>
              </w:rPr>
              <w:t>（2）投入的教室较为宽敞，基本能提供70人以上座位的教室1间，提供20人以上座位的研讨室1间，提供服务办公室1间，设备设施基本齐全，基本保障项目运行，得0～3分；</w:t>
            </w:r>
          </w:p>
          <w:p>
            <w:pPr>
              <w:adjustRightInd w:val="0"/>
              <w:snapToGrid w:val="0"/>
              <w:rPr>
                <w:rFonts w:ascii="宋体" w:hAnsi="宋体" w:cs="宋体"/>
                <w:szCs w:val="21"/>
              </w:rPr>
            </w:pPr>
            <w:r>
              <w:rPr>
                <w:rFonts w:hint="eastAsia" w:ascii="宋体" w:hAnsi="宋体" w:cs="宋体"/>
                <w:szCs w:val="21"/>
              </w:rPr>
              <w:t>（3）投入的教室不够宽敞，无法提供70人以上座位，设备设施配置有欠缺，无法保障项目运行，不得分。</w:t>
            </w:r>
          </w:p>
          <w:p>
            <w:pPr>
              <w:adjustRightInd w:val="0"/>
              <w:snapToGrid w:val="0"/>
              <w:rPr>
                <w:rFonts w:ascii="宋体" w:hAnsi="宋体" w:cs="宋体"/>
                <w:szCs w:val="21"/>
              </w:rPr>
            </w:pPr>
            <w:r>
              <w:rPr>
                <w:rFonts w:hint="eastAsia" w:ascii="宋体" w:hAnsi="宋体" w:cs="宋体"/>
                <w:szCs w:val="21"/>
              </w:rPr>
              <w:t>须提供房产证或场地租赁证明和能提供的教学设备证明。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479" w:type="dxa"/>
            <w:vAlign w:val="center"/>
          </w:tcPr>
          <w:p>
            <w:pPr>
              <w:adjustRightInd w:val="0"/>
              <w:snapToGrid w:val="0"/>
              <w:jc w:val="center"/>
              <w:rPr>
                <w:rFonts w:ascii="宋体" w:hAnsi="宋体" w:cs="宋体"/>
                <w:sz w:val="24"/>
                <w:szCs w:val="24"/>
              </w:rPr>
            </w:pPr>
            <w:r>
              <w:rPr>
                <w:rFonts w:hint="eastAsia" w:ascii="宋体" w:hAnsi="宋体" w:cs="宋体"/>
                <w:sz w:val="24"/>
                <w:szCs w:val="24"/>
              </w:rPr>
              <w:t>3</w:t>
            </w:r>
          </w:p>
        </w:tc>
        <w:tc>
          <w:tcPr>
            <w:tcW w:w="1073" w:type="dxa"/>
            <w:vAlign w:val="center"/>
          </w:tcPr>
          <w:p>
            <w:pPr>
              <w:adjustRightInd w:val="0"/>
              <w:snapToGrid w:val="0"/>
              <w:jc w:val="center"/>
              <w:rPr>
                <w:rFonts w:ascii="宋体" w:hAnsi="宋体" w:cs="宋体"/>
                <w:sz w:val="24"/>
                <w:szCs w:val="24"/>
              </w:rPr>
            </w:pPr>
            <w:r>
              <w:rPr>
                <w:rFonts w:hint="eastAsia" w:ascii="宋体" w:hAnsi="宋体" w:cs="宋体"/>
                <w:sz w:val="24"/>
                <w:szCs w:val="24"/>
              </w:rPr>
              <w:t>同类业绩10%</w:t>
            </w:r>
          </w:p>
        </w:tc>
        <w:tc>
          <w:tcPr>
            <w:tcW w:w="866" w:type="dxa"/>
            <w:vAlign w:val="center"/>
          </w:tcPr>
          <w:p>
            <w:pPr>
              <w:adjustRightInd w:val="0"/>
              <w:snapToGrid w:val="0"/>
              <w:jc w:val="center"/>
              <w:rPr>
                <w:rFonts w:ascii="宋体" w:hAnsi="宋体" w:cs="宋体"/>
                <w:sz w:val="24"/>
                <w:szCs w:val="24"/>
              </w:rPr>
            </w:pPr>
            <w:r>
              <w:rPr>
                <w:rFonts w:hint="eastAsia" w:ascii="宋体" w:hAnsi="宋体" w:cs="宋体"/>
                <w:sz w:val="24"/>
                <w:szCs w:val="24"/>
              </w:rPr>
              <w:t>10分</w:t>
            </w:r>
          </w:p>
          <w:p>
            <w:pPr>
              <w:adjustRightInd w:val="0"/>
              <w:snapToGrid w:val="0"/>
              <w:jc w:val="center"/>
              <w:rPr>
                <w:rFonts w:ascii="宋体" w:hAnsi="宋体" w:cs="宋体"/>
                <w:sz w:val="24"/>
                <w:szCs w:val="24"/>
              </w:rPr>
            </w:pPr>
          </w:p>
        </w:tc>
        <w:tc>
          <w:tcPr>
            <w:tcW w:w="6900" w:type="dxa"/>
          </w:tcPr>
          <w:p>
            <w:pPr>
              <w:adjustRightInd w:val="0"/>
              <w:snapToGrid w:val="0"/>
              <w:rPr>
                <w:rFonts w:ascii="宋体" w:hAnsi="宋体" w:cs="宋体"/>
                <w:szCs w:val="21"/>
              </w:rPr>
            </w:pPr>
            <w:r>
              <w:rPr>
                <w:rFonts w:hint="eastAsia" w:ascii="宋体" w:hAnsi="宋体" w:cs="宋体"/>
                <w:szCs w:val="21"/>
              </w:rPr>
              <w:t>投标公司近5年（2020年至今</w:t>
            </w:r>
            <w:r>
              <w:rPr>
                <w:rFonts w:hint="eastAsia" w:ascii="宋体" w:hAnsi="宋体" w:cs="宋体"/>
                <w:color w:val="383838"/>
                <w:kern w:val="0"/>
                <w:sz w:val="24"/>
                <w:szCs w:val="24"/>
                <w:shd w:val="clear" w:color="auto" w:fill="FFFFFF"/>
                <w:lang w:bidi="ar"/>
              </w:rPr>
              <w:t>，</w:t>
            </w:r>
            <w:r>
              <w:rPr>
                <w:rFonts w:hint="eastAsia" w:ascii="宋体" w:hAnsi="宋体" w:cs="宋体"/>
                <w:szCs w:val="21"/>
                <w:lang w:bidi="ar"/>
              </w:rPr>
              <w:t>以合同签订日期为准</w:t>
            </w:r>
            <w:r>
              <w:rPr>
                <w:rFonts w:hint="eastAsia" w:ascii="宋体" w:hAnsi="宋体" w:cs="宋体"/>
                <w:szCs w:val="21"/>
              </w:rPr>
              <w:t>）的同类业绩经验（包括专业学位项目、学术学位项目或相近学位项目的品牌宣传推广与教学服务经验）：</w:t>
            </w:r>
          </w:p>
          <w:p>
            <w:pPr>
              <w:adjustRightInd w:val="0"/>
              <w:snapToGrid w:val="0"/>
              <w:rPr>
                <w:rFonts w:ascii="宋体" w:hAnsi="宋体" w:cs="宋体"/>
                <w:szCs w:val="21"/>
              </w:rPr>
            </w:pPr>
            <w:r>
              <w:rPr>
                <w:rFonts w:hint="eastAsia" w:ascii="宋体" w:hAnsi="宋体" w:cs="宋体"/>
                <w:szCs w:val="21"/>
              </w:rPr>
              <w:t>（1）具备向教育部直属高等学校（含二级学院）服务的经验，得7分；</w:t>
            </w:r>
          </w:p>
          <w:p>
            <w:pPr>
              <w:numPr>
                <w:ilvl w:val="255"/>
                <w:numId w:val="0"/>
              </w:numPr>
              <w:adjustRightInd w:val="0"/>
              <w:snapToGrid w:val="0"/>
              <w:rPr>
                <w:rFonts w:ascii="宋体" w:hAnsi="宋体" w:cs="宋体"/>
                <w:szCs w:val="21"/>
              </w:rPr>
            </w:pPr>
            <w:r>
              <w:rPr>
                <w:rFonts w:hint="eastAsia" w:ascii="宋体" w:hAnsi="宋体" w:cs="宋体"/>
                <w:szCs w:val="21"/>
              </w:rPr>
              <w:t>（2）具备向非教育部直属高等学校（含二级学院）服务的经验，得4分；</w:t>
            </w:r>
          </w:p>
          <w:p>
            <w:pPr>
              <w:adjustRightInd w:val="0"/>
              <w:snapToGrid w:val="0"/>
              <w:rPr>
                <w:rFonts w:ascii="宋体" w:hAnsi="宋体" w:cs="宋体"/>
                <w:szCs w:val="21"/>
              </w:rPr>
            </w:pPr>
            <w:r>
              <w:rPr>
                <w:rFonts w:hint="eastAsia" w:ascii="宋体" w:hAnsi="宋体" w:cs="宋体"/>
                <w:szCs w:val="21"/>
              </w:rPr>
              <w:t>具有上述经验基础上，与对应高等学校（含二级学院）具有超过1个年度延续性服务关系的，每增加1年度，加0.5分，最多加3分。不能提供有效证明材料的不得分。</w:t>
            </w:r>
          </w:p>
          <w:p>
            <w:pPr>
              <w:adjustRightInd w:val="0"/>
              <w:snapToGrid w:val="0"/>
              <w:rPr>
                <w:rFonts w:ascii="宋体" w:hAnsi="宋体" w:cs="宋体"/>
                <w:szCs w:val="21"/>
              </w:rPr>
            </w:pPr>
            <w:r>
              <w:rPr>
                <w:rFonts w:hint="eastAsia" w:ascii="宋体" w:hAnsi="宋体" w:cs="宋体"/>
                <w:szCs w:val="21"/>
              </w:rPr>
              <w:t>本项最高10分。</w:t>
            </w:r>
          </w:p>
          <w:p>
            <w:pPr>
              <w:adjustRightInd w:val="0"/>
              <w:snapToGrid w:val="0"/>
              <w:rPr>
                <w:rFonts w:ascii="宋体" w:hAnsi="宋体" w:cs="宋体"/>
                <w:szCs w:val="21"/>
              </w:rPr>
            </w:pPr>
            <w:r>
              <w:rPr>
                <w:rFonts w:hint="eastAsia" w:ascii="宋体" w:hAnsi="宋体" w:cs="宋体"/>
                <w:szCs w:val="21"/>
              </w:rPr>
              <w:t>注：须提供合同关键页复印件，至少包括首页、金额页、签字盖章页，加盖投标公司公章。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9" w:type="dxa"/>
            <w:vMerge w:val="restart"/>
            <w:vAlign w:val="center"/>
          </w:tcPr>
          <w:p>
            <w:pPr>
              <w:jc w:val="center"/>
              <w:rPr>
                <w:rFonts w:ascii="宋体" w:hAnsi="宋体" w:cs="宋体"/>
                <w:sz w:val="24"/>
                <w:szCs w:val="24"/>
              </w:rPr>
            </w:pPr>
            <w:r>
              <w:rPr>
                <w:rFonts w:hint="eastAsia" w:ascii="宋体" w:hAnsi="宋体" w:cs="宋体"/>
                <w:sz w:val="24"/>
                <w:szCs w:val="24"/>
              </w:rPr>
              <w:t>4</w:t>
            </w:r>
          </w:p>
          <w:p>
            <w:pPr>
              <w:jc w:val="center"/>
              <w:rPr>
                <w:rFonts w:ascii="宋体" w:hAnsi="宋体" w:cs="宋体"/>
                <w:sz w:val="24"/>
                <w:szCs w:val="24"/>
              </w:rPr>
            </w:pPr>
          </w:p>
        </w:tc>
        <w:tc>
          <w:tcPr>
            <w:tcW w:w="1073" w:type="dxa"/>
            <w:vMerge w:val="restart"/>
            <w:vAlign w:val="center"/>
          </w:tcPr>
          <w:p>
            <w:pPr>
              <w:jc w:val="center"/>
              <w:rPr>
                <w:rFonts w:ascii="宋体" w:hAnsi="宋体" w:cs="宋体"/>
                <w:sz w:val="24"/>
                <w:szCs w:val="24"/>
              </w:rPr>
            </w:pPr>
            <w:r>
              <w:rPr>
                <w:rFonts w:hint="eastAsia" w:ascii="宋体" w:hAnsi="宋体" w:cs="宋体"/>
                <w:sz w:val="24"/>
                <w:szCs w:val="24"/>
              </w:rPr>
              <w:t>实施方案</w:t>
            </w:r>
          </w:p>
        </w:tc>
        <w:tc>
          <w:tcPr>
            <w:tcW w:w="866" w:type="dxa"/>
            <w:vAlign w:val="center"/>
          </w:tcPr>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t>项目宣传推广方案35分</w:t>
            </w:r>
          </w:p>
        </w:tc>
        <w:tc>
          <w:tcPr>
            <w:tcW w:w="6900" w:type="dxa"/>
            <w:vAlign w:val="center"/>
          </w:tcPr>
          <w:p>
            <w:pPr>
              <w:jc w:val="left"/>
              <w:rPr>
                <w:rFonts w:ascii="宋体" w:hAnsi="宋体" w:cs="宋体"/>
                <w:szCs w:val="21"/>
              </w:rPr>
            </w:pPr>
            <w:r>
              <w:rPr>
                <w:rFonts w:hint="eastAsia" w:ascii="宋体" w:hAnsi="宋体" w:cs="宋体"/>
                <w:szCs w:val="21"/>
              </w:rPr>
              <w:t>投标公司针对本项目，按照采购</w:t>
            </w:r>
            <w:r>
              <w:rPr>
                <w:rFonts w:hint="eastAsia" w:ascii="宋体" w:hAnsi="宋体" w:cs="宋体"/>
                <w:szCs w:val="21"/>
                <w:lang w:val="en-US" w:eastAsia="zh-CN"/>
              </w:rPr>
              <w:t>方</w:t>
            </w:r>
            <w:r>
              <w:rPr>
                <w:rFonts w:hint="eastAsia" w:ascii="宋体" w:hAnsi="宋体" w:cs="宋体"/>
                <w:szCs w:val="21"/>
              </w:rPr>
              <w:t>的统一要求，提供该项目的宣传推广及教学辅助服务的方案和成效描述与保障措施：</w:t>
            </w:r>
          </w:p>
          <w:p>
            <w:pPr>
              <w:numPr>
                <w:ilvl w:val="0"/>
                <w:numId w:val="2"/>
              </w:numPr>
              <w:jc w:val="left"/>
              <w:rPr>
                <w:rFonts w:ascii="宋体" w:hAnsi="宋体" w:cs="宋体"/>
                <w:szCs w:val="21"/>
              </w:rPr>
            </w:pPr>
            <w:r>
              <w:rPr>
                <w:rFonts w:hint="eastAsia" w:ascii="宋体" w:hAnsi="宋体" w:cs="宋体"/>
                <w:szCs w:val="21"/>
              </w:rPr>
              <w:t>市场分析（</w:t>
            </w:r>
            <w:r>
              <w:rPr>
                <w:rFonts w:ascii="宋体" w:hAnsi="宋体" w:cs="宋体"/>
                <w:szCs w:val="21"/>
              </w:rPr>
              <w:t>5</w:t>
            </w:r>
            <w:r>
              <w:rPr>
                <w:rFonts w:hint="eastAsia" w:ascii="宋体" w:hAnsi="宋体" w:cs="宋体"/>
                <w:szCs w:val="21"/>
              </w:rPr>
              <w:t>分）：</w:t>
            </w:r>
          </w:p>
          <w:p>
            <w:pPr>
              <w:numPr>
                <w:ilvl w:val="0"/>
                <w:numId w:val="3"/>
              </w:numPr>
              <w:ind w:firstLine="420" w:firstLineChars="200"/>
              <w:jc w:val="left"/>
              <w:rPr>
                <w:rFonts w:ascii="宋体" w:hAnsi="宋体" w:cs="宋体"/>
                <w:szCs w:val="21"/>
              </w:rPr>
            </w:pPr>
            <w:r>
              <w:rPr>
                <w:rFonts w:hint="eastAsia" w:ascii="宋体" w:hAnsi="宋体" w:cs="宋体"/>
                <w:szCs w:val="21"/>
              </w:rPr>
              <w:t>业务需求理解准确、分析到位，得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3"/>
              </w:numPr>
              <w:ind w:firstLine="420" w:firstLineChars="200"/>
              <w:jc w:val="left"/>
              <w:rPr>
                <w:rFonts w:ascii="宋体" w:hAnsi="宋体" w:cs="宋体"/>
                <w:szCs w:val="21"/>
              </w:rPr>
            </w:pPr>
            <w:r>
              <w:rPr>
                <w:rFonts w:hint="eastAsia" w:ascii="宋体" w:hAnsi="宋体" w:cs="宋体"/>
                <w:szCs w:val="21"/>
              </w:rPr>
              <w:t>需求理解和分析略有偏差，得</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分；</w:t>
            </w:r>
          </w:p>
          <w:p>
            <w:pPr>
              <w:numPr>
                <w:ilvl w:val="0"/>
                <w:numId w:val="3"/>
              </w:numPr>
              <w:ind w:firstLine="420" w:firstLineChars="200"/>
              <w:jc w:val="left"/>
              <w:rPr>
                <w:rFonts w:ascii="宋体" w:hAnsi="宋体" w:cs="宋体"/>
                <w:szCs w:val="21"/>
              </w:rPr>
            </w:pPr>
            <w:r>
              <w:rPr>
                <w:rFonts w:hint="eastAsia" w:ascii="宋体" w:hAnsi="宋体" w:cs="宋体"/>
                <w:szCs w:val="21"/>
              </w:rPr>
              <w:t>需求理解和分析有较大偏差，得</w:t>
            </w:r>
            <w:r>
              <w:rPr>
                <w:rFonts w:ascii="宋体" w:hAnsi="宋体" w:cs="宋体"/>
                <w:szCs w:val="21"/>
              </w:rPr>
              <w:t>0</w:t>
            </w:r>
            <w:r>
              <w:rPr>
                <w:rFonts w:hint="eastAsia" w:ascii="宋体" w:hAnsi="宋体" w:cs="宋体"/>
                <w:szCs w:val="21"/>
              </w:rPr>
              <w:t>～</w:t>
            </w:r>
            <w:r>
              <w:rPr>
                <w:rFonts w:ascii="宋体" w:hAnsi="宋体" w:cs="宋体"/>
                <w:szCs w:val="21"/>
              </w:rPr>
              <w:t>1</w:t>
            </w:r>
            <w:r>
              <w:rPr>
                <w:rFonts w:hint="eastAsia" w:ascii="宋体" w:hAnsi="宋体" w:cs="宋体"/>
                <w:szCs w:val="21"/>
              </w:rPr>
              <w:t>分。</w:t>
            </w:r>
          </w:p>
          <w:p>
            <w:pPr>
              <w:numPr>
                <w:ilvl w:val="0"/>
                <w:numId w:val="2"/>
              </w:numPr>
              <w:jc w:val="left"/>
              <w:rPr>
                <w:rFonts w:ascii="宋体" w:hAnsi="宋体" w:cs="宋体"/>
                <w:szCs w:val="21"/>
              </w:rPr>
            </w:pPr>
            <w:r>
              <w:rPr>
                <w:rFonts w:hint="eastAsia" w:ascii="宋体" w:hAnsi="宋体" w:cs="宋体"/>
                <w:szCs w:val="21"/>
              </w:rPr>
              <w:t>项目推广方案（5分）：</w:t>
            </w:r>
          </w:p>
          <w:p>
            <w:pPr>
              <w:numPr>
                <w:ilvl w:val="0"/>
                <w:numId w:val="4"/>
              </w:numPr>
              <w:ind w:firstLine="420" w:firstLineChars="200"/>
              <w:jc w:val="left"/>
              <w:rPr>
                <w:rFonts w:ascii="宋体" w:hAnsi="宋体" w:cs="宋体"/>
                <w:szCs w:val="21"/>
              </w:rPr>
            </w:pPr>
            <w:r>
              <w:rPr>
                <w:rFonts w:hint="eastAsia" w:ascii="宋体" w:hAnsi="宋体" w:cs="宋体"/>
                <w:szCs w:val="21"/>
              </w:rPr>
              <w:t>方案内容完整、设计科学合理、措施具体、可操作性强，提供较好的资源保障，得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4"/>
              </w:numPr>
              <w:ind w:firstLine="420" w:firstLineChars="200"/>
              <w:jc w:val="left"/>
              <w:rPr>
                <w:rFonts w:ascii="宋体" w:hAnsi="宋体" w:cs="宋体"/>
                <w:szCs w:val="21"/>
              </w:rPr>
            </w:pPr>
            <w:r>
              <w:rPr>
                <w:rFonts w:hint="eastAsia" w:ascii="宋体" w:hAnsi="宋体" w:cs="宋体"/>
                <w:szCs w:val="21"/>
              </w:rPr>
              <w:t>方案内容较完整、设计合理、措施具有一定可行性，提供相应的资源保障，得</w:t>
            </w: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分；</w:t>
            </w:r>
          </w:p>
          <w:p>
            <w:pPr>
              <w:numPr>
                <w:ilvl w:val="0"/>
                <w:numId w:val="4"/>
              </w:numPr>
              <w:ind w:firstLine="420" w:firstLineChars="200"/>
              <w:jc w:val="left"/>
              <w:rPr>
                <w:rFonts w:ascii="宋体" w:hAnsi="宋体" w:cs="宋体"/>
                <w:szCs w:val="21"/>
              </w:rPr>
            </w:pPr>
            <w:r>
              <w:rPr>
                <w:rFonts w:hint="eastAsia" w:ascii="宋体" w:hAnsi="宋体" w:cs="宋体"/>
                <w:szCs w:val="21"/>
              </w:rPr>
              <w:t>方案基本满足要求，但内容完整性或设计合理程度或措施可行性方面有一定欠缺，得1～2分；</w:t>
            </w:r>
          </w:p>
          <w:p>
            <w:pPr>
              <w:numPr>
                <w:ilvl w:val="0"/>
                <w:numId w:val="4"/>
              </w:numPr>
              <w:ind w:firstLine="420" w:firstLineChars="200"/>
              <w:jc w:val="left"/>
              <w:rPr>
                <w:rFonts w:ascii="宋体" w:hAnsi="宋体" w:cs="宋体"/>
                <w:szCs w:val="21"/>
              </w:rPr>
            </w:pPr>
            <w:r>
              <w:rPr>
                <w:rFonts w:hint="eastAsia" w:ascii="宋体" w:hAnsi="宋体" w:cs="宋体"/>
                <w:szCs w:val="21"/>
              </w:rPr>
              <w:t>方案内容缺失严重，或设计合理性严重不足，或缺乏有效措施，得0～1分。</w:t>
            </w:r>
          </w:p>
          <w:p>
            <w:pPr>
              <w:numPr>
                <w:ilvl w:val="0"/>
                <w:numId w:val="2"/>
              </w:numPr>
              <w:jc w:val="left"/>
              <w:rPr>
                <w:rFonts w:ascii="宋体" w:hAnsi="宋体" w:cs="宋体"/>
                <w:szCs w:val="21"/>
              </w:rPr>
            </w:pPr>
            <w:r>
              <w:rPr>
                <w:rFonts w:hint="eastAsia" w:ascii="宋体" w:hAnsi="宋体" w:cs="宋体"/>
                <w:szCs w:val="21"/>
              </w:rPr>
              <w:t>项目宣传推广进度计划和预期成效（15分,需提供同类业绩中报考和录取规模相关证明材料）：</w:t>
            </w:r>
          </w:p>
          <w:p>
            <w:pPr>
              <w:numPr>
                <w:ilvl w:val="0"/>
                <w:numId w:val="5"/>
              </w:numPr>
              <w:ind w:firstLine="420" w:firstLineChars="200"/>
              <w:jc w:val="left"/>
              <w:rPr>
                <w:rFonts w:ascii="宋体" w:hAnsi="宋体" w:cs="宋体"/>
                <w:szCs w:val="21"/>
              </w:rPr>
            </w:pPr>
            <w:r>
              <w:rPr>
                <w:rFonts w:hint="eastAsia" w:ascii="宋体" w:hAnsi="宋体" w:cs="宋体"/>
                <w:szCs w:val="21"/>
              </w:rPr>
              <w:t>本项目推广及宣传方案的时间节点明确，进度计划安排合理，保证措施明确具体，可行性强，预期成效可实现性强，得</w:t>
            </w:r>
            <w:r>
              <w:rPr>
                <w:rFonts w:ascii="宋体" w:hAnsi="宋体" w:cs="宋体"/>
                <w:szCs w:val="21"/>
              </w:rPr>
              <w:t>10</w:t>
            </w:r>
            <w:r>
              <w:rPr>
                <w:rFonts w:hint="eastAsia" w:ascii="宋体" w:hAnsi="宋体" w:cs="宋体"/>
                <w:szCs w:val="21"/>
              </w:rPr>
              <w:t>～1</w:t>
            </w:r>
            <w:r>
              <w:rPr>
                <w:rFonts w:ascii="宋体" w:hAnsi="宋体" w:cs="宋体"/>
                <w:szCs w:val="21"/>
              </w:rPr>
              <w:t>5</w:t>
            </w:r>
            <w:r>
              <w:rPr>
                <w:rFonts w:hint="eastAsia" w:ascii="宋体" w:hAnsi="宋体" w:cs="宋体"/>
                <w:szCs w:val="21"/>
              </w:rPr>
              <w:t>分；</w:t>
            </w:r>
          </w:p>
          <w:p>
            <w:pPr>
              <w:numPr>
                <w:ilvl w:val="0"/>
                <w:numId w:val="5"/>
              </w:numPr>
              <w:ind w:firstLine="420" w:firstLineChars="200"/>
              <w:jc w:val="left"/>
              <w:rPr>
                <w:rFonts w:ascii="宋体" w:hAnsi="宋体" w:cs="宋体"/>
                <w:szCs w:val="21"/>
              </w:rPr>
            </w:pPr>
            <w:r>
              <w:rPr>
                <w:rFonts w:hint="eastAsia" w:ascii="宋体" w:hAnsi="宋体" w:cs="宋体"/>
                <w:szCs w:val="21"/>
              </w:rPr>
              <w:t>本项目推广及宣传方案的时间节点安排满足要求，进度计划和保证措施有一定的可行性，预期成效有一定的可实现性，得5～</w:t>
            </w:r>
            <w:r>
              <w:rPr>
                <w:rFonts w:ascii="宋体" w:hAnsi="宋体" w:cs="宋体"/>
                <w:szCs w:val="21"/>
              </w:rPr>
              <w:t>10</w:t>
            </w:r>
            <w:r>
              <w:rPr>
                <w:rFonts w:hint="eastAsia" w:ascii="宋体" w:hAnsi="宋体" w:cs="宋体"/>
                <w:szCs w:val="21"/>
              </w:rPr>
              <w:t>分；</w:t>
            </w:r>
          </w:p>
          <w:p>
            <w:pPr>
              <w:numPr>
                <w:ilvl w:val="0"/>
                <w:numId w:val="5"/>
              </w:numPr>
              <w:ind w:firstLine="420" w:firstLineChars="200"/>
              <w:jc w:val="left"/>
              <w:rPr>
                <w:rFonts w:ascii="宋体" w:hAnsi="宋体" w:cs="宋体"/>
                <w:szCs w:val="21"/>
              </w:rPr>
            </w:pPr>
            <w:r>
              <w:rPr>
                <w:rFonts w:hint="eastAsia" w:ascii="宋体" w:hAnsi="宋体" w:cs="宋体"/>
                <w:szCs w:val="21"/>
              </w:rPr>
              <w:t>本项目推广及宣传方案的时间节点或进度计划安排不太合理，保证措施不力，难以达到预期成效，得</w:t>
            </w:r>
            <w:r>
              <w:rPr>
                <w:rFonts w:ascii="宋体" w:hAnsi="宋体" w:cs="宋体"/>
                <w:szCs w:val="21"/>
              </w:rPr>
              <w:t>1</w:t>
            </w:r>
            <w:r>
              <w:rPr>
                <w:rFonts w:hint="eastAsia" w:ascii="宋体" w:hAnsi="宋体" w:cs="宋体"/>
                <w:szCs w:val="21"/>
              </w:rPr>
              <w:t>～5分；</w:t>
            </w:r>
          </w:p>
          <w:p>
            <w:pPr>
              <w:numPr>
                <w:ilvl w:val="0"/>
                <w:numId w:val="5"/>
              </w:numPr>
              <w:ind w:firstLine="420" w:firstLineChars="200"/>
              <w:jc w:val="left"/>
              <w:rPr>
                <w:rFonts w:ascii="宋体" w:hAnsi="宋体" w:cs="宋体"/>
                <w:szCs w:val="21"/>
              </w:rPr>
            </w:pPr>
            <w:r>
              <w:rPr>
                <w:rFonts w:hint="eastAsia" w:ascii="宋体" w:hAnsi="宋体" w:cs="宋体"/>
                <w:szCs w:val="21"/>
              </w:rPr>
              <w:t>本项目推广及宣传方案的时间节点或进度计划安排合理性不足，没有有效保证措施，不能达到预期成效，得0～</w:t>
            </w:r>
            <w:r>
              <w:rPr>
                <w:rFonts w:ascii="宋体" w:hAnsi="宋体" w:cs="宋体"/>
                <w:szCs w:val="21"/>
              </w:rPr>
              <w:t>1</w:t>
            </w:r>
            <w:r>
              <w:rPr>
                <w:rFonts w:hint="eastAsia" w:ascii="宋体" w:hAnsi="宋体" w:cs="宋体"/>
                <w:szCs w:val="21"/>
              </w:rPr>
              <w:t>分。</w:t>
            </w:r>
          </w:p>
          <w:p>
            <w:pPr>
              <w:numPr>
                <w:ilvl w:val="0"/>
                <w:numId w:val="2"/>
              </w:numPr>
              <w:jc w:val="left"/>
              <w:rPr>
                <w:rFonts w:ascii="宋体" w:hAnsi="宋体" w:cs="宋体"/>
                <w:szCs w:val="21"/>
              </w:rPr>
            </w:pPr>
            <w:r>
              <w:rPr>
                <w:rFonts w:hint="eastAsia" w:ascii="宋体" w:hAnsi="宋体" w:cs="宋体"/>
                <w:szCs w:val="21"/>
              </w:rPr>
              <w:t>项目宣传推广组织实施方案（5分）：</w:t>
            </w:r>
          </w:p>
          <w:p>
            <w:pPr>
              <w:numPr>
                <w:ilvl w:val="0"/>
                <w:numId w:val="6"/>
              </w:numPr>
              <w:ind w:firstLine="420" w:firstLineChars="200"/>
              <w:jc w:val="left"/>
              <w:rPr>
                <w:rFonts w:ascii="宋体" w:hAnsi="宋体" w:cs="宋体"/>
                <w:szCs w:val="21"/>
              </w:rPr>
            </w:pPr>
            <w:r>
              <w:rPr>
                <w:rFonts w:hint="eastAsia" w:ascii="宋体" w:hAnsi="宋体" w:cs="宋体"/>
                <w:szCs w:val="21"/>
              </w:rPr>
              <w:t>本项目推广及宣传方案的内容完整具体、组织有力、保证措施可操作性强，得3～5分；</w:t>
            </w:r>
          </w:p>
          <w:p>
            <w:pPr>
              <w:numPr>
                <w:ilvl w:val="0"/>
                <w:numId w:val="6"/>
              </w:numPr>
              <w:ind w:firstLine="420" w:firstLineChars="200"/>
              <w:jc w:val="left"/>
              <w:rPr>
                <w:rFonts w:ascii="宋体" w:hAnsi="宋体" w:cs="宋体"/>
                <w:szCs w:val="21"/>
              </w:rPr>
            </w:pPr>
            <w:r>
              <w:rPr>
                <w:rFonts w:hint="eastAsia" w:ascii="宋体" w:hAnsi="宋体" w:cs="宋体"/>
                <w:szCs w:val="21"/>
              </w:rPr>
              <w:t>本项目推广及宣传方案的内容较完整、组织工作较到位、保证措施可行性相对较好，得2～3分；</w:t>
            </w:r>
          </w:p>
          <w:p>
            <w:pPr>
              <w:numPr>
                <w:ilvl w:val="0"/>
                <w:numId w:val="6"/>
              </w:numPr>
              <w:ind w:firstLine="420" w:firstLineChars="200"/>
              <w:jc w:val="left"/>
              <w:rPr>
                <w:rFonts w:ascii="宋体" w:hAnsi="宋体" w:cs="宋体"/>
                <w:szCs w:val="21"/>
              </w:rPr>
            </w:pPr>
            <w:r>
              <w:rPr>
                <w:rFonts w:hint="eastAsia" w:ascii="宋体" w:hAnsi="宋体" w:cs="宋体"/>
                <w:szCs w:val="21"/>
              </w:rPr>
              <w:t>本项目推广及宣传方案的基本满足要求，但内容或组织工作或保证措施略有欠缺，得0～2分；</w:t>
            </w:r>
          </w:p>
          <w:p>
            <w:pPr>
              <w:numPr>
                <w:ilvl w:val="0"/>
                <w:numId w:val="2"/>
              </w:numPr>
              <w:jc w:val="left"/>
              <w:rPr>
                <w:rFonts w:ascii="宋体" w:hAnsi="宋体" w:cs="宋体"/>
                <w:szCs w:val="21"/>
              </w:rPr>
            </w:pPr>
            <w:r>
              <w:rPr>
                <w:rFonts w:hint="eastAsia" w:ascii="宋体" w:hAnsi="宋体" w:cs="宋体"/>
                <w:szCs w:val="21"/>
              </w:rPr>
              <w:t>项目宣传推广服务承诺与保障（5分）：</w:t>
            </w:r>
          </w:p>
          <w:p>
            <w:pPr>
              <w:numPr>
                <w:ilvl w:val="0"/>
                <w:numId w:val="7"/>
              </w:numPr>
              <w:ind w:firstLine="420" w:firstLineChars="200"/>
              <w:jc w:val="left"/>
              <w:rPr>
                <w:rFonts w:ascii="宋体" w:hAnsi="宋体" w:cs="宋体"/>
                <w:szCs w:val="21"/>
              </w:rPr>
            </w:pPr>
            <w:r>
              <w:rPr>
                <w:rFonts w:hint="eastAsia" w:ascii="宋体" w:hAnsi="宋体" w:cs="宋体"/>
                <w:szCs w:val="21"/>
              </w:rPr>
              <w:t>本项目推广及宣传服务体系完善，服务承诺优越，保证措施可行性强，得</w:t>
            </w: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分；</w:t>
            </w:r>
          </w:p>
          <w:p>
            <w:pPr>
              <w:numPr>
                <w:ilvl w:val="0"/>
                <w:numId w:val="7"/>
              </w:numPr>
              <w:ind w:firstLine="420" w:firstLineChars="200"/>
              <w:jc w:val="left"/>
              <w:rPr>
                <w:rFonts w:ascii="宋体" w:hAnsi="宋体" w:cs="宋体"/>
                <w:szCs w:val="21"/>
              </w:rPr>
            </w:pPr>
            <w:r>
              <w:rPr>
                <w:rFonts w:hint="eastAsia" w:ascii="宋体" w:hAnsi="宋体" w:cs="宋体"/>
                <w:szCs w:val="21"/>
              </w:rPr>
              <w:t>本项目推广及宣传服务体系较完善，服务承诺和保证措施有一定可行性，得</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分；</w:t>
            </w:r>
          </w:p>
          <w:p>
            <w:pPr>
              <w:numPr>
                <w:ilvl w:val="0"/>
                <w:numId w:val="7"/>
              </w:numPr>
              <w:ind w:firstLine="420" w:firstLineChars="200"/>
              <w:jc w:val="left"/>
              <w:rPr>
                <w:rFonts w:ascii="宋体" w:hAnsi="宋体" w:cs="宋体"/>
                <w:szCs w:val="21"/>
              </w:rPr>
            </w:pPr>
            <w:r>
              <w:rPr>
                <w:rFonts w:hint="eastAsia" w:ascii="宋体" w:hAnsi="宋体" w:cs="宋体"/>
                <w:szCs w:val="21"/>
              </w:rPr>
              <w:t>本项目推广及宣传服务体系有较多欠缺，或服务承诺或保证措施合理性不足，得0～</w:t>
            </w:r>
            <w:r>
              <w:rPr>
                <w:rFonts w:ascii="宋体" w:hAnsi="宋体" w:cs="宋体"/>
                <w:szCs w:val="21"/>
              </w:rPr>
              <w:t>1</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79" w:type="dxa"/>
            <w:vMerge w:val="continue"/>
            <w:vAlign w:val="center"/>
          </w:tcPr>
          <w:p>
            <w:pPr>
              <w:jc w:val="center"/>
              <w:rPr>
                <w:rFonts w:ascii="宋体" w:hAnsi="宋体" w:cs="宋体"/>
                <w:sz w:val="24"/>
                <w:szCs w:val="24"/>
              </w:rPr>
            </w:pPr>
          </w:p>
        </w:tc>
        <w:tc>
          <w:tcPr>
            <w:tcW w:w="1073" w:type="dxa"/>
            <w:vMerge w:val="continue"/>
            <w:vAlign w:val="center"/>
          </w:tcPr>
          <w:p>
            <w:pPr>
              <w:jc w:val="center"/>
              <w:rPr>
                <w:rFonts w:ascii="宋体" w:hAnsi="宋体" w:cs="宋体"/>
                <w:sz w:val="24"/>
                <w:szCs w:val="24"/>
              </w:rPr>
            </w:pPr>
          </w:p>
        </w:tc>
        <w:tc>
          <w:tcPr>
            <w:tcW w:w="866" w:type="dxa"/>
            <w:vAlign w:val="center"/>
          </w:tcPr>
          <w:p>
            <w:pPr>
              <w:jc w:val="center"/>
              <w:rPr>
                <w:rFonts w:ascii="宋体" w:hAnsi="宋体" w:cs="宋体"/>
                <w:sz w:val="24"/>
                <w:szCs w:val="24"/>
              </w:rPr>
            </w:pPr>
            <w:r>
              <w:rPr>
                <w:rFonts w:hint="eastAsia" w:ascii="宋体" w:hAnsi="宋体" w:cs="宋体"/>
                <w:sz w:val="24"/>
                <w:szCs w:val="24"/>
              </w:rPr>
              <w:t>教学辅助服务方案35分</w:t>
            </w:r>
          </w:p>
        </w:tc>
        <w:tc>
          <w:tcPr>
            <w:tcW w:w="6900" w:type="dxa"/>
            <w:vAlign w:val="center"/>
          </w:tcPr>
          <w:p>
            <w:pPr>
              <w:rPr>
                <w:rFonts w:ascii="宋体" w:hAnsi="宋体" w:cs="宋体"/>
                <w:szCs w:val="21"/>
              </w:rPr>
            </w:pPr>
            <w:r>
              <w:rPr>
                <w:rFonts w:hint="eastAsia" w:ascii="宋体" w:hAnsi="宋体" w:cs="宋体"/>
                <w:szCs w:val="21"/>
              </w:rPr>
              <w:t>投标格式针对本项目教学辅助服务的特点，按照采购</w:t>
            </w:r>
            <w:r>
              <w:rPr>
                <w:rFonts w:hint="eastAsia" w:ascii="宋体" w:hAnsi="宋体" w:cs="宋体"/>
                <w:szCs w:val="21"/>
                <w:lang w:val="en-US" w:eastAsia="zh-CN"/>
              </w:rPr>
              <w:t>方</w:t>
            </w:r>
            <w:r>
              <w:rPr>
                <w:rFonts w:hint="eastAsia" w:ascii="宋体" w:hAnsi="宋体" w:cs="宋体"/>
                <w:szCs w:val="21"/>
              </w:rPr>
              <w:t>的统一要求，提供该项目的教学辅助服务方案和预期成效：</w:t>
            </w:r>
          </w:p>
          <w:p>
            <w:pPr>
              <w:numPr>
                <w:ilvl w:val="0"/>
                <w:numId w:val="8"/>
              </w:numPr>
              <w:jc w:val="left"/>
              <w:rPr>
                <w:rFonts w:ascii="宋体" w:hAnsi="宋体" w:cs="宋体"/>
                <w:szCs w:val="21"/>
              </w:rPr>
            </w:pPr>
            <w:r>
              <w:rPr>
                <w:rFonts w:hint="eastAsia" w:ascii="宋体" w:hAnsi="宋体" w:cs="宋体"/>
                <w:szCs w:val="21"/>
              </w:rPr>
              <w:t>教学辅助服务实施方案和预期成效（12分,，需提供同类业绩满意度调查等相关证明材料）：</w:t>
            </w:r>
          </w:p>
          <w:p>
            <w:pPr>
              <w:numPr>
                <w:ilvl w:val="0"/>
                <w:numId w:val="9"/>
              </w:numPr>
              <w:ind w:firstLine="420" w:firstLineChars="200"/>
              <w:jc w:val="left"/>
              <w:rPr>
                <w:rFonts w:ascii="宋体" w:hAnsi="宋体" w:cs="宋体"/>
                <w:szCs w:val="21"/>
              </w:rPr>
            </w:pPr>
            <w:r>
              <w:rPr>
                <w:rFonts w:hint="eastAsia" w:ascii="宋体" w:hAnsi="宋体" w:cs="宋体"/>
                <w:szCs w:val="21"/>
              </w:rPr>
              <w:t>教学辅助服务方案内容完整具体、组织有力、保证措施可操作性强、预期成效达成度高，得8～12分；</w:t>
            </w:r>
          </w:p>
          <w:p>
            <w:pPr>
              <w:numPr>
                <w:ilvl w:val="0"/>
                <w:numId w:val="9"/>
              </w:numPr>
              <w:ind w:firstLine="420" w:firstLineChars="200"/>
              <w:jc w:val="left"/>
              <w:rPr>
                <w:rFonts w:ascii="宋体" w:hAnsi="宋体" w:cs="宋体"/>
                <w:szCs w:val="21"/>
              </w:rPr>
            </w:pPr>
            <w:r>
              <w:rPr>
                <w:rFonts w:hint="eastAsia" w:ascii="宋体" w:hAnsi="宋体" w:cs="宋体"/>
                <w:szCs w:val="21"/>
              </w:rPr>
              <w:t>方案内容较完整、组织工作较到位、保证措施可行性相对较好、预期成效达成度较高，得4～8分；</w:t>
            </w:r>
          </w:p>
          <w:p>
            <w:pPr>
              <w:numPr>
                <w:ilvl w:val="0"/>
                <w:numId w:val="9"/>
              </w:numPr>
              <w:ind w:firstLine="420" w:firstLineChars="200"/>
              <w:jc w:val="left"/>
              <w:rPr>
                <w:rFonts w:ascii="宋体" w:hAnsi="宋体" w:cs="宋体"/>
                <w:szCs w:val="21"/>
              </w:rPr>
            </w:pPr>
            <w:r>
              <w:rPr>
                <w:rFonts w:hint="eastAsia" w:ascii="宋体" w:hAnsi="宋体" w:cs="宋体"/>
                <w:szCs w:val="21"/>
              </w:rPr>
              <w:t>方案基本满足要求，但内容或组织工作或保证措施略有欠缺或预期成效达成度较低，得</w:t>
            </w:r>
            <w:r>
              <w:rPr>
                <w:rFonts w:ascii="宋体" w:hAnsi="宋体" w:cs="宋体"/>
                <w:szCs w:val="21"/>
              </w:rPr>
              <w:t>1</w:t>
            </w:r>
            <w:r>
              <w:rPr>
                <w:rFonts w:hint="eastAsia" w:ascii="宋体" w:hAnsi="宋体" w:cs="宋体"/>
                <w:szCs w:val="21"/>
              </w:rPr>
              <w:t>～4分；</w:t>
            </w:r>
          </w:p>
          <w:p>
            <w:pPr>
              <w:numPr>
                <w:ilvl w:val="0"/>
                <w:numId w:val="9"/>
              </w:numPr>
              <w:ind w:firstLine="420" w:firstLineChars="200"/>
              <w:jc w:val="left"/>
              <w:rPr>
                <w:rFonts w:ascii="宋体" w:hAnsi="宋体" w:cs="宋体"/>
                <w:szCs w:val="21"/>
              </w:rPr>
            </w:pPr>
            <w:r>
              <w:rPr>
                <w:rFonts w:hint="eastAsia" w:ascii="宋体" w:hAnsi="宋体" w:cs="宋体"/>
                <w:szCs w:val="21"/>
              </w:rPr>
              <w:t>方案内容严重缺失或组织不合理或缺乏有效措施或预期成效达成很低，得0～</w:t>
            </w:r>
            <w:r>
              <w:rPr>
                <w:rFonts w:ascii="宋体" w:hAnsi="宋体" w:cs="宋体"/>
                <w:szCs w:val="21"/>
              </w:rPr>
              <w:t>1</w:t>
            </w:r>
            <w:r>
              <w:rPr>
                <w:rFonts w:hint="eastAsia" w:ascii="宋体" w:hAnsi="宋体" w:cs="宋体"/>
                <w:szCs w:val="21"/>
              </w:rPr>
              <w:t>分；</w:t>
            </w:r>
          </w:p>
          <w:p>
            <w:pPr>
              <w:numPr>
                <w:ilvl w:val="0"/>
                <w:numId w:val="8"/>
              </w:numPr>
              <w:jc w:val="left"/>
              <w:rPr>
                <w:rFonts w:ascii="宋体" w:hAnsi="宋体" w:cs="宋体"/>
                <w:szCs w:val="21"/>
              </w:rPr>
            </w:pPr>
            <w:r>
              <w:rPr>
                <w:rFonts w:hint="eastAsia" w:ascii="宋体" w:hAnsi="宋体" w:cs="宋体"/>
                <w:szCs w:val="21"/>
              </w:rPr>
              <w:t>教学辅助服务进度计划和保障措施（5分）：</w:t>
            </w:r>
          </w:p>
          <w:p>
            <w:pPr>
              <w:numPr>
                <w:ilvl w:val="0"/>
                <w:numId w:val="10"/>
              </w:numPr>
              <w:ind w:firstLine="420" w:firstLineChars="200"/>
              <w:jc w:val="left"/>
              <w:rPr>
                <w:rFonts w:ascii="宋体" w:hAnsi="宋体" w:cs="宋体"/>
                <w:szCs w:val="21"/>
              </w:rPr>
            </w:pPr>
            <w:r>
              <w:rPr>
                <w:rFonts w:hint="eastAsia" w:ascii="宋体" w:hAnsi="宋体" w:cs="宋体"/>
                <w:szCs w:val="21"/>
              </w:rPr>
              <w:t>教学辅助服务计划时间节点明确，进度计划安排合理，保障措施明确具体，可行性强，得3～5分；</w:t>
            </w:r>
          </w:p>
          <w:p>
            <w:pPr>
              <w:numPr>
                <w:ilvl w:val="0"/>
                <w:numId w:val="10"/>
              </w:numPr>
              <w:ind w:firstLine="420" w:firstLineChars="200"/>
              <w:jc w:val="left"/>
              <w:rPr>
                <w:rFonts w:ascii="宋体" w:hAnsi="宋体" w:cs="宋体"/>
                <w:szCs w:val="21"/>
              </w:rPr>
            </w:pPr>
            <w:r>
              <w:rPr>
                <w:rFonts w:hint="eastAsia" w:ascii="宋体" w:hAnsi="宋体" w:cs="宋体"/>
                <w:szCs w:val="21"/>
              </w:rPr>
              <w:t>教学辅助服务计划时间</w:t>
            </w:r>
            <w:r>
              <w:rPr>
                <w:rFonts w:hint="eastAsia" w:ascii="宋体" w:hAnsi="宋体" w:cs="宋体"/>
                <w:szCs w:val="21"/>
                <w:lang w:val="en-US" w:eastAsia="zh-CN"/>
              </w:rPr>
              <w:t>节点</w:t>
            </w:r>
            <w:r>
              <w:rPr>
                <w:rFonts w:hint="eastAsia" w:ascii="宋体" w:hAnsi="宋体" w:cs="宋体"/>
                <w:szCs w:val="21"/>
              </w:rPr>
              <w:t>安排满足要求，进度计划和保障措施具有一定的可行性，得1～3分；</w:t>
            </w:r>
          </w:p>
          <w:p>
            <w:pPr>
              <w:numPr>
                <w:ilvl w:val="0"/>
                <w:numId w:val="10"/>
              </w:numPr>
              <w:ind w:firstLine="420" w:firstLineChars="200"/>
              <w:jc w:val="left"/>
              <w:rPr>
                <w:rFonts w:ascii="宋体" w:hAnsi="宋体" w:cs="宋体"/>
                <w:szCs w:val="21"/>
              </w:rPr>
            </w:pPr>
            <w:r>
              <w:rPr>
                <w:rFonts w:hint="eastAsia" w:ascii="宋体" w:hAnsi="宋体" w:cs="宋体"/>
                <w:szCs w:val="21"/>
              </w:rPr>
              <w:t>教学辅助服务计划时间节点或进度计划安排合理性不足，或没有有效的保障措施，得0～1分；</w:t>
            </w:r>
          </w:p>
          <w:p>
            <w:pPr>
              <w:numPr>
                <w:ilvl w:val="0"/>
                <w:numId w:val="8"/>
              </w:numPr>
              <w:jc w:val="left"/>
              <w:rPr>
                <w:rFonts w:ascii="宋体" w:hAnsi="宋体" w:cs="宋体"/>
                <w:szCs w:val="21"/>
              </w:rPr>
            </w:pPr>
            <w:r>
              <w:rPr>
                <w:rFonts w:hint="eastAsia" w:ascii="宋体" w:hAnsi="宋体" w:cs="宋体"/>
                <w:szCs w:val="21"/>
              </w:rPr>
              <w:t>教学辅助服务服务体系与实质性服务承诺（3分）：</w:t>
            </w:r>
          </w:p>
          <w:p>
            <w:pPr>
              <w:numPr>
                <w:ilvl w:val="0"/>
                <w:numId w:val="11"/>
              </w:numPr>
              <w:ind w:firstLine="420" w:firstLineChars="200"/>
              <w:jc w:val="left"/>
              <w:rPr>
                <w:rFonts w:ascii="宋体" w:hAnsi="宋体" w:cs="宋体"/>
                <w:szCs w:val="21"/>
              </w:rPr>
            </w:pPr>
            <w:r>
              <w:rPr>
                <w:rFonts w:hint="eastAsia" w:ascii="宋体" w:hAnsi="宋体" w:cs="宋体"/>
                <w:szCs w:val="21"/>
              </w:rPr>
              <w:t>教学辅助服务体系完善，服务承诺可靠可信，得2～3分；</w:t>
            </w:r>
          </w:p>
          <w:p>
            <w:pPr>
              <w:numPr>
                <w:ilvl w:val="0"/>
                <w:numId w:val="11"/>
              </w:numPr>
              <w:ind w:firstLine="420" w:firstLineChars="200"/>
              <w:jc w:val="left"/>
              <w:rPr>
                <w:rFonts w:ascii="宋体" w:hAnsi="宋体" w:cs="宋体"/>
                <w:szCs w:val="21"/>
              </w:rPr>
            </w:pPr>
            <w:r>
              <w:rPr>
                <w:rFonts w:hint="eastAsia" w:ascii="宋体" w:hAnsi="宋体" w:cs="宋体"/>
                <w:szCs w:val="21"/>
              </w:rPr>
              <w:t>教学辅助服务体系较完善，服务承诺比较可靠可信，得1～2分；</w:t>
            </w:r>
          </w:p>
          <w:p>
            <w:pPr>
              <w:numPr>
                <w:ilvl w:val="0"/>
                <w:numId w:val="11"/>
              </w:numPr>
              <w:ind w:firstLine="420" w:firstLineChars="200"/>
              <w:jc w:val="left"/>
              <w:rPr>
                <w:rFonts w:ascii="宋体" w:hAnsi="宋体" w:cs="宋体"/>
                <w:szCs w:val="21"/>
              </w:rPr>
            </w:pPr>
            <w:r>
              <w:rPr>
                <w:rFonts w:hint="eastAsia" w:ascii="宋体" w:hAnsi="宋体" w:cs="宋体"/>
                <w:szCs w:val="21"/>
              </w:rPr>
              <w:t>教学辅助服务体系有较多欠缺，服务承诺不可靠不可信，得0～1分；</w:t>
            </w:r>
          </w:p>
          <w:p>
            <w:pPr>
              <w:numPr>
                <w:ilvl w:val="0"/>
                <w:numId w:val="8"/>
              </w:numPr>
              <w:jc w:val="left"/>
              <w:rPr>
                <w:rFonts w:ascii="宋体" w:hAnsi="宋体" w:cs="宋体"/>
                <w:szCs w:val="21"/>
              </w:rPr>
            </w:pPr>
            <w:r>
              <w:rPr>
                <w:rFonts w:hint="eastAsia" w:ascii="宋体" w:hAnsi="宋体" w:cs="宋体"/>
                <w:szCs w:val="21"/>
              </w:rPr>
              <w:t>教学辅助服务保密措施（3分）：</w:t>
            </w:r>
          </w:p>
          <w:p>
            <w:pPr>
              <w:ind w:firstLine="420" w:firstLineChars="200"/>
              <w:jc w:val="left"/>
              <w:rPr>
                <w:rFonts w:ascii="宋体" w:hAnsi="宋体" w:cs="宋体"/>
                <w:szCs w:val="21"/>
              </w:rPr>
            </w:pPr>
            <w:r>
              <w:rPr>
                <w:rFonts w:hint="eastAsia" w:ascii="宋体" w:hAnsi="宋体" w:cs="宋体"/>
                <w:szCs w:val="21"/>
              </w:rPr>
              <w:t>包括对潜在生源信息、在读学生信息、授课教师信息、授课材料和课件、采购方商业秘密等方面的保密。</w:t>
            </w:r>
          </w:p>
          <w:p>
            <w:pPr>
              <w:numPr>
                <w:ilvl w:val="0"/>
                <w:numId w:val="12"/>
              </w:numPr>
              <w:ind w:firstLine="420" w:firstLineChars="200"/>
              <w:jc w:val="left"/>
              <w:rPr>
                <w:rFonts w:ascii="宋体" w:hAnsi="宋体" w:cs="宋体"/>
                <w:szCs w:val="21"/>
              </w:rPr>
            </w:pPr>
            <w:r>
              <w:rPr>
                <w:rFonts w:hint="eastAsia" w:ascii="宋体" w:hAnsi="宋体" w:cs="宋体"/>
                <w:szCs w:val="21"/>
              </w:rPr>
              <w:t>具有健全的保密体系和制度，保密措施针对性强、可行性强，得2～3分；</w:t>
            </w:r>
          </w:p>
          <w:p>
            <w:pPr>
              <w:numPr>
                <w:ilvl w:val="0"/>
                <w:numId w:val="12"/>
              </w:numPr>
              <w:ind w:firstLine="420" w:firstLineChars="200"/>
              <w:jc w:val="left"/>
              <w:rPr>
                <w:rFonts w:ascii="宋体" w:hAnsi="宋体" w:cs="宋体"/>
                <w:szCs w:val="21"/>
              </w:rPr>
            </w:pPr>
            <w:r>
              <w:rPr>
                <w:rFonts w:hint="eastAsia" w:ascii="宋体" w:hAnsi="宋体" w:cs="宋体"/>
                <w:szCs w:val="21"/>
              </w:rPr>
              <w:t>保密措施基本满足要求，可行性较强，具有一定针对性，得1～2分；</w:t>
            </w:r>
          </w:p>
          <w:p>
            <w:pPr>
              <w:numPr>
                <w:ilvl w:val="0"/>
                <w:numId w:val="12"/>
              </w:numPr>
              <w:ind w:firstLine="420" w:firstLineChars="200"/>
              <w:jc w:val="left"/>
              <w:rPr>
                <w:rFonts w:ascii="宋体" w:hAnsi="宋体" w:cs="宋体"/>
                <w:szCs w:val="21"/>
              </w:rPr>
            </w:pPr>
            <w:r>
              <w:rPr>
                <w:rFonts w:hint="eastAsia" w:ascii="宋体" w:hAnsi="宋体" w:cs="宋体"/>
                <w:szCs w:val="21"/>
              </w:rPr>
              <w:t>保密措施合理性不足，得0～1分；</w:t>
            </w:r>
          </w:p>
          <w:p>
            <w:pPr>
              <w:numPr>
                <w:ilvl w:val="0"/>
                <w:numId w:val="8"/>
              </w:numPr>
              <w:jc w:val="left"/>
              <w:rPr>
                <w:rFonts w:ascii="宋体" w:hAnsi="宋体" w:cs="宋体"/>
                <w:szCs w:val="21"/>
              </w:rPr>
            </w:pPr>
            <w:r>
              <w:rPr>
                <w:rFonts w:hint="eastAsia" w:ascii="宋体" w:hAnsi="宋体" w:cs="宋体"/>
                <w:szCs w:val="21"/>
              </w:rPr>
              <w:t>针对本项目的教学辅助服务应急预案（7分）</w:t>
            </w:r>
          </w:p>
          <w:p>
            <w:pPr>
              <w:numPr>
                <w:ilvl w:val="0"/>
                <w:numId w:val="13"/>
              </w:numPr>
              <w:ind w:firstLine="420" w:firstLineChars="200"/>
              <w:jc w:val="left"/>
              <w:rPr>
                <w:rFonts w:ascii="宋体" w:hAnsi="宋体" w:cs="宋体"/>
                <w:szCs w:val="21"/>
              </w:rPr>
            </w:pPr>
            <w:r>
              <w:rPr>
                <w:rFonts w:hint="eastAsia" w:ascii="宋体" w:hAnsi="宋体" w:cs="宋体"/>
                <w:szCs w:val="21"/>
              </w:rPr>
              <w:t>教学辅助应急预案完善，应急处理办法和应急保障可行性、针对性强，得5～7分；</w:t>
            </w:r>
          </w:p>
          <w:p>
            <w:pPr>
              <w:numPr>
                <w:ilvl w:val="0"/>
                <w:numId w:val="13"/>
              </w:numPr>
              <w:ind w:firstLine="420" w:firstLineChars="200"/>
              <w:jc w:val="left"/>
              <w:rPr>
                <w:rFonts w:ascii="宋体" w:hAnsi="宋体" w:cs="宋体"/>
                <w:szCs w:val="21"/>
              </w:rPr>
            </w:pPr>
            <w:r>
              <w:rPr>
                <w:rFonts w:hint="eastAsia" w:ascii="宋体" w:hAnsi="宋体" w:cs="宋体"/>
                <w:szCs w:val="21"/>
              </w:rPr>
              <w:t>教学辅助应急预案较完善，应急处理办法和应急保障可行性、针对性较强，得3～5分；</w:t>
            </w:r>
          </w:p>
          <w:p>
            <w:pPr>
              <w:numPr>
                <w:ilvl w:val="0"/>
                <w:numId w:val="13"/>
              </w:numPr>
              <w:ind w:firstLine="420" w:firstLineChars="200"/>
              <w:jc w:val="left"/>
            </w:pPr>
            <w:r>
              <w:rPr>
                <w:rFonts w:hint="eastAsia" w:ascii="宋体" w:hAnsi="宋体" w:cs="宋体"/>
                <w:szCs w:val="21"/>
              </w:rPr>
              <w:t>教学辅助应急预案有较多欠缺，应急处理办法和应急保障可行性、针对性不强，得0～3分；</w:t>
            </w:r>
          </w:p>
          <w:p>
            <w:pPr>
              <w:numPr>
                <w:ilvl w:val="0"/>
                <w:numId w:val="8"/>
              </w:numPr>
              <w:jc w:val="left"/>
              <w:rPr>
                <w:rFonts w:ascii="宋体" w:hAnsi="宋体" w:cs="宋体"/>
                <w:szCs w:val="21"/>
              </w:rPr>
            </w:pPr>
            <w:r>
              <w:rPr>
                <w:rFonts w:hint="eastAsia" w:ascii="宋体" w:hAnsi="宋体" w:cs="宋体"/>
                <w:szCs w:val="21"/>
              </w:rPr>
              <w:t>教学辅助服务实质性增值服务（5分）：</w:t>
            </w:r>
          </w:p>
          <w:p>
            <w:pPr>
              <w:ind w:firstLine="420" w:firstLineChars="200"/>
              <w:jc w:val="left"/>
              <w:rPr>
                <w:rFonts w:ascii="宋体" w:hAnsi="宋体" w:cs="宋体"/>
                <w:szCs w:val="21"/>
              </w:rPr>
            </w:pPr>
            <w:r>
              <w:rPr>
                <w:rFonts w:hint="eastAsia" w:ascii="宋体" w:hAnsi="宋体" w:cs="宋体"/>
                <w:szCs w:val="21"/>
              </w:rPr>
              <w:t>包括投标公司提供的特色增值服务和实施计划。根据投标公司对本项目内涵建设和提质增效的贡献程度和对采购方的有利程度，综合打分，本项最高5分。</w:t>
            </w:r>
          </w:p>
        </w:tc>
      </w:tr>
    </w:tbl>
    <w:p>
      <w:pPr>
        <w:adjustRightInd w:val="0"/>
        <w:snapToGrid w:val="0"/>
        <w:spacing w:before="156" w:beforeLines="50"/>
        <w:rPr>
          <w:rFonts w:ascii="宋体" w:hAnsi="宋体" w:cs="宋体"/>
          <w:sz w:val="28"/>
          <w:szCs w:val="28"/>
        </w:rPr>
      </w:pPr>
      <w:r>
        <w:rPr>
          <w:rFonts w:hint="eastAsia" w:ascii="宋体" w:hAnsi="宋体" w:cs="宋体"/>
          <w:sz w:val="28"/>
          <w:szCs w:val="28"/>
        </w:rPr>
        <w:t>注：（1）评分的取值按四舍五入法，小数点后保留两位。</w:t>
      </w:r>
    </w:p>
    <w:p>
      <w:pPr>
        <w:numPr>
          <w:ilvl w:val="0"/>
          <w:numId w:val="14"/>
        </w:numPr>
        <w:adjustRightInd w:val="0"/>
        <w:snapToGrid w:val="0"/>
        <w:spacing w:before="156" w:beforeLines="50"/>
        <w:ind w:firstLine="560" w:firstLineChars="200"/>
        <w:rPr>
          <w:rFonts w:ascii="宋体" w:hAnsi="宋体" w:cs="宋体"/>
          <w:sz w:val="28"/>
          <w:szCs w:val="28"/>
        </w:rPr>
      </w:pPr>
      <w:r>
        <w:rPr>
          <w:rFonts w:hint="eastAsia" w:ascii="宋体" w:hAnsi="宋体" w:cs="宋体"/>
          <w:sz w:val="28"/>
          <w:szCs w:val="28"/>
        </w:rPr>
        <w:t>本表中要求提供的各类证明材料应清晰可辨，均需加盖供应商单位公章，否则将不认可该项材料的有效性。</w:t>
      </w:r>
      <w:bookmarkEnd w:id="0"/>
      <w:bookmarkEnd w:id="1"/>
      <w:bookmarkEnd w:id="2"/>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299F0"/>
    <w:multiLevelType w:val="singleLevel"/>
    <w:tmpl w:val="A4C299F0"/>
    <w:lvl w:ilvl="0" w:tentative="0">
      <w:start w:val="1"/>
      <w:numFmt w:val="decimalEnclosedCircleChinese"/>
      <w:suff w:val="nothing"/>
      <w:lvlText w:val="%1　"/>
      <w:lvlJc w:val="left"/>
      <w:pPr>
        <w:ind w:left="0" w:firstLine="400"/>
      </w:pPr>
      <w:rPr>
        <w:rFonts w:hint="eastAsia"/>
      </w:rPr>
    </w:lvl>
  </w:abstractNum>
  <w:abstractNum w:abstractNumId="1">
    <w:nsid w:val="B8FCEDF4"/>
    <w:multiLevelType w:val="singleLevel"/>
    <w:tmpl w:val="B8FCEDF4"/>
    <w:lvl w:ilvl="0" w:tentative="0">
      <w:start w:val="2"/>
      <w:numFmt w:val="decimal"/>
      <w:suff w:val="nothing"/>
      <w:lvlText w:val="（%1）"/>
      <w:lvlJc w:val="left"/>
    </w:lvl>
  </w:abstractNum>
  <w:abstractNum w:abstractNumId="2">
    <w:nsid w:val="E82F485C"/>
    <w:multiLevelType w:val="singleLevel"/>
    <w:tmpl w:val="E82F485C"/>
    <w:lvl w:ilvl="0" w:tentative="0">
      <w:start w:val="1"/>
      <w:numFmt w:val="decimalEnclosedCircleChinese"/>
      <w:suff w:val="nothing"/>
      <w:lvlText w:val="%1　"/>
      <w:lvlJc w:val="left"/>
      <w:pPr>
        <w:ind w:left="0" w:firstLine="400"/>
      </w:pPr>
      <w:rPr>
        <w:rFonts w:hint="eastAsia"/>
      </w:rPr>
    </w:lvl>
  </w:abstractNum>
  <w:abstractNum w:abstractNumId="3">
    <w:nsid w:val="E9161015"/>
    <w:multiLevelType w:val="singleLevel"/>
    <w:tmpl w:val="E9161015"/>
    <w:lvl w:ilvl="0" w:tentative="0">
      <w:start w:val="1"/>
      <w:numFmt w:val="decimalEnclosedCircleChinese"/>
      <w:suff w:val="nothing"/>
      <w:lvlText w:val="%1　"/>
      <w:lvlJc w:val="left"/>
      <w:pPr>
        <w:ind w:left="0" w:firstLine="400"/>
      </w:pPr>
      <w:rPr>
        <w:rFonts w:hint="eastAsia"/>
      </w:rPr>
    </w:lvl>
  </w:abstractNum>
  <w:abstractNum w:abstractNumId="4">
    <w:nsid w:val="EAA754C6"/>
    <w:multiLevelType w:val="singleLevel"/>
    <w:tmpl w:val="EAA754C6"/>
    <w:lvl w:ilvl="0" w:tentative="0">
      <w:start w:val="1"/>
      <w:numFmt w:val="decimal"/>
      <w:lvlText w:val="(%1)"/>
      <w:lvlJc w:val="left"/>
      <w:pPr>
        <w:ind w:left="425" w:hanging="425"/>
      </w:pPr>
      <w:rPr>
        <w:rFonts w:hint="default"/>
      </w:rPr>
    </w:lvl>
  </w:abstractNum>
  <w:abstractNum w:abstractNumId="5">
    <w:nsid w:val="13038B87"/>
    <w:multiLevelType w:val="singleLevel"/>
    <w:tmpl w:val="13038B87"/>
    <w:lvl w:ilvl="0" w:tentative="0">
      <w:start w:val="1"/>
      <w:numFmt w:val="decimalEnclosedCircleChinese"/>
      <w:suff w:val="nothing"/>
      <w:lvlText w:val="%1　"/>
      <w:lvlJc w:val="left"/>
      <w:pPr>
        <w:ind w:left="0" w:firstLine="400"/>
      </w:pPr>
      <w:rPr>
        <w:rFonts w:hint="eastAsia"/>
      </w:rPr>
    </w:lvl>
  </w:abstractNum>
  <w:abstractNum w:abstractNumId="6">
    <w:nsid w:val="140BA5EF"/>
    <w:multiLevelType w:val="singleLevel"/>
    <w:tmpl w:val="140BA5EF"/>
    <w:lvl w:ilvl="0" w:tentative="0">
      <w:start w:val="1"/>
      <w:numFmt w:val="decimalEnclosedCircleChinese"/>
      <w:suff w:val="nothing"/>
      <w:lvlText w:val="%1　"/>
      <w:lvlJc w:val="left"/>
      <w:pPr>
        <w:ind w:left="0" w:firstLine="400"/>
      </w:pPr>
      <w:rPr>
        <w:rFonts w:hint="eastAsia"/>
      </w:rPr>
    </w:lvl>
  </w:abstractNum>
  <w:abstractNum w:abstractNumId="7">
    <w:nsid w:val="168706E6"/>
    <w:multiLevelType w:val="singleLevel"/>
    <w:tmpl w:val="168706E6"/>
    <w:lvl w:ilvl="0" w:tentative="0">
      <w:start w:val="1"/>
      <w:numFmt w:val="decimalEnclosedCircleChinese"/>
      <w:suff w:val="nothing"/>
      <w:lvlText w:val="%1　"/>
      <w:lvlJc w:val="left"/>
      <w:pPr>
        <w:ind w:left="0" w:firstLine="400"/>
      </w:pPr>
      <w:rPr>
        <w:rFonts w:hint="eastAsia"/>
      </w:rPr>
    </w:lvl>
  </w:abstractNum>
  <w:abstractNum w:abstractNumId="8">
    <w:nsid w:val="41AE2A80"/>
    <w:multiLevelType w:val="singleLevel"/>
    <w:tmpl w:val="41AE2A80"/>
    <w:lvl w:ilvl="0" w:tentative="0">
      <w:start w:val="1"/>
      <w:numFmt w:val="decimalEnclosedCircleChinese"/>
      <w:suff w:val="nothing"/>
      <w:lvlText w:val="%1　"/>
      <w:lvlJc w:val="left"/>
      <w:pPr>
        <w:ind w:left="0" w:firstLine="400"/>
      </w:pPr>
      <w:rPr>
        <w:rFonts w:hint="eastAsia"/>
      </w:rPr>
    </w:lvl>
  </w:abstractNum>
  <w:abstractNum w:abstractNumId="9">
    <w:nsid w:val="42B7CF7C"/>
    <w:multiLevelType w:val="singleLevel"/>
    <w:tmpl w:val="42B7CF7C"/>
    <w:lvl w:ilvl="0" w:tentative="0">
      <w:start w:val="1"/>
      <w:numFmt w:val="decimalEnclosedCircleChinese"/>
      <w:suff w:val="nothing"/>
      <w:lvlText w:val="%1　"/>
      <w:lvlJc w:val="left"/>
      <w:pPr>
        <w:ind w:left="0" w:firstLine="400"/>
      </w:pPr>
      <w:rPr>
        <w:rFonts w:hint="eastAsia"/>
      </w:rPr>
    </w:lvl>
  </w:abstractNum>
  <w:abstractNum w:abstractNumId="10">
    <w:nsid w:val="61946AA4"/>
    <w:multiLevelType w:val="singleLevel"/>
    <w:tmpl w:val="61946AA4"/>
    <w:lvl w:ilvl="0" w:tentative="0">
      <w:start w:val="1"/>
      <w:numFmt w:val="decimalEnclosedCircleChinese"/>
      <w:suff w:val="nothing"/>
      <w:lvlText w:val="%1　"/>
      <w:lvlJc w:val="left"/>
      <w:pPr>
        <w:ind w:left="0" w:firstLine="400"/>
      </w:pPr>
      <w:rPr>
        <w:rFonts w:hint="eastAsia"/>
      </w:rPr>
    </w:lvl>
  </w:abstractNum>
  <w:abstractNum w:abstractNumId="11">
    <w:nsid w:val="65E1D8AF"/>
    <w:multiLevelType w:val="singleLevel"/>
    <w:tmpl w:val="65E1D8AF"/>
    <w:lvl w:ilvl="0" w:tentative="0">
      <w:start w:val="1"/>
      <w:numFmt w:val="decimal"/>
      <w:lvlText w:val="(%1)"/>
      <w:lvlJc w:val="left"/>
      <w:pPr>
        <w:ind w:left="425" w:hanging="425"/>
      </w:pPr>
      <w:rPr>
        <w:rFonts w:hint="default"/>
      </w:rPr>
    </w:lvl>
  </w:abstractNum>
  <w:abstractNum w:abstractNumId="12">
    <w:nsid w:val="70A37CE8"/>
    <w:multiLevelType w:val="singleLevel"/>
    <w:tmpl w:val="70A37CE8"/>
    <w:lvl w:ilvl="0" w:tentative="0">
      <w:start w:val="1"/>
      <w:numFmt w:val="decimalEnclosedCircleChinese"/>
      <w:suff w:val="nothing"/>
      <w:lvlText w:val="%1　"/>
      <w:lvlJc w:val="left"/>
      <w:pPr>
        <w:ind w:left="0" w:firstLine="400"/>
      </w:pPr>
      <w:rPr>
        <w:rFonts w:hint="eastAsia"/>
      </w:rPr>
    </w:lvl>
  </w:abstractNum>
  <w:abstractNum w:abstractNumId="13">
    <w:nsid w:val="71691ED7"/>
    <w:multiLevelType w:val="singleLevel"/>
    <w:tmpl w:val="71691ED7"/>
    <w:lvl w:ilvl="0" w:tentative="0">
      <w:start w:val="5"/>
      <w:numFmt w:val="chineseCounting"/>
      <w:suff w:val="nothing"/>
      <w:lvlText w:val="%1、"/>
      <w:lvlJc w:val="left"/>
      <w:rPr>
        <w:rFonts w:hint="eastAsia"/>
      </w:rPr>
    </w:lvl>
  </w:abstractNum>
  <w:num w:numId="1">
    <w:abstractNumId w:val="13"/>
  </w:num>
  <w:num w:numId="2">
    <w:abstractNumId w:val="11"/>
  </w:num>
  <w:num w:numId="3">
    <w:abstractNumId w:val="6"/>
  </w:num>
  <w:num w:numId="4">
    <w:abstractNumId w:val="5"/>
  </w:num>
  <w:num w:numId="5">
    <w:abstractNumId w:val="3"/>
  </w:num>
  <w:num w:numId="6">
    <w:abstractNumId w:val="7"/>
  </w:num>
  <w:num w:numId="7">
    <w:abstractNumId w:val="12"/>
  </w:num>
  <w:num w:numId="8">
    <w:abstractNumId w:val="4"/>
  </w:num>
  <w:num w:numId="9">
    <w:abstractNumId w:val="9"/>
  </w:num>
  <w:num w:numId="10">
    <w:abstractNumId w:val="0"/>
  </w:num>
  <w:num w:numId="11">
    <w:abstractNumId w:val="2"/>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wN2I3NDZmZWVjYTY1MGNiZmE2NzRiMTRiNTkwY2YifQ=="/>
  </w:docVars>
  <w:rsids>
    <w:rsidRoot w:val="00A161FC"/>
    <w:rsid w:val="000A72A6"/>
    <w:rsid w:val="000C0C24"/>
    <w:rsid w:val="000E1DD3"/>
    <w:rsid w:val="00105428"/>
    <w:rsid w:val="001251DF"/>
    <w:rsid w:val="00140AF0"/>
    <w:rsid w:val="001507CE"/>
    <w:rsid w:val="00157667"/>
    <w:rsid w:val="001609FC"/>
    <w:rsid w:val="0017330E"/>
    <w:rsid w:val="0018461B"/>
    <w:rsid w:val="00184F03"/>
    <w:rsid w:val="001B712C"/>
    <w:rsid w:val="001C41C3"/>
    <w:rsid w:val="00237253"/>
    <w:rsid w:val="002B3A1B"/>
    <w:rsid w:val="003113D4"/>
    <w:rsid w:val="00345D8D"/>
    <w:rsid w:val="0036352F"/>
    <w:rsid w:val="003649AF"/>
    <w:rsid w:val="0041690D"/>
    <w:rsid w:val="00453832"/>
    <w:rsid w:val="004951D7"/>
    <w:rsid w:val="004A43F0"/>
    <w:rsid w:val="004E4B14"/>
    <w:rsid w:val="004E6950"/>
    <w:rsid w:val="004F62C4"/>
    <w:rsid w:val="00501176"/>
    <w:rsid w:val="00510891"/>
    <w:rsid w:val="0052380F"/>
    <w:rsid w:val="0053111A"/>
    <w:rsid w:val="00562C62"/>
    <w:rsid w:val="005633CE"/>
    <w:rsid w:val="00571ADE"/>
    <w:rsid w:val="005951EF"/>
    <w:rsid w:val="005F1571"/>
    <w:rsid w:val="005F401F"/>
    <w:rsid w:val="00611202"/>
    <w:rsid w:val="006C2918"/>
    <w:rsid w:val="006C782C"/>
    <w:rsid w:val="006D0AF4"/>
    <w:rsid w:val="006F70E9"/>
    <w:rsid w:val="007554BB"/>
    <w:rsid w:val="007839AE"/>
    <w:rsid w:val="007A559F"/>
    <w:rsid w:val="007F4BD9"/>
    <w:rsid w:val="00800E12"/>
    <w:rsid w:val="008153D5"/>
    <w:rsid w:val="00823CA9"/>
    <w:rsid w:val="008403A0"/>
    <w:rsid w:val="00845A5F"/>
    <w:rsid w:val="0084652E"/>
    <w:rsid w:val="00860649"/>
    <w:rsid w:val="0089621F"/>
    <w:rsid w:val="00925E61"/>
    <w:rsid w:val="0099177F"/>
    <w:rsid w:val="00995789"/>
    <w:rsid w:val="009C7BC7"/>
    <w:rsid w:val="009F6CAB"/>
    <w:rsid w:val="009F7A2C"/>
    <w:rsid w:val="00A047F0"/>
    <w:rsid w:val="00A161FC"/>
    <w:rsid w:val="00A765E9"/>
    <w:rsid w:val="00AC005D"/>
    <w:rsid w:val="00AF7468"/>
    <w:rsid w:val="00B4481B"/>
    <w:rsid w:val="00B72BD6"/>
    <w:rsid w:val="00B91989"/>
    <w:rsid w:val="00BC3D86"/>
    <w:rsid w:val="00BE5444"/>
    <w:rsid w:val="00C15054"/>
    <w:rsid w:val="00C63818"/>
    <w:rsid w:val="00C82348"/>
    <w:rsid w:val="00CD153F"/>
    <w:rsid w:val="00CD2230"/>
    <w:rsid w:val="00D718BC"/>
    <w:rsid w:val="00DC1928"/>
    <w:rsid w:val="00DF5062"/>
    <w:rsid w:val="00E0581E"/>
    <w:rsid w:val="00E1130A"/>
    <w:rsid w:val="00E4264C"/>
    <w:rsid w:val="00E73399"/>
    <w:rsid w:val="00E7573D"/>
    <w:rsid w:val="00E821CF"/>
    <w:rsid w:val="00E931F1"/>
    <w:rsid w:val="00EE43E4"/>
    <w:rsid w:val="00F52C1F"/>
    <w:rsid w:val="00F9789E"/>
    <w:rsid w:val="00FB00E1"/>
    <w:rsid w:val="00FC1111"/>
    <w:rsid w:val="00FC3BB8"/>
    <w:rsid w:val="00FE1B41"/>
    <w:rsid w:val="00FF21F2"/>
    <w:rsid w:val="00FF47AD"/>
    <w:rsid w:val="00FF7554"/>
    <w:rsid w:val="015809C4"/>
    <w:rsid w:val="01EC5C3E"/>
    <w:rsid w:val="022C6982"/>
    <w:rsid w:val="04B54A0D"/>
    <w:rsid w:val="07FC0BA5"/>
    <w:rsid w:val="088C66FF"/>
    <w:rsid w:val="0911242E"/>
    <w:rsid w:val="099B5350"/>
    <w:rsid w:val="09A71574"/>
    <w:rsid w:val="0B765B5B"/>
    <w:rsid w:val="0C6C198B"/>
    <w:rsid w:val="0D3216B4"/>
    <w:rsid w:val="0F585A87"/>
    <w:rsid w:val="10907E3C"/>
    <w:rsid w:val="11673533"/>
    <w:rsid w:val="11B64DE3"/>
    <w:rsid w:val="125A4E46"/>
    <w:rsid w:val="14276FAA"/>
    <w:rsid w:val="14281C22"/>
    <w:rsid w:val="15AE34DE"/>
    <w:rsid w:val="161D0664"/>
    <w:rsid w:val="178A3AD7"/>
    <w:rsid w:val="17AC6144"/>
    <w:rsid w:val="180D3B06"/>
    <w:rsid w:val="187E50BF"/>
    <w:rsid w:val="19946E8F"/>
    <w:rsid w:val="199E7D0E"/>
    <w:rsid w:val="19AE79AF"/>
    <w:rsid w:val="19CD7938"/>
    <w:rsid w:val="1BBE5191"/>
    <w:rsid w:val="1BC72B84"/>
    <w:rsid w:val="1CB57CA7"/>
    <w:rsid w:val="1CB83B30"/>
    <w:rsid w:val="1CC57F42"/>
    <w:rsid w:val="1CFC261A"/>
    <w:rsid w:val="1D0A73B1"/>
    <w:rsid w:val="1FBC2C9C"/>
    <w:rsid w:val="1FC65749"/>
    <w:rsid w:val="20427E78"/>
    <w:rsid w:val="21C57FF4"/>
    <w:rsid w:val="21DB73FB"/>
    <w:rsid w:val="22A52EE6"/>
    <w:rsid w:val="22E07847"/>
    <w:rsid w:val="233B0E5B"/>
    <w:rsid w:val="236964A7"/>
    <w:rsid w:val="240C3129"/>
    <w:rsid w:val="244D480A"/>
    <w:rsid w:val="247F01ED"/>
    <w:rsid w:val="24FC68BD"/>
    <w:rsid w:val="26AA4E0B"/>
    <w:rsid w:val="27286E69"/>
    <w:rsid w:val="280F0449"/>
    <w:rsid w:val="29477A7A"/>
    <w:rsid w:val="29DB2BB8"/>
    <w:rsid w:val="2AAB5CA7"/>
    <w:rsid w:val="2C200BF3"/>
    <w:rsid w:val="2D637F86"/>
    <w:rsid w:val="2DB77A10"/>
    <w:rsid w:val="2DC93154"/>
    <w:rsid w:val="2F46011B"/>
    <w:rsid w:val="301306B6"/>
    <w:rsid w:val="32424281"/>
    <w:rsid w:val="32F13120"/>
    <w:rsid w:val="330662B0"/>
    <w:rsid w:val="33A928CE"/>
    <w:rsid w:val="34645984"/>
    <w:rsid w:val="34DA79F4"/>
    <w:rsid w:val="35304CD4"/>
    <w:rsid w:val="35607A21"/>
    <w:rsid w:val="37465A28"/>
    <w:rsid w:val="38097EDE"/>
    <w:rsid w:val="3887291D"/>
    <w:rsid w:val="391C2CC0"/>
    <w:rsid w:val="396A3901"/>
    <w:rsid w:val="3A2C6ACB"/>
    <w:rsid w:val="3AFF66D9"/>
    <w:rsid w:val="3C6A592B"/>
    <w:rsid w:val="3C8B7BAF"/>
    <w:rsid w:val="3C940DD1"/>
    <w:rsid w:val="3EAB3D58"/>
    <w:rsid w:val="3EDB2682"/>
    <w:rsid w:val="3F5E1222"/>
    <w:rsid w:val="3F9609BC"/>
    <w:rsid w:val="402A08D4"/>
    <w:rsid w:val="402D1859"/>
    <w:rsid w:val="40C00DC8"/>
    <w:rsid w:val="41F027BE"/>
    <w:rsid w:val="427E58A6"/>
    <w:rsid w:val="42EF6D61"/>
    <w:rsid w:val="430D71E7"/>
    <w:rsid w:val="4362139B"/>
    <w:rsid w:val="437D208E"/>
    <w:rsid w:val="44780FD8"/>
    <w:rsid w:val="44D35D7A"/>
    <w:rsid w:val="453C0257"/>
    <w:rsid w:val="45456FB2"/>
    <w:rsid w:val="45594B71"/>
    <w:rsid w:val="45721220"/>
    <w:rsid w:val="46F74436"/>
    <w:rsid w:val="47EC5F8C"/>
    <w:rsid w:val="48B02852"/>
    <w:rsid w:val="492B03C7"/>
    <w:rsid w:val="4953205B"/>
    <w:rsid w:val="4C4E2CBD"/>
    <w:rsid w:val="4C612CDD"/>
    <w:rsid w:val="4C8F419E"/>
    <w:rsid w:val="4D1F5594"/>
    <w:rsid w:val="4D3F0047"/>
    <w:rsid w:val="4D64095C"/>
    <w:rsid w:val="4D716FC4"/>
    <w:rsid w:val="4E5959D6"/>
    <w:rsid w:val="4FAF6015"/>
    <w:rsid w:val="4FB07E4C"/>
    <w:rsid w:val="507E179E"/>
    <w:rsid w:val="50F1625A"/>
    <w:rsid w:val="510D42DC"/>
    <w:rsid w:val="523D7DDF"/>
    <w:rsid w:val="529E42FF"/>
    <w:rsid w:val="52F65EE9"/>
    <w:rsid w:val="531607D1"/>
    <w:rsid w:val="533B3A82"/>
    <w:rsid w:val="53537FC2"/>
    <w:rsid w:val="53FA7313"/>
    <w:rsid w:val="54200610"/>
    <w:rsid w:val="55F0088B"/>
    <w:rsid w:val="56455D97"/>
    <w:rsid w:val="57DE00B6"/>
    <w:rsid w:val="58F22CAF"/>
    <w:rsid w:val="594369EE"/>
    <w:rsid w:val="59723D50"/>
    <w:rsid w:val="598516EC"/>
    <w:rsid w:val="59DB3AA2"/>
    <w:rsid w:val="5A7A547C"/>
    <w:rsid w:val="5A897C95"/>
    <w:rsid w:val="5B286E5C"/>
    <w:rsid w:val="5B920779"/>
    <w:rsid w:val="5BCC4E29"/>
    <w:rsid w:val="5C11209A"/>
    <w:rsid w:val="5C3819D1"/>
    <w:rsid w:val="5D7037ED"/>
    <w:rsid w:val="5DA819F4"/>
    <w:rsid w:val="5F881C77"/>
    <w:rsid w:val="602E1B5A"/>
    <w:rsid w:val="6039376E"/>
    <w:rsid w:val="607E2BDE"/>
    <w:rsid w:val="615573BE"/>
    <w:rsid w:val="617701F5"/>
    <w:rsid w:val="61B7412F"/>
    <w:rsid w:val="61EF7D7C"/>
    <w:rsid w:val="622E70A1"/>
    <w:rsid w:val="629D78EF"/>
    <w:rsid w:val="62E83F51"/>
    <w:rsid w:val="63A65609"/>
    <w:rsid w:val="64501908"/>
    <w:rsid w:val="64B70CC9"/>
    <w:rsid w:val="668F2A83"/>
    <w:rsid w:val="66C83F2C"/>
    <w:rsid w:val="66F51579"/>
    <w:rsid w:val="66F66060"/>
    <w:rsid w:val="680F7AC7"/>
    <w:rsid w:val="683E218A"/>
    <w:rsid w:val="6964288A"/>
    <w:rsid w:val="6A1C497B"/>
    <w:rsid w:val="6A612E2D"/>
    <w:rsid w:val="6AD51554"/>
    <w:rsid w:val="6AEE6320"/>
    <w:rsid w:val="6AEE6DDA"/>
    <w:rsid w:val="6B3E1D53"/>
    <w:rsid w:val="6C3F7B62"/>
    <w:rsid w:val="6D3333BA"/>
    <w:rsid w:val="6D54286C"/>
    <w:rsid w:val="6F345300"/>
    <w:rsid w:val="6F942090"/>
    <w:rsid w:val="70EC14EA"/>
    <w:rsid w:val="717C53B4"/>
    <w:rsid w:val="71A4617A"/>
    <w:rsid w:val="71DD27A6"/>
    <w:rsid w:val="73476A2F"/>
    <w:rsid w:val="74BC6350"/>
    <w:rsid w:val="75550D0E"/>
    <w:rsid w:val="75DF5F11"/>
    <w:rsid w:val="75F47C0F"/>
    <w:rsid w:val="76FB2C65"/>
    <w:rsid w:val="77C96E79"/>
    <w:rsid w:val="791A3E30"/>
    <w:rsid w:val="794F6395"/>
    <w:rsid w:val="799E1F74"/>
    <w:rsid w:val="7A286FF8"/>
    <w:rsid w:val="7A5213A8"/>
    <w:rsid w:val="7A697680"/>
    <w:rsid w:val="7CFA011A"/>
    <w:rsid w:val="7D4F1DA3"/>
    <w:rsid w:val="7D65186B"/>
    <w:rsid w:val="7D67516A"/>
    <w:rsid w:val="7D943785"/>
    <w:rsid w:val="7DB33A33"/>
    <w:rsid w:val="7DD27517"/>
    <w:rsid w:val="7E8E272F"/>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文档正文"/>
    <w:basedOn w:val="1"/>
    <w:qFormat/>
    <w:uiPriority w:val="0"/>
    <w:pPr>
      <w:spacing w:line="360" w:lineRule="auto"/>
      <w:ind w:firstLine="200" w:firstLineChars="200"/>
    </w:pPr>
    <w:rPr>
      <w:rFonts w:ascii="宋体" w:hAnsi="宋体"/>
      <w:sz w:val="24"/>
    </w:rPr>
  </w:style>
  <w:style w:type="paragraph" w:styleId="4">
    <w:name w:val="annotation text"/>
    <w:basedOn w:val="1"/>
    <w:link w:val="24"/>
    <w:semiHidden/>
    <w:unhideWhenUsed/>
    <w:qFormat/>
    <w:uiPriority w:val="99"/>
    <w:pPr>
      <w:jc w:val="left"/>
    </w:pPr>
  </w:style>
  <w:style w:type="paragraph" w:styleId="5">
    <w:name w:val="Plain Text"/>
    <w:basedOn w:val="1"/>
    <w:link w:val="15"/>
    <w:qFormat/>
    <w:uiPriority w:val="0"/>
    <w:rPr>
      <w:rFonts w:ascii="宋体" w:hAnsi="Courier New" w:cstheme="minorBidi"/>
      <w:szCs w:val="22"/>
    </w:rPr>
  </w:style>
  <w:style w:type="paragraph" w:styleId="6">
    <w:name w:val="Balloon Text"/>
    <w:basedOn w:val="1"/>
    <w:link w:val="23"/>
    <w:semiHidden/>
    <w:unhideWhenUsed/>
    <w:qFormat/>
    <w:uiPriority w:val="99"/>
    <w:rPr>
      <w:sz w:val="18"/>
      <w:szCs w:val="18"/>
    </w:rPr>
  </w:style>
  <w:style w:type="paragraph" w:styleId="7">
    <w:name w:val="footer"/>
    <w:basedOn w:val="1"/>
    <w:link w:val="16"/>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17"/>
    <w:qFormat/>
    <w:uiPriority w:val="0"/>
    <w:pPr>
      <w:spacing w:before="240" w:after="60"/>
      <w:jc w:val="center"/>
      <w:outlineLvl w:val="0"/>
    </w:pPr>
    <w:rPr>
      <w:rFonts w:ascii="Arial" w:hAnsi="Arial" w:cs="Arial"/>
      <w:b/>
      <w:bCs/>
      <w:sz w:val="32"/>
      <w:szCs w:val="32"/>
    </w:r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纯文本 字符"/>
    <w:link w:val="5"/>
    <w:qFormat/>
    <w:uiPriority w:val="0"/>
    <w:rPr>
      <w:rFonts w:ascii="宋体" w:hAnsi="Courier New" w:eastAsia="宋体"/>
    </w:rPr>
  </w:style>
  <w:style w:type="character" w:customStyle="1" w:styleId="16">
    <w:name w:val="页脚 字符"/>
    <w:link w:val="7"/>
    <w:qFormat/>
    <w:uiPriority w:val="0"/>
    <w:rPr>
      <w:sz w:val="18"/>
    </w:rPr>
  </w:style>
  <w:style w:type="character" w:customStyle="1" w:styleId="17">
    <w:name w:val="标题 字符"/>
    <w:link w:val="9"/>
    <w:qFormat/>
    <w:uiPriority w:val="0"/>
    <w:rPr>
      <w:rFonts w:ascii="Arial" w:hAnsi="Arial" w:eastAsia="宋体" w:cs="Arial"/>
      <w:b/>
      <w:bCs/>
      <w:sz w:val="32"/>
      <w:szCs w:val="32"/>
    </w:rPr>
  </w:style>
  <w:style w:type="character" w:customStyle="1" w:styleId="18">
    <w:name w:val="页脚 Char"/>
    <w:basedOn w:val="13"/>
    <w:semiHidden/>
    <w:qFormat/>
    <w:uiPriority w:val="99"/>
    <w:rPr>
      <w:rFonts w:ascii="Times New Roman" w:hAnsi="Times New Roman" w:eastAsia="宋体" w:cs="Times New Roman"/>
      <w:sz w:val="18"/>
      <w:szCs w:val="18"/>
    </w:rPr>
  </w:style>
  <w:style w:type="character" w:customStyle="1" w:styleId="19">
    <w:name w:val="标题 Char"/>
    <w:basedOn w:val="13"/>
    <w:qFormat/>
    <w:uiPriority w:val="10"/>
    <w:rPr>
      <w:rFonts w:eastAsia="宋体" w:asciiTheme="majorHAnsi" w:hAnsiTheme="majorHAnsi" w:cstheme="majorBidi"/>
      <w:b/>
      <w:bCs/>
      <w:sz w:val="32"/>
      <w:szCs w:val="32"/>
    </w:rPr>
  </w:style>
  <w:style w:type="character" w:customStyle="1" w:styleId="20">
    <w:name w:val="纯文本 Char"/>
    <w:basedOn w:val="13"/>
    <w:semiHidden/>
    <w:qFormat/>
    <w:uiPriority w:val="99"/>
    <w:rPr>
      <w:rFonts w:ascii="宋体" w:hAnsi="Courier New" w:eastAsia="宋体" w:cs="Courier New"/>
      <w:szCs w:val="21"/>
    </w:rPr>
  </w:style>
  <w:style w:type="character" w:customStyle="1" w:styleId="21">
    <w:name w:val="页眉 字符"/>
    <w:basedOn w:val="13"/>
    <w:link w:val="8"/>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3"/>
    <w:link w:val="6"/>
    <w:semiHidden/>
    <w:qFormat/>
    <w:uiPriority w:val="99"/>
    <w:rPr>
      <w:rFonts w:ascii="Times New Roman" w:hAnsi="Times New Roman" w:eastAsia="宋体" w:cs="Times New Roman"/>
      <w:sz w:val="18"/>
      <w:szCs w:val="18"/>
    </w:rPr>
  </w:style>
  <w:style w:type="character" w:customStyle="1" w:styleId="24">
    <w:name w:val="批注文字 字符"/>
    <w:basedOn w:val="13"/>
    <w:link w:val="4"/>
    <w:semiHidden/>
    <w:qFormat/>
    <w:uiPriority w:val="99"/>
    <w:rPr>
      <w:kern w:val="2"/>
      <w:sz w:val="21"/>
    </w:rPr>
  </w:style>
  <w:style w:type="character" w:customStyle="1" w:styleId="25">
    <w:name w:val="批注主题 字符"/>
    <w:basedOn w:val="24"/>
    <w:link w:val="10"/>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4BEF9-03A1-46FF-9855-DCE737FE13C6}">
  <ds:schemaRefs/>
</ds:datastoreItem>
</file>

<file path=docProps/app.xml><?xml version="1.0" encoding="utf-8"?>
<Properties xmlns="http://schemas.openxmlformats.org/officeDocument/2006/extended-properties" xmlns:vt="http://schemas.openxmlformats.org/officeDocument/2006/docPropsVTypes">
  <Template>Normal</Template>
  <Pages>9</Pages>
  <Words>1005</Words>
  <Characters>5735</Characters>
  <Lines>47</Lines>
  <Paragraphs>13</Paragraphs>
  <TotalTime>16</TotalTime>
  <ScaleCrop>false</ScaleCrop>
  <LinksUpToDate>false</LinksUpToDate>
  <CharactersWithSpaces>6727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石枕寒流</cp:lastModifiedBy>
  <cp:lastPrinted>2025-07-07T01:26:00Z</cp:lastPrinted>
  <dcterms:modified xsi:type="dcterms:W3CDTF">2025-07-23T01:28:44Z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FD47254428C546C79753499200788EBF</vt:lpwstr>
  </property>
</Properties>
</file>