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8"/>
        <w:adjustRightInd w:val="0"/>
        <w:snapToGrid w:val="0"/>
        <w:spacing w:before="0" w:after="0" w:line="360" w:lineRule="auto"/>
        <w:outlineLvl w:val="9"/>
        <w:rPr>
          <w:rFonts w:ascii="Times New Roman" w:hAnsi="Times New Roman" w:eastAsia="方正小标宋简体" w:cs="Times New Roman"/>
          <w:b w:val="0"/>
          <w:bCs w:val="0"/>
          <w:sz w:val="36"/>
        </w:rPr>
      </w:pPr>
      <w:bookmarkStart w:id="0" w:name="_Toc38367762"/>
      <w:r>
        <w:rPr>
          <w:rFonts w:ascii="Times New Roman" w:hAnsi="Times New Roman" w:eastAsia="方正小标宋简体" w:cs="Times New Roman"/>
          <w:b w:val="0"/>
          <w:bCs w:val="0"/>
          <w:sz w:val="36"/>
        </w:rPr>
        <w:t>【</w:t>
      </w:r>
      <w:r>
        <w:rPr>
          <w:rFonts w:ascii="Times New Roman" w:hAnsi="Times New Roman" w:cs="Times New Roman"/>
          <w:sz w:val="36"/>
        </w:rPr>
        <w:t>低能高速扫描电子显微镜</w:t>
      </w:r>
      <w:r>
        <w:rPr>
          <w:rFonts w:hint="eastAsia"/>
          <w:sz w:val="36"/>
          <w:szCs w:val="36"/>
        </w:rPr>
        <w:t>晶体学分析系统</w:t>
      </w:r>
      <w:r>
        <w:rPr>
          <w:rFonts w:ascii="Times New Roman" w:hAnsi="Times New Roman" w:eastAsia="方正小标宋简体" w:cs="Times New Roman"/>
          <w:b w:val="0"/>
          <w:bCs w:val="0"/>
          <w:sz w:val="36"/>
        </w:rPr>
        <w:t>】采购需求</w:t>
      </w:r>
      <w:bookmarkEnd w:id="0"/>
    </w:p>
    <w:p w14:paraId="77C2D7A7">
      <w:pPr>
        <w:tabs>
          <w:tab w:val="left" w:pos="900"/>
        </w:tabs>
        <w:adjustRightInd w:val="0"/>
        <w:snapToGrid w:val="0"/>
        <w:spacing w:line="360" w:lineRule="auto"/>
        <w:ind w:firstLine="422" w:firstLineChars="200"/>
        <w:rPr>
          <w:b/>
          <w:szCs w:val="21"/>
        </w:rPr>
      </w:pPr>
      <w:bookmarkStart w:id="1" w:name="_Toc172360661"/>
      <w:bookmarkStart w:id="2" w:name="_Toc158978330"/>
      <w:bookmarkStart w:id="3" w:name="_Toc219271393"/>
      <w:r>
        <w:rPr>
          <w:b/>
          <w:szCs w:val="21"/>
        </w:rPr>
        <w:t>一、采购标的需实现的功能或者目标，以及为落实政府采购政策需满足的要求：</w:t>
      </w:r>
    </w:p>
    <w:p w14:paraId="08D81523">
      <w:pPr>
        <w:tabs>
          <w:tab w:val="left" w:pos="900"/>
        </w:tabs>
        <w:adjustRightInd w:val="0"/>
        <w:snapToGrid w:val="0"/>
        <w:spacing w:line="360" w:lineRule="auto"/>
        <w:ind w:firstLine="422" w:firstLineChars="200"/>
        <w:rPr>
          <w:b/>
          <w:szCs w:val="21"/>
        </w:rPr>
      </w:pPr>
      <w:r>
        <w:rPr>
          <w:b/>
          <w:szCs w:val="21"/>
        </w:rPr>
        <w:t>（一）采购标的需实现的功能或者目标</w:t>
      </w:r>
    </w:p>
    <w:p w14:paraId="65F17E24">
      <w:pPr>
        <w:tabs>
          <w:tab w:val="left" w:pos="900"/>
        </w:tabs>
        <w:adjustRightInd w:val="0"/>
        <w:snapToGrid w:val="0"/>
        <w:spacing w:line="360" w:lineRule="auto"/>
        <w:ind w:firstLine="420" w:firstLineChars="200"/>
        <w:rPr>
          <w:rFonts w:hint="eastAsia"/>
        </w:rPr>
      </w:pPr>
      <w:r>
        <w:t>本项目采购低能高速扫描电子显微镜</w:t>
      </w:r>
      <w:r>
        <w:rPr>
          <w:rFonts w:hint="eastAsia"/>
        </w:rPr>
        <w:t>晶体学分析系统</w:t>
      </w:r>
      <w:r>
        <w:t>1套</w:t>
      </w:r>
      <w:r>
        <w:rPr>
          <w:rFonts w:hint="eastAsia"/>
          <w:lang w:eastAsia="zh-CN"/>
        </w:rPr>
        <w:t>。</w:t>
      </w:r>
      <w:r>
        <w:rPr>
          <w:rFonts w:hint="eastAsia"/>
        </w:rPr>
        <w:t>要求该系统</w:t>
      </w:r>
      <w:r>
        <w:rPr>
          <w:szCs w:val="21"/>
        </w:rPr>
        <w:t>支持</w:t>
      </w:r>
      <w:r>
        <w:rPr>
          <w:rFonts w:hint="eastAsia"/>
          <w:szCs w:val="21"/>
          <w:lang w:val="en-US" w:eastAsia="zh-CN"/>
        </w:rPr>
        <w:t>在</w:t>
      </w:r>
      <w:r>
        <w:rPr>
          <w:rFonts w:hint="eastAsia"/>
          <w:szCs w:val="21"/>
        </w:rPr>
        <w:t>5</w:t>
      </w:r>
      <w:r>
        <w:rPr>
          <w:szCs w:val="21"/>
        </w:rPr>
        <w:t>-30 kV全区间常规样品测试</w:t>
      </w:r>
      <w:r>
        <w:rPr>
          <w:rFonts w:hint="eastAsia"/>
          <w:szCs w:val="21"/>
        </w:rPr>
        <w:t>，且</w:t>
      </w:r>
      <w:r>
        <w:rPr>
          <w:rFonts w:hint="eastAsia"/>
        </w:rPr>
        <w:t>在5-15 kV低</w:t>
      </w:r>
      <w:r>
        <w:rPr>
          <w:rFonts w:hint="eastAsia"/>
          <w:lang w:val="en-US" w:eastAsia="zh-CN"/>
        </w:rPr>
        <w:t>加速</w:t>
      </w:r>
      <w:r>
        <w:rPr>
          <w:rFonts w:hint="eastAsia"/>
        </w:rPr>
        <w:t>电压下</w:t>
      </w:r>
      <w:r>
        <w:rPr>
          <w:rFonts w:hint="eastAsia"/>
          <w:lang w:val="en-US" w:eastAsia="zh-CN"/>
        </w:rPr>
        <w:t>能够</w:t>
      </w:r>
      <w:r>
        <w:rPr>
          <w:rFonts w:hint="eastAsia"/>
        </w:rPr>
        <w:t>清晰解析固态电池电解质</w:t>
      </w:r>
      <w:r>
        <w:rPr>
          <w:rFonts w:hint="eastAsia"/>
          <w:lang w:val="en-US" w:eastAsia="zh-CN"/>
        </w:rPr>
        <w:t>材料</w:t>
      </w:r>
      <w:r>
        <w:rPr>
          <w:rFonts w:hint="eastAsia"/>
        </w:rPr>
        <w:t>、钙钛矿</w:t>
      </w:r>
      <w:r>
        <w:rPr>
          <w:rFonts w:hint="eastAsia"/>
          <w:lang w:val="en-US" w:eastAsia="zh-CN"/>
        </w:rPr>
        <w:t>太阳能电池材料的</w:t>
      </w:r>
      <w:r>
        <w:rPr>
          <w:rFonts w:hint="eastAsia"/>
        </w:rPr>
        <w:t>晶粒取向、相分布</w:t>
      </w:r>
      <w:r>
        <w:rPr>
          <w:rFonts w:hint="eastAsia"/>
          <w:lang w:val="en-US" w:eastAsia="zh-CN"/>
        </w:rPr>
        <w:t>及</w:t>
      </w:r>
      <w:r>
        <w:rPr>
          <w:rFonts w:hint="eastAsia"/>
        </w:rPr>
        <w:t>晶界特性等</w:t>
      </w:r>
      <w:r>
        <w:rPr>
          <w:rFonts w:hint="eastAsia"/>
          <w:lang w:val="en-US" w:eastAsia="zh-CN"/>
        </w:rPr>
        <w:t>信息</w:t>
      </w:r>
      <w:r>
        <w:rPr>
          <w:rFonts w:hint="eastAsia"/>
          <w:lang w:eastAsia="zh-CN"/>
        </w:rPr>
        <w:t>。</w:t>
      </w:r>
      <w:r>
        <w:rPr>
          <w:rFonts w:hint="eastAsia"/>
          <w:lang w:val="en-US" w:eastAsia="zh-CN"/>
        </w:rPr>
        <w:t>系统还需具备</w:t>
      </w:r>
      <w:r>
        <w:rPr>
          <w:rFonts w:hint="eastAsia"/>
        </w:rPr>
        <w:t>与现有能谱仪联用</w:t>
      </w:r>
      <w:r>
        <w:rPr>
          <w:rFonts w:hint="eastAsia"/>
          <w:lang w:val="en-US" w:eastAsia="zh-CN"/>
        </w:rPr>
        <w:t>的能力</w:t>
      </w:r>
      <w:r>
        <w:rPr>
          <w:rFonts w:hint="eastAsia"/>
        </w:rPr>
        <w:t xml:space="preserve">, </w:t>
      </w:r>
      <w:r>
        <w:rPr>
          <w:rFonts w:hint="eastAsia"/>
          <w:lang w:val="en-US" w:eastAsia="zh-CN"/>
        </w:rPr>
        <w:t>以实现</w:t>
      </w:r>
      <w:r>
        <w:rPr>
          <w:rFonts w:hint="eastAsia"/>
        </w:rPr>
        <w:t>成分和</w:t>
      </w:r>
      <w:r>
        <w:rPr>
          <w:rFonts w:hint="eastAsia"/>
          <w:lang w:val="en-US" w:eastAsia="zh-CN"/>
        </w:rPr>
        <w:t>晶体</w:t>
      </w:r>
      <w:r>
        <w:rPr>
          <w:rFonts w:hint="eastAsia"/>
        </w:rPr>
        <w:t>结构信息</w:t>
      </w:r>
      <w:r>
        <w:rPr>
          <w:rFonts w:hint="eastAsia"/>
          <w:lang w:val="en-US" w:eastAsia="zh-CN"/>
        </w:rPr>
        <w:t>的同步采集</w:t>
      </w:r>
      <w:r>
        <w:rPr>
          <w:rFonts w:hint="eastAsia"/>
        </w:rPr>
        <w:t>，</w:t>
      </w:r>
      <w:r>
        <w:rPr>
          <w:rFonts w:hint="eastAsia"/>
          <w:lang w:val="en-US" w:eastAsia="zh-CN"/>
        </w:rPr>
        <w:t>从而</w:t>
      </w:r>
      <w:r>
        <w:rPr>
          <w:rFonts w:hint="eastAsia"/>
        </w:rPr>
        <w:t>精准鉴别物相</w:t>
      </w:r>
      <w:r>
        <w:rPr>
          <w:rFonts w:hint="eastAsia"/>
          <w:lang w:eastAsia="zh-CN"/>
        </w:rPr>
        <w:t>，</w:t>
      </w:r>
      <w:r>
        <w:rPr>
          <w:rFonts w:hint="eastAsia"/>
          <w:lang w:val="en-US" w:eastAsia="zh-CN"/>
        </w:rPr>
        <w:t>并有效</w:t>
      </w:r>
      <w:r>
        <w:rPr>
          <w:rFonts w:hint="eastAsia"/>
        </w:rPr>
        <w:t>区分化学性质相近物相，扩展现有的扫描电镜在低电压下对</w:t>
      </w:r>
      <w:r>
        <w:rPr>
          <w:rFonts w:hint="eastAsia"/>
          <w:lang w:val="en-US" w:eastAsia="zh-CN"/>
        </w:rPr>
        <w:t>电子束</w:t>
      </w:r>
      <w:r>
        <w:rPr>
          <w:rFonts w:hint="eastAsia"/>
        </w:rPr>
        <w:t>敏感</w:t>
      </w:r>
      <w:r>
        <w:rPr>
          <w:rFonts w:hint="eastAsia"/>
          <w:lang w:val="en-US" w:eastAsia="zh-CN"/>
        </w:rPr>
        <w:t>材料及</w:t>
      </w:r>
      <w:r>
        <w:rPr>
          <w:rFonts w:hint="eastAsia"/>
        </w:rPr>
        <w:t>纳米材料进行晶体学和成分综合分析的功能。</w:t>
      </w:r>
    </w:p>
    <w:p w14:paraId="7E45FA3A">
      <w:pPr>
        <w:tabs>
          <w:tab w:val="left" w:pos="900"/>
        </w:tabs>
        <w:adjustRightInd w:val="0"/>
        <w:snapToGrid w:val="0"/>
        <w:spacing w:line="360" w:lineRule="auto"/>
        <w:ind w:firstLine="422" w:firstLineChars="200"/>
        <w:rPr>
          <w:b/>
          <w:szCs w:val="21"/>
        </w:rPr>
      </w:pPr>
      <w:r>
        <w:rPr>
          <w:b/>
          <w:szCs w:val="21"/>
        </w:rPr>
        <w:t>（二）政府采购政策落实要求</w:t>
      </w:r>
    </w:p>
    <w:p w14:paraId="5D9D7DE0">
      <w:pPr>
        <w:tabs>
          <w:tab w:val="left" w:pos="900"/>
        </w:tabs>
        <w:adjustRightInd w:val="0"/>
        <w:snapToGrid w:val="0"/>
        <w:spacing w:line="360" w:lineRule="auto"/>
        <w:ind w:firstLine="420" w:firstLineChars="200"/>
        <w:rPr>
          <w:szCs w:val="21"/>
        </w:rPr>
      </w:pPr>
      <w:r>
        <w:rPr>
          <w:szCs w:val="24"/>
        </w:rPr>
        <w:t>1. 中小企业扶持政策：根据</w:t>
      </w:r>
      <w:r>
        <w:t>《政府采购促进中小企业发展管理办法》（财库〔2020〕46号）规定，本项目采购标的为中小型企业制造、承建或承接</w:t>
      </w:r>
      <w:r>
        <w:rPr>
          <w:szCs w:val="24"/>
        </w:rPr>
        <w:t>的，</w:t>
      </w:r>
      <w:r>
        <w:t>投标人应提供办法规定的</w:t>
      </w:r>
      <w:r>
        <w:rPr>
          <w:szCs w:val="21"/>
        </w:rPr>
        <w:t>《中小企业声明函》，否则不得享受相关中小企业扶持政策</w:t>
      </w:r>
      <w:r>
        <w:rPr>
          <w:szCs w:val="24"/>
        </w:rPr>
        <w:t>。投标人应对提交的中小企业声明函的真实性负责，提交的中小企业声明函不真实的，应承担相应的法律责任</w:t>
      </w:r>
      <w:r>
        <w:rPr>
          <w:szCs w:val="21"/>
        </w:rPr>
        <w:t>。</w:t>
      </w:r>
    </w:p>
    <w:p w14:paraId="10E82A49">
      <w:pPr>
        <w:tabs>
          <w:tab w:val="left" w:pos="900"/>
        </w:tabs>
        <w:adjustRightInd w:val="0"/>
        <w:snapToGrid w:val="0"/>
        <w:spacing w:line="360" w:lineRule="auto"/>
        <w:ind w:firstLine="420" w:firstLineChars="200"/>
        <w:rPr>
          <w:szCs w:val="24"/>
        </w:rPr>
      </w:pPr>
      <w:r>
        <w:rPr>
          <w:szCs w:val="24"/>
        </w:rPr>
        <w:t>本项目</w:t>
      </w:r>
      <w:bookmarkStart w:id="4" w:name="OLE_LINK23"/>
      <w:r>
        <w:rPr>
          <w:szCs w:val="24"/>
        </w:rPr>
        <w:t>采购标的对应的《中小企业划型标准规定》所属行业</w:t>
      </w:r>
      <w:bookmarkEnd w:id="4"/>
      <w:r>
        <w:rPr>
          <w:szCs w:val="24"/>
        </w:rPr>
        <w:t>为：</w:t>
      </w:r>
      <w:r>
        <w:rPr>
          <w:szCs w:val="24"/>
          <w:u w:val="single"/>
        </w:rPr>
        <w:t xml:space="preserve">          工业           </w:t>
      </w:r>
      <w:r>
        <w:rPr>
          <w:szCs w:val="24"/>
        </w:rPr>
        <w:t>。</w:t>
      </w:r>
    </w:p>
    <w:p w14:paraId="2F93224D">
      <w:pPr>
        <w:tabs>
          <w:tab w:val="left" w:pos="900"/>
        </w:tabs>
        <w:adjustRightInd w:val="0"/>
        <w:snapToGrid w:val="0"/>
        <w:spacing w:line="360" w:lineRule="auto"/>
        <w:ind w:firstLine="420" w:firstLineChars="200"/>
        <w:rPr>
          <w:rFonts w:eastAsia="楷体"/>
          <w:color w:val="FF0000"/>
          <w:sz w:val="22"/>
          <w:szCs w:val="22"/>
          <w:highlight w:val="yellow"/>
        </w:rPr>
      </w:pPr>
      <w:r>
        <w:rPr>
          <w:szCs w:val="24"/>
        </w:rPr>
        <w:t xml:space="preserve">2. 进口产品政策：本采购项目 </w:t>
      </w:r>
      <w:r>
        <w:rPr>
          <w:rFonts w:hint="eastAsia"/>
          <w:szCs w:val="24"/>
        </w:rPr>
        <w:t>☑</w:t>
      </w:r>
      <w:r>
        <w:rPr>
          <w:szCs w:val="24"/>
        </w:rPr>
        <w:t xml:space="preserve">允许 </w:t>
      </w:r>
      <w:r>
        <w:rPr>
          <w:rFonts w:hint="eastAsia"/>
          <w:szCs w:val="24"/>
        </w:rPr>
        <w:t>□</w:t>
      </w:r>
      <w:r>
        <w:rPr>
          <w:szCs w:val="24"/>
        </w:rPr>
        <w:t>不允许 进口产品参加。（未进行勾选的，视为只接受本国产品参加）</w:t>
      </w:r>
    </w:p>
    <w:p w14:paraId="3A979E91">
      <w:pPr>
        <w:tabs>
          <w:tab w:val="left" w:pos="900"/>
        </w:tabs>
        <w:adjustRightInd w:val="0"/>
        <w:snapToGrid w:val="0"/>
        <w:spacing w:line="360" w:lineRule="auto"/>
        <w:ind w:firstLine="422" w:firstLineChars="200"/>
        <w:rPr>
          <w:b/>
          <w:szCs w:val="21"/>
        </w:rPr>
      </w:pPr>
      <w:r>
        <w:rPr>
          <w:b/>
          <w:szCs w:val="21"/>
        </w:rPr>
        <w:t>二、采购标的需执行的国家相关标准、行业标准、地方标准或者其他标准、规范：</w:t>
      </w:r>
    </w:p>
    <w:p w14:paraId="4D759371">
      <w:pPr>
        <w:tabs>
          <w:tab w:val="left" w:pos="900"/>
        </w:tabs>
        <w:adjustRightInd w:val="0"/>
        <w:snapToGrid w:val="0"/>
        <w:spacing w:line="360" w:lineRule="auto"/>
        <w:ind w:firstLine="420" w:firstLineChars="200"/>
        <w:rPr>
          <w:rFonts w:eastAsia="楷体"/>
          <w:color w:val="FF0000"/>
          <w:sz w:val="22"/>
          <w:szCs w:val="22"/>
        </w:rPr>
      </w:pPr>
      <w:r>
        <w:rPr>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pPr>
        <w:tabs>
          <w:tab w:val="left" w:pos="900"/>
        </w:tabs>
        <w:adjustRightInd w:val="0"/>
        <w:snapToGrid w:val="0"/>
        <w:spacing w:line="360" w:lineRule="auto"/>
        <w:ind w:firstLine="422" w:firstLineChars="200"/>
        <w:rPr>
          <w:b/>
          <w:szCs w:val="21"/>
        </w:rPr>
      </w:pPr>
      <w:r>
        <w:rPr>
          <w:b/>
          <w:szCs w:val="21"/>
        </w:rPr>
        <w:t>三、采购标的概况</w:t>
      </w:r>
    </w:p>
    <w:p w14:paraId="599624B6">
      <w:pPr>
        <w:adjustRightInd w:val="0"/>
        <w:snapToGrid w:val="0"/>
        <w:spacing w:line="360" w:lineRule="auto"/>
        <w:ind w:firstLine="420" w:firstLineChars="200"/>
        <w:rPr>
          <w:szCs w:val="21"/>
        </w:rPr>
      </w:pPr>
      <w:r>
        <w:rPr>
          <w:szCs w:val="21"/>
        </w:rPr>
        <w:t>（一）采购项目名称：</w:t>
      </w:r>
      <w:r>
        <w:rPr>
          <w:szCs w:val="21"/>
          <w:u w:val="single"/>
        </w:rPr>
        <w:t xml:space="preserve">             </w:t>
      </w:r>
      <w:r>
        <w:rPr>
          <w:szCs w:val="24"/>
          <w:u w:val="single"/>
        </w:rPr>
        <w:t>低能高速扫描电子显微镜</w:t>
      </w:r>
      <w:r>
        <w:rPr>
          <w:rFonts w:hint="eastAsia"/>
          <w:szCs w:val="24"/>
          <w:u w:val="single"/>
        </w:rPr>
        <w:t>晶体学分析系统</w:t>
      </w:r>
      <w:r>
        <w:rPr>
          <w:szCs w:val="21"/>
          <w:u w:val="single"/>
        </w:rPr>
        <w:t xml:space="preserve">                                       </w:t>
      </w:r>
    </w:p>
    <w:p w14:paraId="700B5273">
      <w:pPr>
        <w:adjustRightInd w:val="0"/>
        <w:snapToGrid w:val="0"/>
        <w:spacing w:line="360" w:lineRule="auto"/>
        <w:ind w:firstLine="420" w:firstLineChars="200"/>
        <w:rPr>
          <w:szCs w:val="21"/>
          <w:u w:val="single"/>
        </w:rPr>
      </w:pPr>
      <w:r>
        <w:rPr>
          <w:szCs w:val="21"/>
        </w:rPr>
        <w:t>（二）采购数量及计量单位：</w:t>
      </w:r>
      <w:r>
        <w:rPr>
          <w:szCs w:val="21"/>
          <w:u w:val="single"/>
        </w:rPr>
        <w:t xml:space="preserve">                      1套                                  </w:t>
      </w:r>
    </w:p>
    <w:p w14:paraId="7D66FB09">
      <w:pPr>
        <w:adjustRightInd w:val="0"/>
        <w:snapToGrid w:val="0"/>
        <w:spacing w:line="360" w:lineRule="auto"/>
        <w:ind w:firstLine="420" w:firstLineChars="200"/>
        <w:rPr>
          <w:szCs w:val="21"/>
        </w:rPr>
      </w:pPr>
      <w:r>
        <w:rPr>
          <w:szCs w:val="21"/>
        </w:rPr>
        <w:t>（三）最高限价：人民币</w:t>
      </w:r>
      <w:r>
        <w:rPr>
          <w:szCs w:val="21"/>
          <w:u w:val="single"/>
        </w:rPr>
        <w:t xml:space="preserve">       </w:t>
      </w:r>
      <w:r>
        <w:rPr>
          <w:rFonts w:hint="eastAsia"/>
          <w:szCs w:val="21"/>
          <w:u w:val="single"/>
        </w:rPr>
        <w:t>67</w:t>
      </w:r>
      <w:r>
        <w:rPr>
          <w:szCs w:val="21"/>
          <w:u w:val="single"/>
        </w:rPr>
        <w:t xml:space="preserve">万     </w:t>
      </w:r>
      <w:r>
        <w:rPr>
          <w:szCs w:val="21"/>
        </w:rPr>
        <w:t>元（大写：</w:t>
      </w:r>
      <w:r>
        <w:rPr>
          <w:szCs w:val="21"/>
          <w:u w:val="single"/>
        </w:rPr>
        <w:t xml:space="preserve">          </w:t>
      </w:r>
      <w:r>
        <w:rPr>
          <w:rFonts w:hint="eastAsia"/>
          <w:szCs w:val="21"/>
          <w:u w:val="single"/>
        </w:rPr>
        <w:t>陆拾柒</w:t>
      </w:r>
      <w:r>
        <w:rPr>
          <w:szCs w:val="21"/>
          <w:u w:val="single"/>
        </w:rPr>
        <w:t xml:space="preserve">万元          </w:t>
      </w:r>
      <w:r>
        <w:rPr>
          <w:szCs w:val="21"/>
        </w:rPr>
        <w:t>）</w:t>
      </w:r>
    </w:p>
    <w:p w14:paraId="72B992CF">
      <w:pPr>
        <w:adjustRightInd w:val="0"/>
        <w:snapToGrid w:val="0"/>
        <w:spacing w:line="360" w:lineRule="auto"/>
        <w:ind w:firstLine="420" w:firstLineChars="200"/>
        <w:rPr>
          <w:szCs w:val="21"/>
        </w:rPr>
      </w:pPr>
      <w:r>
        <w:rPr>
          <w:szCs w:val="21"/>
        </w:rPr>
        <w:t>（四）交付时间：</w:t>
      </w:r>
      <w:r>
        <w:t>合同签订后</w:t>
      </w:r>
      <w:r>
        <w:rPr>
          <w:u w:val="single"/>
        </w:rPr>
        <w:t xml:space="preserve">    </w:t>
      </w:r>
      <w:r>
        <w:rPr>
          <w:szCs w:val="21"/>
          <w:u w:val="single"/>
        </w:rPr>
        <w:t xml:space="preserve">   180      </w:t>
      </w:r>
      <w:r>
        <w:rPr>
          <w:u w:val="single"/>
        </w:rPr>
        <w:t xml:space="preserve"> </w:t>
      </w:r>
      <w:r>
        <w:t>天内</w:t>
      </w:r>
    </w:p>
    <w:p w14:paraId="544209DB">
      <w:pPr>
        <w:tabs>
          <w:tab w:val="left" w:pos="420"/>
          <w:tab w:val="left" w:pos="900"/>
        </w:tabs>
        <w:adjustRightInd w:val="0"/>
        <w:snapToGrid w:val="0"/>
        <w:spacing w:line="360" w:lineRule="auto"/>
        <w:ind w:firstLine="420" w:firstLineChars="200"/>
        <w:rPr>
          <w:szCs w:val="21"/>
        </w:rPr>
      </w:pPr>
      <w:r>
        <w:rPr>
          <w:szCs w:val="21"/>
        </w:rPr>
        <w:t>（五）交付地点：</w:t>
      </w:r>
      <w:r>
        <w:rPr>
          <w:szCs w:val="21"/>
          <w:u w:val="single"/>
        </w:rPr>
        <w:t xml:space="preserve">              西安交通大学兴庆校区分析测试中心一楼                                        </w:t>
      </w:r>
    </w:p>
    <w:p w14:paraId="1E44350E">
      <w:pPr>
        <w:tabs>
          <w:tab w:val="left" w:pos="900"/>
        </w:tabs>
        <w:adjustRightInd w:val="0"/>
        <w:snapToGrid w:val="0"/>
        <w:spacing w:line="360" w:lineRule="auto"/>
        <w:ind w:firstLine="420" w:firstLineChars="200"/>
        <w:rPr>
          <w:rFonts w:hint="eastAsia"/>
          <w:szCs w:val="21"/>
          <w:lang w:eastAsia="zh-CN"/>
        </w:rPr>
      </w:pPr>
      <w:r>
        <w:rPr>
          <w:szCs w:val="21"/>
        </w:rPr>
        <w:t>（六）付款进度安排：</w:t>
      </w:r>
      <w:r>
        <w:rPr>
          <w:rFonts w:hint="eastAsia"/>
          <w:szCs w:val="21"/>
        </w:rPr>
        <w:t>货物全部到货、安装调试完毕</w:t>
      </w:r>
      <w:r>
        <w:rPr>
          <w:rFonts w:hint="eastAsia"/>
          <w:szCs w:val="21"/>
          <w:lang w:eastAsia="zh-CN"/>
        </w:rPr>
        <w:t>，</w:t>
      </w:r>
      <w:r>
        <w:rPr>
          <w:rFonts w:hint="eastAsia"/>
          <w:szCs w:val="21"/>
          <w:lang w:val="en-US" w:eastAsia="zh-CN"/>
        </w:rPr>
        <w:t>运行正常并</w:t>
      </w:r>
      <w:r>
        <w:rPr>
          <w:rFonts w:hint="eastAsia"/>
          <w:szCs w:val="21"/>
          <w:lang w:eastAsia="zh-CN"/>
        </w:rPr>
        <w:t>经采购人验收合格</w:t>
      </w:r>
      <w:r>
        <w:rPr>
          <w:rFonts w:hint="eastAsia"/>
          <w:szCs w:val="21"/>
          <w:lang w:val="en-US" w:eastAsia="zh-CN"/>
        </w:rPr>
        <w:t>后</w:t>
      </w:r>
      <w:r>
        <w:rPr>
          <w:rFonts w:hint="eastAsia"/>
          <w:szCs w:val="21"/>
          <w:lang w:eastAsia="zh-CN"/>
        </w:rPr>
        <w:t>，采购人向厂商一次性支付合同总金额的100%。</w:t>
      </w:r>
    </w:p>
    <w:p w14:paraId="13D7DBC6">
      <w:pPr>
        <w:tabs>
          <w:tab w:val="left" w:pos="900"/>
        </w:tabs>
        <w:adjustRightInd w:val="0"/>
        <w:snapToGrid w:val="0"/>
        <w:spacing w:line="360" w:lineRule="auto"/>
        <w:ind w:firstLine="422" w:firstLineChars="200"/>
        <w:rPr>
          <w:szCs w:val="21"/>
        </w:rPr>
      </w:pPr>
      <w:r>
        <w:rPr>
          <w:b/>
          <w:szCs w:val="21"/>
        </w:rPr>
        <w:t>四、采购标的需满足的质量、安全、技术规格、物理特性等要求：</w:t>
      </w:r>
    </w:p>
    <w:p w14:paraId="1B501F33">
      <w:pPr>
        <w:widowControl/>
        <w:spacing w:line="360" w:lineRule="auto"/>
        <w:ind w:firstLine="420" w:firstLineChars="200"/>
        <w:jc w:val="left"/>
        <w:textAlignment w:val="baseline"/>
        <w:rPr>
          <w:szCs w:val="21"/>
        </w:rPr>
      </w:pPr>
      <w:r>
        <w:rPr>
          <w:szCs w:val="21"/>
        </w:rPr>
        <w:t>加★为重要核心参数，不作废标项处理</w:t>
      </w:r>
      <w:r>
        <w:rPr>
          <w:rFonts w:hint="eastAsia"/>
          <w:szCs w:val="21"/>
        </w:rPr>
        <w:t>。</w:t>
      </w:r>
    </w:p>
    <w:p w14:paraId="5595FE8C">
      <w:pPr>
        <w:widowControl/>
        <w:tabs>
          <w:tab w:val="left" w:pos="900"/>
        </w:tabs>
        <w:adjustRightInd w:val="0"/>
        <w:snapToGrid w:val="0"/>
        <w:spacing w:line="360" w:lineRule="auto"/>
        <w:ind w:firstLine="420" w:firstLineChars="200"/>
        <w:jc w:val="left"/>
        <w:textAlignment w:val="auto"/>
        <w:rPr>
          <w:szCs w:val="21"/>
        </w:rPr>
      </w:pPr>
      <w:r>
        <w:rPr>
          <w:rFonts w:hint="eastAsia"/>
        </w:rPr>
        <w:t>要求该系统</w:t>
      </w:r>
      <w:r>
        <w:rPr>
          <w:szCs w:val="21"/>
        </w:rPr>
        <w:t>支持</w:t>
      </w:r>
      <w:r>
        <w:rPr>
          <w:rFonts w:hint="eastAsia"/>
          <w:szCs w:val="21"/>
          <w:lang w:val="en-US" w:eastAsia="zh-CN"/>
        </w:rPr>
        <w:t>在</w:t>
      </w:r>
      <w:r>
        <w:rPr>
          <w:rFonts w:hint="eastAsia"/>
          <w:szCs w:val="21"/>
        </w:rPr>
        <w:t>5</w:t>
      </w:r>
      <w:r>
        <w:rPr>
          <w:szCs w:val="21"/>
        </w:rPr>
        <w:t>-30 kV全区间常规样品测试</w:t>
      </w:r>
      <w:r>
        <w:rPr>
          <w:rFonts w:hint="eastAsia"/>
          <w:szCs w:val="21"/>
        </w:rPr>
        <w:t>，且</w:t>
      </w:r>
      <w:r>
        <w:rPr>
          <w:rFonts w:hint="eastAsia"/>
        </w:rPr>
        <w:t>在5-15 kV低</w:t>
      </w:r>
      <w:r>
        <w:rPr>
          <w:rFonts w:hint="eastAsia"/>
          <w:lang w:val="en-US" w:eastAsia="zh-CN"/>
        </w:rPr>
        <w:t>加速</w:t>
      </w:r>
      <w:r>
        <w:rPr>
          <w:rFonts w:hint="eastAsia"/>
        </w:rPr>
        <w:t>电压下</w:t>
      </w:r>
      <w:r>
        <w:rPr>
          <w:rFonts w:hint="eastAsia"/>
          <w:lang w:val="en-US" w:eastAsia="zh-CN"/>
        </w:rPr>
        <w:t>能够</w:t>
      </w:r>
      <w:r>
        <w:rPr>
          <w:rFonts w:hint="eastAsia"/>
        </w:rPr>
        <w:t>清晰解析固态电池电解质</w:t>
      </w:r>
      <w:r>
        <w:rPr>
          <w:rFonts w:hint="eastAsia"/>
          <w:lang w:val="en-US" w:eastAsia="zh-CN"/>
        </w:rPr>
        <w:t>材料</w:t>
      </w:r>
      <w:r>
        <w:rPr>
          <w:rFonts w:hint="eastAsia"/>
        </w:rPr>
        <w:t>、钙钛矿</w:t>
      </w:r>
      <w:r>
        <w:rPr>
          <w:rFonts w:hint="eastAsia"/>
          <w:lang w:val="en-US" w:eastAsia="zh-CN"/>
        </w:rPr>
        <w:t>太阳能电池材料的</w:t>
      </w:r>
      <w:r>
        <w:rPr>
          <w:rFonts w:hint="eastAsia"/>
        </w:rPr>
        <w:t>晶粒取向、相分布</w:t>
      </w:r>
      <w:r>
        <w:rPr>
          <w:rFonts w:hint="eastAsia"/>
          <w:lang w:val="en-US" w:eastAsia="zh-CN"/>
        </w:rPr>
        <w:t>及</w:t>
      </w:r>
      <w:r>
        <w:rPr>
          <w:rFonts w:hint="eastAsia"/>
        </w:rPr>
        <w:t>晶界特性等</w:t>
      </w:r>
      <w:r>
        <w:rPr>
          <w:rFonts w:hint="eastAsia"/>
          <w:lang w:val="en-US" w:eastAsia="zh-CN"/>
        </w:rPr>
        <w:t>信息</w:t>
      </w:r>
      <w:r>
        <w:rPr>
          <w:rFonts w:hint="eastAsia"/>
          <w:lang w:eastAsia="zh-CN"/>
        </w:rPr>
        <w:t>。</w:t>
      </w:r>
      <w:r>
        <w:rPr>
          <w:rFonts w:hint="eastAsia"/>
          <w:lang w:val="en-US" w:eastAsia="zh-CN"/>
        </w:rPr>
        <w:t>系统还需具备</w:t>
      </w:r>
      <w:r>
        <w:rPr>
          <w:rFonts w:hint="eastAsia"/>
        </w:rPr>
        <w:t>与现有能谱仪联用</w:t>
      </w:r>
      <w:r>
        <w:rPr>
          <w:rFonts w:hint="eastAsia"/>
          <w:lang w:val="en-US" w:eastAsia="zh-CN"/>
        </w:rPr>
        <w:t>的能力</w:t>
      </w:r>
      <w:r>
        <w:rPr>
          <w:rFonts w:hint="eastAsia"/>
        </w:rPr>
        <w:t xml:space="preserve">, </w:t>
      </w:r>
      <w:r>
        <w:rPr>
          <w:rFonts w:hint="eastAsia"/>
          <w:lang w:val="en-US" w:eastAsia="zh-CN"/>
        </w:rPr>
        <w:t>以实现</w:t>
      </w:r>
      <w:r>
        <w:rPr>
          <w:rFonts w:hint="eastAsia"/>
        </w:rPr>
        <w:t>成分和</w:t>
      </w:r>
      <w:r>
        <w:rPr>
          <w:rFonts w:hint="eastAsia"/>
          <w:lang w:val="en-US" w:eastAsia="zh-CN"/>
        </w:rPr>
        <w:t>晶体</w:t>
      </w:r>
      <w:r>
        <w:rPr>
          <w:rFonts w:hint="eastAsia"/>
        </w:rPr>
        <w:t>结构信息</w:t>
      </w:r>
      <w:r>
        <w:rPr>
          <w:rFonts w:hint="eastAsia"/>
          <w:lang w:val="en-US" w:eastAsia="zh-CN"/>
        </w:rPr>
        <w:t>的同步采集</w:t>
      </w:r>
      <w:r>
        <w:rPr>
          <w:rFonts w:hint="eastAsia"/>
        </w:rPr>
        <w:t>，</w:t>
      </w:r>
      <w:r>
        <w:rPr>
          <w:rFonts w:hint="eastAsia"/>
          <w:lang w:val="en-US" w:eastAsia="zh-CN"/>
        </w:rPr>
        <w:t>从而</w:t>
      </w:r>
      <w:r>
        <w:rPr>
          <w:rFonts w:hint="eastAsia"/>
        </w:rPr>
        <w:t>精准鉴别物相</w:t>
      </w:r>
      <w:r>
        <w:rPr>
          <w:rFonts w:hint="eastAsia"/>
          <w:lang w:eastAsia="zh-CN"/>
        </w:rPr>
        <w:t>，</w:t>
      </w:r>
      <w:r>
        <w:rPr>
          <w:rFonts w:hint="eastAsia"/>
          <w:lang w:val="en-US" w:eastAsia="zh-CN"/>
        </w:rPr>
        <w:t>并有效</w:t>
      </w:r>
      <w:r>
        <w:rPr>
          <w:rFonts w:hint="eastAsia"/>
        </w:rPr>
        <w:t>区分化学性质相近物相，扩展现有的扫描电镜在低电压下对</w:t>
      </w:r>
      <w:r>
        <w:rPr>
          <w:rFonts w:hint="eastAsia"/>
          <w:lang w:val="en-US" w:eastAsia="zh-CN"/>
        </w:rPr>
        <w:t>电子束</w:t>
      </w:r>
      <w:r>
        <w:rPr>
          <w:rFonts w:hint="eastAsia"/>
        </w:rPr>
        <w:t>敏感</w:t>
      </w:r>
      <w:r>
        <w:rPr>
          <w:rFonts w:hint="eastAsia"/>
          <w:lang w:val="en-US" w:eastAsia="zh-CN"/>
        </w:rPr>
        <w:t>材料及</w:t>
      </w:r>
      <w:r>
        <w:rPr>
          <w:rFonts w:hint="eastAsia"/>
        </w:rPr>
        <w:t>纳米材料进行晶体学和成分综合分析的功能。</w:t>
      </w:r>
      <w:r>
        <w:rPr>
          <w:rFonts w:hint="eastAsia"/>
          <w:szCs w:val="21"/>
        </w:rPr>
        <w:t>详细</w:t>
      </w:r>
      <w:r>
        <w:rPr>
          <w:szCs w:val="21"/>
        </w:rPr>
        <w:t>技术</w:t>
      </w:r>
      <w:r>
        <w:rPr>
          <w:rFonts w:hint="eastAsia"/>
          <w:szCs w:val="21"/>
        </w:rPr>
        <w:t>参数及性能如下：</w:t>
      </w:r>
    </w:p>
    <w:p w14:paraId="7E1A51B6">
      <w:pPr>
        <w:numPr>
          <w:ilvl w:val="255"/>
          <w:numId w:val="0"/>
        </w:numPr>
        <w:tabs>
          <w:tab w:val="left" w:pos="900"/>
        </w:tabs>
        <w:spacing w:line="360" w:lineRule="auto"/>
        <w:ind w:firstLine="210" w:firstLineChars="100"/>
        <w:rPr>
          <w:szCs w:val="21"/>
        </w:rPr>
      </w:pPr>
      <w:r>
        <w:rPr>
          <w:szCs w:val="21"/>
        </w:rPr>
        <w:t>★</w:t>
      </w:r>
      <w:r>
        <w:rPr>
          <w:rFonts w:hint="eastAsia"/>
          <w:szCs w:val="21"/>
        </w:rPr>
        <w:t xml:space="preserve">1. </w:t>
      </w:r>
      <w:r>
        <w:rPr>
          <w:szCs w:val="21"/>
        </w:rPr>
        <w:t>探测器采用高速低噪</w:t>
      </w:r>
      <w:r>
        <w:rPr>
          <w:rFonts w:hint="eastAsia"/>
          <w:szCs w:val="21"/>
          <w:lang w:val="en-US" w:eastAsia="zh-CN"/>
        </w:rPr>
        <w:t>声</w:t>
      </w:r>
      <w:r>
        <w:rPr>
          <w:szCs w:val="21"/>
        </w:rPr>
        <w:t>CMOS相机，分辨率</w:t>
      </w:r>
      <w:r>
        <w:rPr>
          <w:rFonts w:hint="eastAsia"/>
          <w:szCs w:val="21"/>
        </w:rPr>
        <w:t>≥720*540像素；</w:t>
      </w:r>
    </w:p>
    <w:p w14:paraId="0D1018B4">
      <w:pPr>
        <w:numPr>
          <w:ilvl w:val="255"/>
          <w:numId w:val="0"/>
        </w:numPr>
        <w:tabs>
          <w:tab w:val="left" w:pos="900"/>
        </w:tabs>
        <w:spacing w:line="360" w:lineRule="auto"/>
        <w:ind w:firstLine="210" w:firstLineChars="100"/>
        <w:rPr>
          <w:szCs w:val="21"/>
        </w:rPr>
      </w:pPr>
      <w:r>
        <w:rPr>
          <w:szCs w:val="21"/>
        </w:rPr>
        <w:t>★</w:t>
      </w:r>
      <w:r>
        <w:rPr>
          <w:rFonts w:hint="eastAsia"/>
          <w:szCs w:val="21"/>
        </w:rPr>
        <w:t xml:space="preserve">2. </w:t>
      </w:r>
      <w:r>
        <w:rPr>
          <w:rFonts w:hint="eastAsia"/>
          <w:szCs w:val="21"/>
          <w:lang w:val="en-US" w:eastAsia="zh-CN"/>
        </w:rPr>
        <w:t>在</w:t>
      </w:r>
      <w:r>
        <w:rPr>
          <w:szCs w:val="21"/>
        </w:rPr>
        <w:t>花样分辨率</w:t>
      </w:r>
      <w:r>
        <w:rPr>
          <w:rFonts w:hint="eastAsia"/>
          <w:szCs w:val="21"/>
        </w:rPr>
        <w:t>≥180*135像素</w:t>
      </w:r>
      <w:r>
        <w:rPr>
          <w:rFonts w:hint="eastAsia"/>
          <w:szCs w:val="21"/>
          <w:lang w:val="en-US" w:eastAsia="zh-CN"/>
        </w:rPr>
        <w:t>的条件下</w:t>
      </w:r>
      <w:r>
        <w:rPr>
          <w:rFonts w:hint="eastAsia"/>
          <w:szCs w:val="21"/>
        </w:rPr>
        <w:t>，</w:t>
      </w:r>
      <w:r>
        <w:rPr>
          <w:szCs w:val="21"/>
        </w:rPr>
        <w:t>EBSD在线解析最高标定速度</w:t>
      </w:r>
      <w:r>
        <w:rPr>
          <w:rFonts w:hint="eastAsia"/>
          <w:szCs w:val="21"/>
        </w:rPr>
        <w:t>≥520</w:t>
      </w:r>
      <w:r>
        <w:rPr>
          <w:rFonts w:hint="eastAsia"/>
          <w:szCs w:val="21"/>
          <w:lang w:val="en-US" w:eastAsia="zh-CN"/>
        </w:rPr>
        <w:t>点/秒</w:t>
      </w:r>
      <w:r>
        <w:rPr>
          <w:szCs w:val="21"/>
        </w:rPr>
        <w:t>；</w:t>
      </w:r>
    </w:p>
    <w:p w14:paraId="21C694B1">
      <w:pPr>
        <w:numPr>
          <w:ilvl w:val="-1"/>
          <w:numId w:val="0"/>
        </w:numPr>
        <w:tabs>
          <w:tab w:val="left" w:pos="900"/>
        </w:tabs>
        <w:spacing w:line="360" w:lineRule="auto"/>
        <w:ind w:left="640" w:leftChars="105" w:hanging="420" w:hangingChars="200"/>
        <w:rPr>
          <w:szCs w:val="21"/>
          <w:highlight w:val="none"/>
        </w:rPr>
      </w:pPr>
      <w:r>
        <w:rPr>
          <w:szCs w:val="21"/>
        </w:rPr>
        <w:t>★</w:t>
      </w:r>
      <w:r>
        <w:rPr>
          <w:rFonts w:hint="eastAsia"/>
          <w:szCs w:val="21"/>
          <w:lang w:val="en-US" w:eastAsia="zh-CN"/>
        </w:rPr>
        <w:t xml:space="preserve">3. </w:t>
      </w:r>
      <w:r>
        <w:rPr>
          <w:rFonts w:hint="eastAsia"/>
          <w:szCs w:val="21"/>
          <w:highlight w:val="none"/>
        </w:rPr>
        <w:t>标</w:t>
      </w:r>
      <w:r>
        <w:rPr>
          <w:rFonts w:hint="eastAsia"/>
          <w:szCs w:val="21"/>
          <w:highlight w:val="none"/>
          <w:lang w:val="en-US" w:eastAsia="zh-CN"/>
        </w:rPr>
        <w:t>配基于</w:t>
      </w:r>
      <w:r>
        <w:rPr>
          <w:szCs w:val="21"/>
          <w:highlight w:val="none"/>
        </w:rPr>
        <w:t>霍夫</w:t>
      </w:r>
      <w:r>
        <w:rPr>
          <w:rFonts w:hint="eastAsia"/>
          <w:szCs w:val="21"/>
          <w:highlight w:val="none"/>
          <w:lang w:val="en-US" w:eastAsia="zh-CN"/>
        </w:rPr>
        <w:t>变换的</w:t>
      </w:r>
      <w:r>
        <w:rPr>
          <w:szCs w:val="21"/>
          <w:highlight w:val="none"/>
        </w:rPr>
        <w:t>高速</w:t>
      </w:r>
      <w:r>
        <w:rPr>
          <w:rFonts w:hint="eastAsia"/>
          <w:szCs w:val="21"/>
          <w:highlight w:val="none"/>
          <w:lang w:val="en-US" w:eastAsia="zh-CN"/>
        </w:rPr>
        <w:t>标定</w:t>
      </w:r>
      <w:r>
        <w:rPr>
          <w:szCs w:val="21"/>
          <w:highlight w:val="none"/>
        </w:rPr>
        <w:t>算法</w:t>
      </w:r>
      <w:r>
        <w:rPr>
          <w:rFonts w:hint="eastAsia"/>
          <w:szCs w:val="21"/>
          <w:highlight w:val="none"/>
          <w:lang w:eastAsia="zh-CN"/>
        </w:rPr>
        <w:t>，</w:t>
      </w:r>
      <w:r>
        <w:rPr>
          <w:rFonts w:hint="eastAsia"/>
          <w:szCs w:val="21"/>
          <w:highlight w:val="none"/>
          <w:lang w:val="en-US" w:eastAsia="zh-CN"/>
        </w:rPr>
        <w:t>在此基础上具备</w:t>
      </w:r>
      <w:r>
        <w:rPr>
          <w:szCs w:val="21"/>
          <w:highlight w:val="none"/>
        </w:rPr>
        <w:t>专用的高精度标定模式</w:t>
      </w:r>
      <w:r>
        <w:rPr>
          <w:rFonts w:hint="eastAsia"/>
          <w:szCs w:val="21"/>
          <w:highlight w:val="none"/>
          <w:lang w:eastAsia="zh-CN"/>
        </w:rPr>
        <w:t>，</w:t>
      </w:r>
      <w:r>
        <w:rPr>
          <w:rFonts w:ascii="Segoe UI" w:hAnsi="Segoe UI" w:eastAsia="Segoe UI" w:cs="Segoe UI"/>
          <w:i w:val="0"/>
          <w:iCs w:val="0"/>
          <w:caps w:val="0"/>
          <w:color w:val="0F1115"/>
          <w:spacing w:val="0"/>
          <w:sz w:val="19"/>
          <w:szCs w:val="19"/>
          <w:highlight w:val="none"/>
          <w:shd w:val="clear" w:fill="FFFFFF"/>
        </w:rPr>
        <w:t>该模式下</w:t>
      </w:r>
      <w:r>
        <w:rPr>
          <w:szCs w:val="21"/>
          <w:highlight w:val="none"/>
        </w:rPr>
        <w:t>取向精度≤</w:t>
      </w:r>
      <w:r>
        <w:rPr>
          <w:rFonts w:hint="eastAsia"/>
          <w:szCs w:val="21"/>
          <w:highlight w:val="none"/>
        </w:rPr>
        <w:t>0.1</w:t>
      </w:r>
      <w:r>
        <w:rPr>
          <w:szCs w:val="21"/>
          <w:highlight w:val="none"/>
        </w:rPr>
        <w:t>度；</w:t>
      </w:r>
    </w:p>
    <w:p w14:paraId="355B256E">
      <w:pPr>
        <w:pStyle w:val="31"/>
        <w:spacing w:line="360" w:lineRule="auto"/>
        <w:ind w:firstLine="210" w:firstLineChars="100"/>
        <w:jc w:val="both"/>
        <w:rPr>
          <w:rFonts w:ascii="Times New Roman" w:hAnsi="Times New Roman" w:eastAsia="宋体"/>
          <w:sz w:val="21"/>
          <w:szCs w:val="21"/>
        </w:rPr>
      </w:pPr>
      <w:r>
        <w:rPr>
          <w:sz w:val="21"/>
          <w:szCs w:val="21"/>
        </w:rPr>
        <w:t>★</w:t>
      </w:r>
      <w:r>
        <w:rPr>
          <w:rFonts w:hint="eastAsia" w:ascii="Times New Roman" w:hAnsi="Times New Roman" w:eastAsia="宋体"/>
          <w:sz w:val="21"/>
          <w:szCs w:val="21"/>
          <w:lang w:val="en-US" w:eastAsia="zh-CN"/>
        </w:rPr>
        <w:t>4</w:t>
      </w:r>
      <w:r>
        <w:rPr>
          <w:rFonts w:hint="eastAsia" w:ascii="Times New Roman" w:hAnsi="Times New Roman" w:eastAsia="宋体"/>
          <w:sz w:val="21"/>
          <w:szCs w:val="21"/>
        </w:rPr>
        <w:t>. 具</w:t>
      </w:r>
      <w:r>
        <w:rPr>
          <w:rFonts w:hint="eastAsia" w:ascii="Times New Roman" w:hAnsi="Times New Roman" w:eastAsia="宋体"/>
          <w:sz w:val="21"/>
          <w:szCs w:val="21"/>
          <w:lang w:val="en-US" w:eastAsia="zh-CN"/>
        </w:rPr>
        <w:t>备</w:t>
      </w:r>
      <w:r>
        <w:rPr>
          <w:rFonts w:hint="eastAsia" w:ascii="Times New Roman" w:hAnsi="Times New Roman" w:eastAsia="宋体"/>
          <w:sz w:val="21"/>
          <w:szCs w:val="21"/>
        </w:rPr>
        <w:t>高灵敏度，最低测试电压可达5 kV</w:t>
      </w:r>
      <w:r>
        <w:rPr>
          <w:rFonts w:hint="eastAsia" w:ascii="Times New Roman" w:hAnsi="Times New Roman" w:eastAsia="宋体"/>
          <w:sz w:val="21"/>
          <w:szCs w:val="21"/>
          <w:lang w:eastAsia="zh-CN"/>
        </w:rPr>
        <w:t>，</w:t>
      </w:r>
      <w:r>
        <w:rPr>
          <w:rFonts w:hint="eastAsia" w:ascii="Times New Roman" w:hAnsi="Times New Roman" w:eastAsia="宋体"/>
          <w:sz w:val="21"/>
          <w:szCs w:val="21"/>
          <w:lang w:val="en-US" w:eastAsia="zh-CN"/>
        </w:rPr>
        <w:t>测试时间≤10 min</w:t>
      </w:r>
      <w:r>
        <w:rPr>
          <w:rFonts w:ascii="Times New Roman" w:hAnsi="Times New Roman" w:eastAsia="宋体"/>
          <w:sz w:val="21"/>
          <w:szCs w:val="21"/>
        </w:rPr>
        <w:t>；</w:t>
      </w:r>
    </w:p>
    <w:p w14:paraId="00F6E1F4">
      <w:pPr>
        <w:pStyle w:val="31"/>
        <w:spacing w:line="360" w:lineRule="auto"/>
        <w:jc w:val="both"/>
        <w:rPr>
          <w:rFonts w:hint="eastAsia" w:ascii="Times New Roman" w:hAnsi="Times New Roman" w:eastAsia="宋体"/>
          <w:sz w:val="21"/>
          <w:szCs w:val="21"/>
        </w:rPr>
      </w:pPr>
      <w:r>
        <w:rPr>
          <w:rFonts w:hint="eastAsia" w:ascii="Times New Roman" w:hAnsi="Times New Roman" w:eastAsia="宋体"/>
          <w:sz w:val="21"/>
          <w:szCs w:val="21"/>
          <w:lang w:val="en-US" w:eastAsia="zh-CN"/>
        </w:rPr>
        <w:t>5</w:t>
      </w:r>
      <w:r>
        <w:rPr>
          <w:rFonts w:hint="eastAsia" w:ascii="Times New Roman" w:hAnsi="Times New Roman" w:eastAsia="宋体"/>
          <w:sz w:val="21"/>
          <w:szCs w:val="21"/>
        </w:rPr>
        <w:t xml:space="preserve"> 探测器</w:t>
      </w:r>
      <w:r>
        <w:rPr>
          <w:rFonts w:hint="eastAsia" w:ascii="Times New Roman" w:hAnsi="Times New Roman" w:eastAsia="宋体"/>
          <w:sz w:val="21"/>
          <w:szCs w:val="21"/>
          <w:lang w:val="en-US" w:eastAsia="zh-CN"/>
        </w:rPr>
        <w:t>具备</w:t>
      </w:r>
      <w:r>
        <w:rPr>
          <w:rFonts w:ascii="Times New Roman" w:hAnsi="Times New Roman" w:eastAsia="宋体"/>
          <w:sz w:val="21"/>
          <w:szCs w:val="21"/>
        </w:rPr>
        <w:t>全自动电动真空伸缩</w:t>
      </w:r>
      <w:r>
        <w:rPr>
          <w:rFonts w:hint="eastAsia" w:ascii="Times New Roman" w:hAnsi="Times New Roman" w:eastAsia="宋体"/>
          <w:sz w:val="21"/>
          <w:szCs w:val="21"/>
          <w:lang w:val="en-US" w:eastAsia="zh-CN"/>
        </w:rPr>
        <w:t>功能</w:t>
      </w:r>
      <w:r>
        <w:rPr>
          <w:rFonts w:ascii="Times New Roman" w:hAnsi="Times New Roman" w:eastAsia="宋体"/>
          <w:sz w:val="21"/>
          <w:szCs w:val="21"/>
        </w:rPr>
        <w:t>，定位重复精度≤0.1 mm，可通过软件控制探测器进退；</w:t>
      </w:r>
    </w:p>
    <w:p w14:paraId="7E4F0C20">
      <w:pPr>
        <w:tabs>
          <w:tab w:val="left" w:pos="900"/>
        </w:tabs>
        <w:spacing w:line="360" w:lineRule="auto"/>
        <w:ind w:firstLine="420" w:firstLineChars="200"/>
        <w:rPr>
          <w:rFonts w:hint="eastAsia"/>
          <w:szCs w:val="21"/>
          <w:lang w:eastAsia="zh-CN"/>
        </w:rPr>
      </w:pPr>
      <w:r>
        <w:rPr>
          <w:rFonts w:hint="eastAsia"/>
          <w:szCs w:val="21"/>
          <w:lang w:val="en-US" w:eastAsia="zh-CN"/>
        </w:rPr>
        <w:t>6</w:t>
      </w:r>
      <w:r>
        <w:rPr>
          <w:rFonts w:hint="eastAsia"/>
          <w:szCs w:val="21"/>
        </w:rPr>
        <w:t>.</w:t>
      </w:r>
      <w:r>
        <w:rPr>
          <w:rFonts w:hint="eastAsia"/>
          <w:szCs w:val="21"/>
          <w:lang w:val="en-US" w:eastAsia="zh-CN"/>
        </w:rPr>
        <w:t xml:space="preserve"> </w:t>
      </w:r>
      <w:r>
        <w:rPr>
          <w:rFonts w:hint="eastAsia"/>
          <w:szCs w:val="21"/>
        </w:rPr>
        <w:t>具备安全保护装置</w:t>
      </w:r>
      <w:r>
        <w:rPr>
          <w:rFonts w:hint="eastAsia"/>
          <w:szCs w:val="21"/>
          <w:lang w:eastAsia="zh-CN"/>
        </w:rPr>
        <w:t>：</w:t>
      </w:r>
      <w:r>
        <w:rPr>
          <w:szCs w:val="21"/>
        </w:rPr>
        <w:t>样品靠近时提前预警、</w:t>
      </w:r>
      <w:r>
        <w:rPr>
          <w:rFonts w:hint="eastAsia"/>
          <w:szCs w:val="21"/>
        </w:rPr>
        <w:t>探头</w:t>
      </w:r>
      <w:r>
        <w:rPr>
          <w:szCs w:val="21"/>
        </w:rPr>
        <w:t>自动回缩</w:t>
      </w:r>
      <w:r>
        <w:rPr>
          <w:rFonts w:hint="eastAsia"/>
          <w:szCs w:val="21"/>
          <w:lang w:eastAsia="zh-CN"/>
        </w:rPr>
        <w:t>；</w:t>
      </w:r>
    </w:p>
    <w:p w14:paraId="7634E49C">
      <w:pPr>
        <w:pStyle w:val="31"/>
        <w:spacing w:line="360" w:lineRule="auto"/>
        <w:jc w:val="both"/>
        <w:rPr>
          <w:rFonts w:ascii="Times New Roman" w:hAnsi="Times New Roman" w:eastAsia="宋体"/>
          <w:sz w:val="21"/>
          <w:szCs w:val="21"/>
        </w:rPr>
      </w:pPr>
      <w:r>
        <w:rPr>
          <w:rFonts w:hint="eastAsia" w:ascii="Times New Roman" w:hAnsi="Times New Roman" w:eastAsia="宋体"/>
          <w:sz w:val="21"/>
          <w:szCs w:val="21"/>
          <w:lang w:val="en-US" w:eastAsia="zh-CN"/>
        </w:rPr>
        <w:t>7</w:t>
      </w:r>
      <w:r>
        <w:rPr>
          <w:rFonts w:hint="eastAsia" w:ascii="Times New Roman" w:hAnsi="Times New Roman" w:eastAsia="宋体"/>
          <w:sz w:val="21"/>
          <w:szCs w:val="21"/>
        </w:rPr>
        <w:t xml:space="preserve">. </w:t>
      </w:r>
      <w:r>
        <w:rPr>
          <w:rFonts w:ascii="Times New Roman" w:hAnsi="Times New Roman" w:eastAsia="宋体"/>
          <w:sz w:val="21"/>
          <w:szCs w:val="21"/>
        </w:rPr>
        <w:t>具有动态自动背景扣除技术，</w:t>
      </w:r>
      <w:r>
        <w:rPr>
          <w:rFonts w:ascii="Segoe UI" w:hAnsi="Segoe UI" w:eastAsia="Segoe UI" w:cs="Segoe UI"/>
          <w:i w:val="0"/>
          <w:iCs w:val="0"/>
          <w:caps w:val="0"/>
          <w:color w:val="0F1115"/>
          <w:spacing w:val="0"/>
          <w:sz w:val="21"/>
          <w:szCs w:val="21"/>
          <w:shd w:val="clear" w:fill="FFFFFF"/>
        </w:rPr>
        <w:t>可根据当前采集条件自动优化探测器参数，确保花样质量。</w:t>
      </w:r>
    </w:p>
    <w:p w14:paraId="22B16F69">
      <w:pPr>
        <w:keepNext w:val="0"/>
        <w:keepLines w:val="0"/>
        <w:widowControl/>
        <w:numPr>
          <w:ilvl w:val="-1"/>
          <w:numId w:val="0"/>
        </w:numPr>
        <w:suppressLineNumbers w:val="0"/>
        <w:spacing w:before="72" w:beforeAutospacing="0" w:after="0" w:afterAutospacing="0" w:line="360" w:lineRule="auto"/>
        <w:ind w:left="840" w:leftChars="200" w:hanging="420" w:hangingChars="200"/>
      </w:pPr>
      <w:r>
        <w:rPr>
          <w:rFonts w:hint="eastAsia"/>
          <w:szCs w:val="21"/>
          <w:highlight w:val="none"/>
          <w:lang w:val="en-US" w:eastAsia="zh-CN"/>
        </w:rPr>
        <w:t>8</w:t>
      </w:r>
      <w:r>
        <w:rPr>
          <w:rFonts w:hint="eastAsia"/>
          <w:szCs w:val="21"/>
          <w:highlight w:val="none"/>
        </w:rPr>
        <w:t xml:space="preserve">. </w:t>
      </w:r>
      <w:r>
        <w:rPr>
          <w:rFonts w:hint="eastAsia"/>
          <w:szCs w:val="21"/>
          <w:highlight w:val="none"/>
          <w:lang w:val="en-US" w:eastAsia="zh-CN"/>
        </w:rPr>
        <w:t>支持</w:t>
      </w:r>
      <w:r>
        <w:rPr>
          <w:szCs w:val="21"/>
          <w:highlight w:val="none"/>
        </w:rPr>
        <w:t>所有对称性晶体材料的EBSP花样自动化标定，</w:t>
      </w:r>
      <w:r>
        <w:rPr>
          <w:rFonts w:hint="eastAsia"/>
          <w:szCs w:val="21"/>
          <w:highlight w:val="none"/>
          <w:lang w:val="en-US" w:eastAsia="zh-CN"/>
        </w:rPr>
        <w:t>标定时</w:t>
      </w:r>
      <w:r>
        <w:rPr>
          <w:szCs w:val="21"/>
          <w:highlight w:val="none"/>
        </w:rPr>
        <w:t>各相的反射面可以独立选择，</w:t>
      </w:r>
    </w:p>
    <w:p w14:paraId="57000D81">
      <w:pPr>
        <w:pStyle w:val="7"/>
        <w:widowControl/>
        <w:spacing w:line="360" w:lineRule="auto"/>
        <w:ind w:left="420" w:leftChars="200" w:firstLine="210" w:firstLineChars="100"/>
        <w:rPr>
          <w:rFonts w:hint="eastAsia" w:eastAsia="宋体"/>
          <w:szCs w:val="21"/>
          <w:highlight w:val="none"/>
          <w:lang w:eastAsia="zh-CN"/>
        </w:rPr>
      </w:pPr>
      <w:r>
        <w:rPr>
          <w:rFonts w:hint="eastAsia" w:ascii="宋体" w:hAnsi="宋体" w:eastAsia="宋体" w:cs="宋体"/>
          <w:i w:val="0"/>
          <w:iCs w:val="0"/>
          <w:caps w:val="0"/>
          <w:color w:val="0F1115"/>
          <w:spacing w:val="0"/>
          <w:sz w:val="21"/>
          <w:szCs w:val="21"/>
          <w:shd w:val="clear" w:fill="FFFFFF"/>
        </w:rPr>
        <w:t>衍射带识别算法同时支持基于带边缘和带中心位置的检测</w:t>
      </w:r>
      <w:r>
        <w:rPr>
          <w:rFonts w:hint="eastAsia" w:ascii="宋体" w:hAnsi="宋体" w:eastAsia="宋体" w:cs="宋体"/>
          <w:i w:val="0"/>
          <w:iCs w:val="0"/>
          <w:caps w:val="0"/>
          <w:color w:val="0F1115"/>
          <w:spacing w:val="0"/>
          <w:sz w:val="21"/>
          <w:szCs w:val="21"/>
          <w:shd w:val="clear" w:fill="FFFFFF"/>
          <w:lang w:eastAsia="zh-CN"/>
        </w:rPr>
        <w:t>；</w:t>
      </w:r>
    </w:p>
    <w:p w14:paraId="294CFA9F">
      <w:pPr>
        <w:keepNext w:val="0"/>
        <w:keepLines w:val="0"/>
        <w:widowControl/>
        <w:numPr>
          <w:ilvl w:val="-1"/>
          <w:numId w:val="0"/>
        </w:numPr>
        <w:suppressLineNumbers w:val="0"/>
        <w:pBdr>
          <w:left w:val="none" w:color="auto" w:sz="0" w:space="0"/>
          <w:right w:val="none" w:color="auto" w:sz="0" w:space="0"/>
        </w:pBdr>
        <w:spacing w:before="0" w:beforeAutospacing="0" w:after="0" w:afterAutospacing="0" w:line="360" w:lineRule="auto"/>
        <w:ind w:left="630" w:leftChars="100" w:hanging="420" w:hangingChars="200"/>
        <w:jc w:val="left"/>
        <w:rPr>
          <w:rFonts w:hint="eastAsia" w:ascii="Segoe UI" w:hAnsi="Segoe UI" w:eastAsia="宋体" w:cs="Segoe UI"/>
          <w:color w:val="222222"/>
          <w:spacing w:val="0"/>
          <w:szCs w:val="21"/>
          <w:lang w:eastAsia="zh-CN"/>
        </w:rPr>
      </w:pPr>
      <w:r>
        <w:rPr>
          <w:rFonts w:ascii="Times New Roman" w:hAnsi="Times New Roman"/>
          <w:sz w:val="21"/>
          <w:szCs w:val="21"/>
        </w:rPr>
        <w:t>★</w:t>
      </w:r>
      <w:r>
        <w:rPr>
          <w:rFonts w:hint="eastAsia"/>
          <w:sz w:val="21"/>
          <w:szCs w:val="21"/>
          <w:lang w:val="en-US" w:eastAsia="zh-CN"/>
        </w:rPr>
        <w:t>9</w:t>
      </w:r>
      <w:r>
        <w:rPr>
          <w:rFonts w:hint="eastAsia" w:ascii="Times New Roman" w:hAnsi="Times New Roman" w:eastAsia="宋体"/>
          <w:sz w:val="21"/>
          <w:szCs w:val="21"/>
        </w:rPr>
        <w:t xml:space="preserve">. </w:t>
      </w:r>
      <w:r>
        <w:rPr>
          <w:rFonts w:hint="default" w:ascii="Segoe UI" w:hAnsi="Segoe UI" w:eastAsia="Segoe UI" w:cs="Segoe UI"/>
          <w:i w:val="0"/>
          <w:iCs w:val="0"/>
          <w:caps w:val="0"/>
          <w:color w:val="222222"/>
          <w:spacing w:val="0"/>
          <w:sz w:val="21"/>
          <w:szCs w:val="21"/>
          <w:shd w:val="clear" w:fill="FFFFFF"/>
        </w:rPr>
        <w:t>可以在不降低采集速度的前提下，</w:t>
      </w:r>
      <w:r>
        <w:rPr>
          <w:rFonts w:ascii="Times New Roman" w:hAnsi="Times New Roman" w:eastAsia="宋体"/>
          <w:sz w:val="21"/>
          <w:szCs w:val="21"/>
        </w:rPr>
        <w:t>能够</w:t>
      </w:r>
      <w:r>
        <w:rPr>
          <w:rFonts w:hint="eastAsia" w:ascii="Times New Roman" w:hAnsi="Times New Roman" w:eastAsia="宋体"/>
          <w:sz w:val="21"/>
          <w:szCs w:val="21"/>
        </w:rPr>
        <w:t>实现</w:t>
      </w:r>
      <w:r>
        <w:rPr>
          <w:rFonts w:ascii="Times New Roman" w:hAnsi="Times New Roman" w:eastAsia="宋体"/>
          <w:sz w:val="21"/>
          <w:szCs w:val="21"/>
        </w:rPr>
        <w:t>与</w:t>
      </w:r>
      <w:r>
        <w:rPr>
          <w:rFonts w:hint="eastAsia" w:ascii="Times New Roman" w:hAnsi="Times New Roman" w:eastAsia="宋体"/>
          <w:sz w:val="21"/>
          <w:szCs w:val="21"/>
        </w:rPr>
        <w:t>已有</w:t>
      </w:r>
      <w:r>
        <w:rPr>
          <w:rFonts w:ascii="Times New Roman" w:hAnsi="Times New Roman" w:eastAsia="宋体"/>
          <w:sz w:val="21"/>
          <w:szCs w:val="21"/>
        </w:rPr>
        <w:t>能谱仪</w:t>
      </w:r>
      <w:r>
        <w:rPr>
          <w:rFonts w:hint="eastAsia" w:ascii="Times New Roman" w:hAnsi="Times New Roman" w:eastAsia="宋体"/>
          <w:sz w:val="21"/>
          <w:szCs w:val="21"/>
        </w:rPr>
        <w:t>操作</w:t>
      </w:r>
      <w:r>
        <w:rPr>
          <w:rFonts w:ascii="Times New Roman" w:hAnsi="Times New Roman" w:eastAsia="宋体"/>
          <w:sz w:val="21"/>
          <w:szCs w:val="21"/>
        </w:rPr>
        <w:t>一体化</w:t>
      </w:r>
      <w:r>
        <w:rPr>
          <w:rFonts w:hint="eastAsia"/>
          <w:sz w:val="21"/>
          <w:szCs w:val="21"/>
          <w:lang w:eastAsia="zh-CN"/>
        </w:rPr>
        <w:t>，</w:t>
      </w:r>
      <w:r>
        <w:rPr>
          <w:rFonts w:hint="eastAsia"/>
          <w:sz w:val="21"/>
          <w:szCs w:val="21"/>
          <w:lang w:val="en-US" w:eastAsia="zh-CN"/>
        </w:rPr>
        <w:t>可</w:t>
      </w:r>
      <w:r>
        <w:rPr>
          <w:rFonts w:hint="default" w:ascii="Segoe UI" w:hAnsi="Segoe UI" w:eastAsia="Segoe UI" w:cs="Segoe UI"/>
          <w:i w:val="0"/>
          <w:iCs w:val="0"/>
          <w:caps w:val="0"/>
          <w:color w:val="222222"/>
          <w:spacing w:val="0"/>
          <w:sz w:val="21"/>
          <w:szCs w:val="21"/>
          <w:shd w:val="clear" w:fill="FFFFFF"/>
        </w:rPr>
        <w:t>同步获取样品的晶体结构和化学成分信息</w:t>
      </w:r>
      <w:r>
        <w:rPr>
          <w:rFonts w:hint="eastAsia" w:ascii="Segoe UI" w:hAnsi="Segoe UI" w:eastAsia="宋体" w:cs="Segoe UI"/>
          <w:i w:val="0"/>
          <w:iCs w:val="0"/>
          <w:caps w:val="0"/>
          <w:color w:val="222222"/>
          <w:spacing w:val="0"/>
          <w:sz w:val="21"/>
          <w:szCs w:val="21"/>
          <w:shd w:val="clear" w:fill="FFFFFF"/>
          <w:lang w:eastAsia="zh-CN"/>
        </w:rPr>
        <w:t>；</w:t>
      </w:r>
    </w:p>
    <w:p w14:paraId="77672FEF">
      <w:pPr>
        <w:pStyle w:val="31"/>
        <w:spacing w:line="360" w:lineRule="auto"/>
        <w:ind w:left="420" w:leftChars="100" w:hanging="210" w:hangingChars="100"/>
        <w:jc w:val="both"/>
        <w:rPr>
          <w:rFonts w:ascii="Times New Roman" w:hAnsi="Times New Roman" w:eastAsia="宋体"/>
          <w:sz w:val="21"/>
          <w:szCs w:val="21"/>
        </w:rPr>
      </w:pP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eastAsia="zh-CN"/>
        </w:rPr>
        <w:t>1</w:t>
      </w:r>
      <w:r>
        <w:rPr>
          <w:rFonts w:hint="eastAsia"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可根据能谱数据对EBSD花样进行预过滤，实现对未知相的相鉴定</w:t>
      </w:r>
      <w:r>
        <w:rPr>
          <w:rFonts w:hint="default"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并</w:t>
      </w:r>
      <w:r>
        <w:rPr>
          <w:rFonts w:hint="default" w:ascii="Times New Roman" w:hAnsi="Times New Roman" w:eastAsia="宋体" w:cs="Times New Roman"/>
          <w:sz w:val="21"/>
          <w:szCs w:val="21"/>
        </w:rPr>
        <w:t>可识别菊池带宽度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在能谱仪的辅助下区分晶体结构相似的相</w:t>
      </w:r>
      <w:r>
        <w:rPr>
          <w:rFonts w:ascii="Times New Roman" w:hAnsi="Times New Roman" w:eastAsia="宋体"/>
          <w:sz w:val="21"/>
          <w:szCs w:val="21"/>
        </w:rPr>
        <w:t>；</w:t>
      </w:r>
    </w:p>
    <w:p w14:paraId="26FBC2A5">
      <w:pPr>
        <w:spacing w:line="360" w:lineRule="auto"/>
        <w:ind w:firstLine="210" w:firstLineChars="100"/>
        <w:rPr>
          <w:rFonts w:hint="default" w:eastAsia="宋体"/>
          <w:szCs w:val="21"/>
          <w:lang w:val="en-US" w:eastAsia="zh-CN"/>
        </w:rPr>
      </w:pPr>
      <w:r>
        <w:rPr>
          <w:szCs w:val="21"/>
        </w:rPr>
        <w:t>★</w:t>
      </w:r>
      <w:r>
        <w:rPr>
          <w:rFonts w:hint="eastAsia"/>
          <w:szCs w:val="21"/>
          <w:lang w:val="en-US" w:eastAsia="zh-CN"/>
        </w:rPr>
        <w:t>11</w:t>
      </w:r>
      <w:r>
        <w:rPr>
          <w:rFonts w:hint="eastAsia"/>
          <w:szCs w:val="21"/>
        </w:rPr>
        <w:t>. 具备大面积拼接功能</w:t>
      </w:r>
      <w:r>
        <w:rPr>
          <w:rFonts w:hint="eastAsia"/>
          <w:szCs w:val="21"/>
          <w:lang w:val="en-US" w:eastAsia="zh-CN"/>
        </w:rPr>
        <w:t>，</w:t>
      </w:r>
      <w:r>
        <w:rPr>
          <w:szCs w:val="21"/>
        </w:rPr>
        <w:t>自动对指定区域进行大面积采集和拼接。</w:t>
      </w:r>
    </w:p>
    <w:p w14:paraId="0B47A108">
      <w:pPr>
        <w:snapToGrid w:val="0"/>
        <w:spacing w:line="360" w:lineRule="auto"/>
        <w:ind w:firstLine="210" w:firstLineChars="100"/>
        <w:rPr>
          <w:szCs w:val="21"/>
        </w:rPr>
      </w:pPr>
      <w:r>
        <w:rPr>
          <w:szCs w:val="21"/>
        </w:rPr>
        <w:t>★</w:t>
      </w:r>
      <w:r>
        <w:rPr>
          <w:rFonts w:hint="eastAsia"/>
          <w:szCs w:val="21"/>
        </w:rPr>
        <w:t>1</w:t>
      </w:r>
      <w:r>
        <w:rPr>
          <w:rFonts w:hint="eastAsia"/>
          <w:szCs w:val="21"/>
          <w:lang w:val="en-US" w:eastAsia="zh-CN"/>
        </w:rPr>
        <w:t>2</w:t>
      </w:r>
      <w:r>
        <w:rPr>
          <w:rFonts w:hint="eastAsia"/>
          <w:szCs w:val="21"/>
        </w:rPr>
        <w:t xml:space="preserve">. </w:t>
      </w:r>
      <w:r>
        <w:rPr>
          <w:szCs w:val="21"/>
        </w:rPr>
        <w:t>配置</w:t>
      </w:r>
      <w:r>
        <w:rPr>
          <w:rFonts w:hint="eastAsia"/>
          <w:szCs w:val="21"/>
          <w:lang w:val="en-US" w:eastAsia="zh-CN"/>
        </w:rPr>
        <w:t>完整的</w:t>
      </w:r>
      <w:r>
        <w:rPr>
          <w:rFonts w:hint="eastAsia"/>
          <w:szCs w:val="21"/>
        </w:rPr>
        <w:t>专业</w:t>
      </w:r>
      <w:r>
        <w:rPr>
          <w:szCs w:val="21"/>
        </w:rPr>
        <w:t>晶体学数据</w:t>
      </w:r>
      <w:r>
        <w:rPr>
          <w:rFonts w:hint="eastAsia"/>
          <w:szCs w:val="21"/>
        </w:rPr>
        <w:t>全</w:t>
      </w:r>
      <w:r>
        <w:rPr>
          <w:szCs w:val="21"/>
        </w:rPr>
        <w:t>库</w:t>
      </w:r>
      <w:r>
        <w:rPr>
          <w:rFonts w:hint="eastAsia"/>
          <w:szCs w:val="21"/>
        </w:rPr>
        <w:t>，</w:t>
      </w:r>
      <w:r>
        <w:rPr>
          <w:rFonts w:hint="eastAsia"/>
          <w:szCs w:val="21"/>
          <w:lang w:val="en-US" w:eastAsia="zh-CN"/>
        </w:rPr>
        <w:t>并</w:t>
      </w:r>
      <w:r>
        <w:rPr>
          <w:szCs w:val="21"/>
        </w:rPr>
        <w:t>支持直接导入CIF</w:t>
      </w:r>
      <w:r>
        <w:rPr>
          <w:rFonts w:hint="eastAsia"/>
          <w:szCs w:val="21"/>
          <w:lang w:val="en-US" w:eastAsia="zh-CN"/>
        </w:rPr>
        <w:t>格式的物相文件</w:t>
      </w:r>
      <w:r>
        <w:rPr>
          <w:szCs w:val="21"/>
        </w:rPr>
        <w:t>。</w:t>
      </w:r>
    </w:p>
    <w:p w14:paraId="2F975319">
      <w:pPr>
        <w:numPr>
          <w:ilvl w:val="0"/>
          <w:numId w:val="1"/>
        </w:numPr>
        <w:snapToGrid w:val="0"/>
        <w:spacing w:line="360" w:lineRule="auto"/>
        <w:ind w:firstLine="420" w:firstLineChars="200"/>
        <w:rPr>
          <w:color w:val="000000"/>
          <w:szCs w:val="21"/>
        </w:rPr>
      </w:pPr>
      <w:r>
        <w:rPr>
          <w:color w:val="000000"/>
          <w:szCs w:val="21"/>
        </w:rPr>
        <w:t>配置专用的分析透射样品的TKD标定模式</w:t>
      </w:r>
      <w:r>
        <w:rPr>
          <w:rFonts w:hint="eastAsia"/>
          <w:color w:val="000000"/>
          <w:szCs w:val="21"/>
        </w:rPr>
        <w:t>，</w:t>
      </w:r>
      <w:r>
        <w:rPr>
          <w:szCs w:val="21"/>
        </w:rPr>
        <w:t>空间分辨率可达</w:t>
      </w:r>
      <w:r>
        <w:rPr>
          <w:rFonts w:hint="eastAsia"/>
          <w:szCs w:val="21"/>
        </w:rPr>
        <w:t>100</w:t>
      </w:r>
      <w:r>
        <w:rPr>
          <w:szCs w:val="21"/>
        </w:rPr>
        <w:t xml:space="preserve"> nm</w:t>
      </w:r>
      <w:r>
        <w:rPr>
          <w:color w:val="000000"/>
          <w:szCs w:val="21"/>
        </w:rPr>
        <w:t>。</w:t>
      </w:r>
    </w:p>
    <w:p w14:paraId="2F975319">
      <w:pPr>
        <w:numPr>
          <w:ilvl w:val="0"/>
          <w:numId w:val="1"/>
        </w:numPr>
        <w:snapToGrid w:val="0"/>
        <w:spacing w:line="360" w:lineRule="auto"/>
        <w:ind w:left="840" w:leftChars="200" w:hanging="420" w:hangingChars="200"/>
        <w:rPr>
          <w:rFonts w:hint="eastAsia"/>
          <w:szCs w:val="21"/>
          <w:lang w:eastAsia="zh-CN"/>
        </w:rPr>
      </w:pPr>
      <w:r>
        <w:rPr>
          <w:rFonts w:hint="default" w:ascii="Times New Roman" w:hAnsi="Times New Roman" w:eastAsia="宋体" w:cs="Times New Roman"/>
          <w:b w:val="0"/>
          <w:bCs w:val="0"/>
          <w:szCs w:val="21"/>
        </w:rPr>
        <w:t>提供配套计算机</w:t>
      </w:r>
      <w:r>
        <w:rPr>
          <w:rFonts w:hint="default" w:ascii="Times New Roman" w:hAnsi="Times New Roman" w:eastAsia="宋体" w:cs="Times New Roman"/>
          <w:b w:val="0"/>
          <w:bCs w:val="0"/>
          <w:szCs w:val="21"/>
          <w:lang w:val="en-US" w:eastAsia="zh-CN"/>
        </w:rPr>
        <w:t>1</w:t>
      </w:r>
      <w:r>
        <w:rPr>
          <w:rFonts w:hint="default" w:ascii="Times New Roman" w:hAnsi="Times New Roman" w:eastAsia="宋体" w:cs="Times New Roman"/>
          <w:b w:val="0"/>
          <w:bCs w:val="0"/>
          <w:szCs w:val="21"/>
        </w:rPr>
        <w:t>台</w:t>
      </w:r>
      <w:r>
        <w:rPr>
          <w:rFonts w:hint="default" w:ascii="Times New Roman" w:hAnsi="Times New Roman" w:eastAsia="宋体" w:cs="Times New Roman"/>
          <w:b w:val="0"/>
          <w:bCs w:val="0"/>
          <w:szCs w:val="21"/>
          <w:lang w:eastAsia="zh-CN"/>
        </w:rPr>
        <w:t>，</w:t>
      </w:r>
      <w:r>
        <w:rPr>
          <w:rFonts w:hint="default" w:ascii="Times New Roman" w:hAnsi="Times New Roman" w:eastAsia="宋体" w:cs="Times New Roman"/>
          <w:b w:val="0"/>
          <w:bCs w:val="0"/>
          <w:i w:val="0"/>
          <w:iCs w:val="0"/>
          <w:caps w:val="0"/>
          <w:color w:val="0F1115"/>
          <w:spacing w:val="0"/>
          <w:sz w:val="21"/>
          <w:szCs w:val="21"/>
          <w:shd w:val="clear" w:fill="FFFFFF"/>
        </w:rPr>
        <w:t> </w:t>
      </w:r>
      <w:r>
        <w:rPr>
          <w:rFonts w:hint="default" w:ascii="Times New Roman" w:hAnsi="Times New Roman" w:eastAsia="宋体" w:cs="Times New Roman"/>
          <w:b w:val="0"/>
          <w:bCs w:val="0"/>
          <w:i w:val="0"/>
          <w:iCs w:val="0"/>
          <w:caps w:val="0"/>
          <w:color w:val="0F1115"/>
          <w:spacing w:val="0"/>
          <w:sz w:val="21"/>
          <w:szCs w:val="21"/>
          <w:shd w:val="clear" w:fill="FFFFFF"/>
          <w:lang w:val="en-US" w:eastAsia="zh-CN"/>
        </w:rPr>
        <w:t>配置不低于</w:t>
      </w:r>
      <w:r>
        <w:rPr>
          <w:rFonts w:hint="default" w:ascii="Times New Roman" w:hAnsi="Times New Roman" w:eastAsia="宋体" w:cs="Times New Roman"/>
          <w:b w:val="0"/>
          <w:bCs w:val="0"/>
          <w:i w:val="0"/>
          <w:iCs w:val="0"/>
          <w:caps w:val="0"/>
          <w:color w:val="0F1115"/>
          <w:spacing w:val="0"/>
          <w:sz w:val="21"/>
          <w:szCs w:val="21"/>
          <w:shd w:val="clear" w:fill="FFFFFF"/>
        </w:rPr>
        <w:t>Intel i</w:t>
      </w:r>
      <w:r>
        <w:rPr>
          <w:rFonts w:hint="default" w:ascii="Times New Roman" w:hAnsi="Times New Roman" w:eastAsia="宋体" w:cs="Times New Roman"/>
          <w:b w:val="0"/>
          <w:bCs w:val="0"/>
          <w:i w:val="0"/>
          <w:iCs w:val="0"/>
          <w:caps w:val="0"/>
          <w:color w:val="0F1115"/>
          <w:spacing w:val="0"/>
          <w:sz w:val="21"/>
          <w:szCs w:val="21"/>
          <w:shd w:val="clear" w:fill="FFFFFF"/>
          <w:lang w:val="en-US" w:eastAsia="zh-CN"/>
        </w:rPr>
        <w:t>7</w:t>
      </w:r>
      <w:r>
        <w:rPr>
          <w:rFonts w:hint="default" w:ascii="Times New Roman" w:hAnsi="Times New Roman" w:eastAsia="宋体" w:cs="Times New Roman"/>
          <w:b w:val="0"/>
          <w:bCs w:val="0"/>
          <w:i w:val="0"/>
          <w:iCs w:val="0"/>
          <w:caps w:val="0"/>
          <w:color w:val="0F1115"/>
          <w:spacing w:val="0"/>
          <w:sz w:val="21"/>
          <w:szCs w:val="21"/>
          <w:shd w:val="clear" w:fill="FFFFFF"/>
        </w:rPr>
        <w:t>处理器</w:t>
      </w:r>
      <w:r>
        <w:rPr>
          <w:rFonts w:hint="eastAsia" w:ascii="Times New Roman" w:hAnsi="Times New Roman" w:eastAsia="宋体" w:cs="Times New Roman"/>
          <w:b w:val="0"/>
          <w:bCs w:val="0"/>
          <w:i w:val="0"/>
          <w:iCs w:val="0"/>
          <w:caps w:val="0"/>
          <w:color w:val="0F1115"/>
          <w:spacing w:val="0"/>
          <w:sz w:val="21"/>
          <w:szCs w:val="21"/>
          <w:shd w:val="clear" w:fill="FFFFFF"/>
          <w:lang w:eastAsia="zh-CN"/>
        </w:rPr>
        <w:t>，</w:t>
      </w:r>
      <w:r>
        <w:rPr>
          <w:rFonts w:hint="eastAsia" w:ascii="Times New Roman" w:hAnsi="Times New Roman" w:eastAsia="宋体" w:cs="Times New Roman"/>
          <w:b w:val="0"/>
          <w:bCs w:val="0"/>
          <w:i w:val="0"/>
          <w:iCs w:val="0"/>
          <w:caps w:val="0"/>
          <w:color w:val="0F1115"/>
          <w:spacing w:val="0"/>
          <w:sz w:val="21"/>
          <w:szCs w:val="21"/>
          <w:shd w:val="clear" w:fill="FFFFFF"/>
          <w:lang w:val="en-US" w:eastAsia="zh-CN"/>
        </w:rPr>
        <w:t xml:space="preserve">32 </w:t>
      </w:r>
      <w:r>
        <w:rPr>
          <w:rFonts w:hint="default" w:ascii="Times New Roman" w:hAnsi="Times New Roman" w:eastAsia="宋体" w:cs="Times New Roman"/>
          <w:b w:val="0"/>
          <w:bCs w:val="0"/>
          <w:i w:val="0"/>
          <w:iCs w:val="0"/>
          <w:caps w:val="0"/>
          <w:color w:val="0F1115"/>
          <w:spacing w:val="0"/>
          <w:sz w:val="21"/>
          <w:szCs w:val="21"/>
          <w:shd w:val="clear" w:fill="FFFFFF"/>
        </w:rPr>
        <w:t>GB内存</w:t>
      </w:r>
      <w:r>
        <w:rPr>
          <w:rFonts w:hint="default" w:ascii="Times New Roman" w:hAnsi="Times New Roman" w:eastAsia="宋体" w:cs="Times New Roman"/>
          <w:b w:val="0"/>
          <w:bCs w:val="0"/>
          <w:i w:val="0"/>
          <w:iCs w:val="0"/>
          <w:caps w:val="0"/>
          <w:color w:val="0F1115"/>
          <w:spacing w:val="0"/>
          <w:sz w:val="21"/>
          <w:szCs w:val="21"/>
          <w:shd w:val="clear" w:fill="FFFFFF"/>
          <w:lang w:eastAsia="zh-CN"/>
        </w:rPr>
        <w:t>，</w:t>
      </w:r>
      <w:r>
        <w:rPr>
          <w:rFonts w:hint="default" w:ascii="Times New Roman" w:hAnsi="Times New Roman" w:eastAsia="宋体" w:cs="Times New Roman"/>
          <w:b w:val="0"/>
          <w:bCs w:val="0"/>
          <w:i w:val="0"/>
          <w:iCs w:val="0"/>
          <w:caps w:val="0"/>
          <w:color w:val="0F1115"/>
          <w:spacing w:val="0"/>
          <w:sz w:val="21"/>
          <w:szCs w:val="21"/>
          <w:shd w:val="clear" w:fill="FFFFFF"/>
        </w:rPr>
        <w:t>独立显卡</w:t>
      </w:r>
      <w:r>
        <w:rPr>
          <w:rFonts w:hint="eastAsia" w:cs="Times New Roman"/>
          <w:b w:val="0"/>
          <w:bCs w:val="0"/>
          <w:i w:val="0"/>
          <w:iCs w:val="0"/>
          <w:caps w:val="0"/>
          <w:color w:val="0F1115"/>
          <w:spacing w:val="0"/>
          <w:sz w:val="21"/>
          <w:szCs w:val="21"/>
          <w:shd w:val="clear" w:fill="FFFFFF"/>
          <w:lang w:eastAsia="zh-CN"/>
        </w:rPr>
        <w:t>，</w:t>
      </w:r>
      <w:r>
        <w:rPr>
          <w:rFonts w:hint="eastAsia"/>
          <w:szCs w:val="21"/>
        </w:rPr>
        <w:t>显存≥</w:t>
      </w:r>
      <w:r>
        <w:rPr>
          <w:rFonts w:hint="eastAsia"/>
          <w:szCs w:val="21"/>
          <w:lang w:val="en-US" w:eastAsia="zh-CN"/>
        </w:rPr>
        <w:t xml:space="preserve">12 </w:t>
      </w:r>
      <w:r>
        <w:rPr>
          <w:rFonts w:hint="eastAsia"/>
          <w:szCs w:val="21"/>
        </w:rPr>
        <w:t>G</w:t>
      </w:r>
      <w:r>
        <w:rPr>
          <w:rFonts w:hint="eastAsia"/>
          <w:szCs w:val="21"/>
          <w:lang w:eastAsia="zh-CN"/>
        </w:rPr>
        <w:t>，</w:t>
      </w:r>
      <w:r>
        <w:rPr>
          <w:rFonts w:hint="eastAsia"/>
          <w:szCs w:val="21"/>
          <w:lang w:val="en-US" w:eastAsia="zh-CN"/>
        </w:rPr>
        <w:t xml:space="preserve">    </w:t>
      </w:r>
      <w:r>
        <w:rPr>
          <w:rFonts w:hint="eastAsia"/>
          <w:szCs w:val="21"/>
        </w:rPr>
        <w:t>硬盘SSD≥2T，</w:t>
      </w:r>
      <w:r>
        <w:rPr>
          <w:rFonts w:hint="default" w:ascii="Times New Roman" w:hAnsi="Times New Roman" w:eastAsia="宋体" w:cs="Times New Roman"/>
          <w:b w:val="0"/>
          <w:bCs w:val="0"/>
          <w:i w:val="0"/>
          <w:iCs w:val="0"/>
          <w:caps w:val="0"/>
          <w:color w:val="0F1115"/>
          <w:spacing w:val="0"/>
          <w:sz w:val="21"/>
          <w:szCs w:val="21"/>
          <w:shd w:val="clear" w:fill="FFFFFF"/>
        </w:rPr>
        <w:t>27英寸4K UHD显示器</w:t>
      </w:r>
      <w:r>
        <w:rPr>
          <w:rFonts w:hint="eastAsia" w:ascii="Times New Roman" w:hAnsi="Times New Roman" w:eastAsia="宋体" w:cs="Times New Roman"/>
          <w:b w:val="0"/>
          <w:bCs w:val="0"/>
          <w:i w:val="0"/>
          <w:iCs w:val="0"/>
          <w:caps w:val="0"/>
          <w:color w:val="0F1115"/>
          <w:spacing w:val="0"/>
          <w:sz w:val="21"/>
          <w:szCs w:val="21"/>
          <w:shd w:val="clear" w:fill="FFFFFF"/>
          <w:lang w:eastAsia="zh-CN"/>
        </w:rPr>
        <w:t>，</w:t>
      </w:r>
      <w:r>
        <w:rPr>
          <w:rFonts w:hint="default" w:ascii="Times New Roman" w:hAnsi="Times New Roman" w:eastAsia="宋体" w:cs="Times New Roman"/>
          <w:b w:val="0"/>
          <w:bCs w:val="0"/>
          <w:szCs w:val="21"/>
        </w:rPr>
        <w:t>无线键盘鼠标</w:t>
      </w:r>
      <w:r>
        <w:rPr>
          <w:rFonts w:hint="eastAsia"/>
          <w:szCs w:val="21"/>
          <w:lang w:eastAsia="zh-CN"/>
        </w:rPr>
        <w:t>；</w:t>
      </w:r>
    </w:p>
    <w:p w14:paraId="161120E4">
      <w:pPr>
        <w:numPr>
          <w:ilvl w:val="0"/>
          <w:numId w:val="1"/>
        </w:numPr>
        <w:tabs>
          <w:tab w:val="left" w:pos="900"/>
        </w:tabs>
        <w:spacing w:line="360" w:lineRule="auto"/>
        <w:ind w:left="840" w:leftChars="200" w:hanging="420" w:hangingChars="200"/>
        <w:rPr>
          <w:szCs w:val="21"/>
        </w:rPr>
      </w:pPr>
      <w:r>
        <w:rPr>
          <w:szCs w:val="21"/>
        </w:rPr>
        <w:t>配</w:t>
      </w:r>
      <w:r>
        <w:rPr>
          <w:rFonts w:hint="eastAsia"/>
          <w:szCs w:val="21"/>
          <w:lang w:val="en-US" w:eastAsia="zh-CN"/>
        </w:rPr>
        <w:t>备</w:t>
      </w:r>
      <w:r>
        <w:rPr>
          <w:szCs w:val="21"/>
        </w:rPr>
        <w:t>64位数据后处理软件包，</w:t>
      </w:r>
      <w:r>
        <w:rPr>
          <w:rFonts w:hint="eastAsia"/>
          <w:szCs w:val="21"/>
        </w:rPr>
        <w:t>可以离线使用。软件</w:t>
      </w:r>
      <w:r>
        <w:rPr>
          <w:szCs w:val="21"/>
        </w:rPr>
        <w:t>包含且不限于如下功能：（1）数据修饰；（2）晶粒统计（3）晶界分析（4）应变分析（5）极图和反极图（6）ODF</w:t>
      </w:r>
      <w:r>
        <w:rPr>
          <w:rFonts w:hint="eastAsia"/>
          <w:szCs w:val="21"/>
          <w:lang w:eastAsia="zh-CN"/>
        </w:rPr>
        <w:t>（</w:t>
      </w:r>
      <w:r>
        <w:rPr>
          <w:rFonts w:hint="eastAsia"/>
          <w:szCs w:val="21"/>
          <w:lang w:val="en-US" w:eastAsia="zh-CN"/>
        </w:rPr>
        <w:t>取向分布函数</w:t>
      </w:r>
      <w:r>
        <w:rPr>
          <w:rFonts w:hint="eastAsia"/>
          <w:szCs w:val="21"/>
          <w:lang w:eastAsia="zh-CN"/>
        </w:rPr>
        <w:t>）</w:t>
      </w:r>
      <w:r>
        <w:rPr>
          <w:rFonts w:hint="eastAsia"/>
          <w:szCs w:val="21"/>
          <w:lang w:val="en-US" w:eastAsia="zh-CN"/>
        </w:rPr>
        <w:t>计算</w:t>
      </w:r>
      <w:r>
        <w:rPr>
          <w:rFonts w:hint="eastAsia"/>
          <w:szCs w:val="21"/>
          <w:lang w:eastAsia="zh-CN"/>
        </w:rPr>
        <w:t>；</w:t>
      </w:r>
    </w:p>
    <w:p w14:paraId="56A81E7A">
      <w:pPr>
        <w:tabs>
          <w:tab w:val="left" w:pos="900"/>
        </w:tabs>
        <w:spacing w:line="360" w:lineRule="auto"/>
        <w:ind w:firstLine="420" w:firstLineChars="200"/>
        <w:rPr>
          <w:szCs w:val="21"/>
        </w:rPr>
      </w:pPr>
      <w:r>
        <w:rPr>
          <w:rFonts w:hint="eastAsia"/>
          <w:szCs w:val="21"/>
        </w:rPr>
        <w:t>1</w:t>
      </w:r>
      <w:r>
        <w:rPr>
          <w:rFonts w:hint="eastAsia"/>
          <w:szCs w:val="21"/>
          <w:lang w:val="en-US" w:eastAsia="zh-CN"/>
        </w:rPr>
        <w:t>6</w:t>
      </w:r>
      <w:r>
        <w:rPr>
          <w:szCs w:val="21"/>
        </w:rPr>
        <w:t>. 提供与</w:t>
      </w:r>
      <w:r>
        <w:rPr>
          <w:rFonts w:hint="eastAsia"/>
          <w:szCs w:val="21"/>
          <w:lang w:val="en-US" w:eastAsia="zh-CN"/>
        </w:rPr>
        <w:t>国仪量子SEM5000X</w:t>
      </w:r>
      <w:r>
        <w:rPr>
          <w:szCs w:val="21"/>
        </w:rPr>
        <w:t>电镜相适配的原装进口法兰接口；</w:t>
      </w:r>
    </w:p>
    <w:p w14:paraId="56A81E7A">
      <w:pPr>
        <w:widowControl/>
        <w:numPr>
          <w:ilvl w:val="-1"/>
          <w:numId w:val="0"/>
        </w:numPr>
        <w:tabs>
          <w:tab w:val="left" w:pos="900"/>
        </w:tabs>
        <w:spacing w:line="360" w:lineRule="auto"/>
        <w:ind w:firstLine="210" w:firstLineChars="100"/>
        <w:rPr>
          <w:szCs w:val="21"/>
        </w:rPr>
      </w:pPr>
      <w:r>
        <w:rPr>
          <w:rFonts w:hint="eastAsia"/>
          <w:szCs w:val="21"/>
          <w:lang w:val="en-US" w:eastAsia="zh-CN"/>
        </w:rPr>
        <w:t xml:space="preserve">  17. </w:t>
      </w:r>
      <w:r>
        <w:rPr>
          <w:szCs w:val="21"/>
        </w:rPr>
        <w:t>提供能适配电镜的EBSD专用</w:t>
      </w:r>
      <w:r>
        <w:rPr>
          <w:rFonts w:hint="eastAsia"/>
          <w:szCs w:val="21"/>
          <w:lang w:val="en-US" w:eastAsia="zh-CN"/>
        </w:rPr>
        <w:t>70°预倾</w:t>
      </w:r>
      <w:r>
        <w:rPr>
          <w:szCs w:val="21"/>
        </w:rPr>
        <w:t>样品台和TKD专用样品台</w:t>
      </w:r>
      <w:r>
        <w:rPr>
          <w:rFonts w:hint="eastAsia"/>
          <w:szCs w:val="21"/>
        </w:rPr>
        <w:t>，各1台</w:t>
      </w:r>
      <w:r>
        <w:rPr>
          <w:szCs w:val="21"/>
        </w:rPr>
        <w:t>；</w:t>
      </w:r>
    </w:p>
    <w:p w14:paraId="70C5FF31">
      <w:pPr>
        <w:tabs>
          <w:tab w:val="left" w:pos="900"/>
        </w:tabs>
        <w:spacing w:line="360" w:lineRule="auto"/>
        <w:ind w:firstLine="420" w:firstLineChars="200"/>
        <w:rPr>
          <w:szCs w:val="21"/>
        </w:rPr>
      </w:pPr>
      <w:r>
        <w:rPr>
          <w:rFonts w:hint="eastAsia"/>
          <w:szCs w:val="21"/>
        </w:rPr>
        <w:t>1</w:t>
      </w:r>
      <w:r>
        <w:rPr>
          <w:rFonts w:hint="eastAsia"/>
          <w:szCs w:val="21"/>
          <w:lang w:val="en-US" w:eastAsia="zh-CN"/>
        </w:rPr>
        <w:t>8</w:t>
      </w:r>
      <w:r>
        <w:rPr>
          <w:rFonts w:hint="eastAsia"/>
          <w:szCs w:val="21"/>
        </w:rPr>
        <w:t xml:space="preserve">. </w:t>
      </w:r>
      <w:r>
        <w:rPr>
          <w:rFonts w:hint="eastAsia"/>
          <w:szCs w:val="21"/>
          <w:lang w:val="en-US" w:eastAsia="zh-CN"/>
        </w:rPr>
        <w:t>软件功能全面，</w:t>
      </w:r>
      <w:r>
        <w:rPr>
          <w:rFonts w:hint="eastAsia"/>
          <w:szCs w:val="21"/>
        </w:rPr>
        <w:t>上述所有参数和功能</w:t>
      </w:r>
      <w:r>
        <w:rPr>
          <w:rFonts w:hint="eastAsia"/>
          <w:szCs w:val="21"/>
          <w:lang w:val="en-US" w:eastAsia="zh-CN"/>
        </w:rPr>
        <w:t>均</w:t>
      </w:r>
      <w:r>
        <w:rPr>
          <w:rFonts w:hint="eastAsia"/>
          <w:szCs w:val="21"/>
        </w:rPr>
        <w:t>可在软件界面设置，</w:t>
      </w:r>
      <w:r>
        <w:rPr>
          <w:szCs w:val="21"/>
        </w:rPr>
        <w:t>软件程序具有永久版权，硬件允许情况下软件终身</w:t>
      </w:r>
      <w:r>
        <w:rPr>
          <w:rFonts w:hint="eastAsia"/>
          <w:szCs w:val="21"/>
          <w:lang w:val="en-US" w:eastAsia="zh-CN"/>
        </w:rPr>
        <w:t>免费</w:t>
      </w:r>
      <w:r>
        <w:rPr>
          <w:szCs w:val="21"/>
        </w:rPr>
        <w:t>升级</w:t>
      </w:r>
      <w:r>
        <w:rPr>
          <w:rFonts w:hint="eastAsia"/>
          <w:szCs w:val="21"/>
          <w:lang w:eastAsia="zh-CN"/>
        </w:rPr>
        <w:t>；</w:t>
      </w:r>
    </w:p>
    <w:p w14:paraId="04793A47">
      <w:pPr>
        <w:tabs>
          <w:tab w:val="left" w:pos="1134"/>
        </w:tabs>
        <w:spacing w:line="360" w:lineRule="auto"/>
        <w:ind w:firstLine="210" w:firstLineChars="100"/>
        <w:jc w:val="left"/>
        <w:rPr>
          <w:color w:val="000000" w:themeColor="text1"/>
          <w:szCs w:val="21"/>
          <w14:textFill>
            <w14:solidFill>
              <w14:schemeClr w14:val="tx1"/>
            </w14:solidFill>
          </w14:textFill>
        </w:rPr>
      </w:pPr>
      <w:r>
        <w:rPr>
          <w:szCs w:val="21"/>
        </w:rPr>
        <w:t>★</w:t>
      </w:r>
      <w:r>
        <w:rPr>
          <w:rFonts w:hint="eastAsia"/>
          <w:szCs w:val="21"/>
          <w:lang w:val="en-US" w:eastAsia="zh-CN"/>
        </w:rPr>
        <w:t>19</w:t>
      </w:r>
      <w:r>
        <w:rPr>
          <w:szCs w:val="21"/>
        </w:rPr>
        <w:t xml:space="preserve">. </w:t>
      </w:r>
      <w:r>
        <w:rPr>
          <w:rFonts w:hint="eastAsia"/>
          <w:szCs w:val="21"/>
        </w:rPr>
        <w:t>提供</w:t>
      </w:r>
      <w:r>
        <w:rPr>
          <w:szCs w:val="21"/>
        </w:rPr>
        <w:t>EBSD分析系统免费完整移机及安装调试1次；</w:t>
      </w:r>
    </w:p>
    <w:p w14:paraId="0E502799">
      <w:pPr>
        <w:numPr>
          <w:ilvl w:val="0"/>
          <w:numId w:val="2"/>
        </w:numPr>
        <w:tabs>
          <w:tab w:val="left" w:pos="900"/>
        </w:tabs>
        <w:adjustRightInd w:val="0"/>
        <w:snapToGrid w:val="0"/>
        <w:spacing w:line="360" w:lineRule="auto"/>
        <w:ind w:firstLine="422" w:firstLineChars="200"/>
        <w:rPr>
          <w:b/>
          <w:szCs w:val="21"/>
        </w:rPr>
      </w:pPr>
      <w:r>
        <w:rPr>
          <w:b/>
          <w:szCs w:val="21"/>
        </w:rPr>
        <w:t>采购标的需满足的服务标准、期限、效率等要求</w:t>
      </w:r>
    </w:p>
    <w:p w14:paraId="48A3C722">
      <w:pPr>
        <w:tabs>
          <w:tab w:val="left" w:pos="900"/>
        </w:tabs>
        <w:adjustRightInd w:val="0"/>
        <w:snapToGrid w:val="0"/>
        <w:spacing w:line="360" w:lineRule="auto"/>
        <w:ind w:firstLine="420" w:firstLineChars="200"/>
        <w:rPr>
          <w:b/>
          <w:szCs w:val="21"/>
        </w:rPr>
      </w:pPr>
      <w:r>
        <w:t>（一）卖方在合同生效后的三个月内，对可能的放置实验室进行噪声、地面振动、杂散磁场的</w:t>
      </w:r>
      <w:r>
        <w:rPr>
          <w:color w:val="060A26"/>
          <w:szCs w:val="21"/>
          <w:shd w:val="clear" w:color="auto" w:fill="FFFFFF"/>
        </w:rPr>
        <w:t>实地测量</w:t>
      </w:r>
      <w:r>
        <w:t>，</w:t>
      </w:r>
      <w:r>
        <w:rPr>
          <w:color w:val="060A26"/>
          <w:szCs w:val="21"/>
          <w:shd w:val="clear" w:color="auto" w:fill="FFFFFF"/>
        </w:rPr>
        <w:t>并根据设备运行要求，向买方提供并实施实验环境改造方案，同时配备与设备配套或实验所需的专用实验家具，确保整个系统（含环境、家具、设备）达到可立即投入使用的状态。</w:t>
      </w:r>
    </w:p>
    <w:p w14:paraId="1D8DFDC5">
      <w:pPr>
        <w:tabs>
          <w:tab w:val="left" w:pos="420"/>
          <w:tab w:val="left" w:pos="900"/>
        </w:tabs>
        <w:adjustRightInd w:val="0"/>
        <w:snapToGrid w:val="0"/>
        <w:spacing w:line="360" w:lineRule="auto"/>
        <w:ind w:firstLine="420" w:firstLineChars="200"/>
        <w:rPr>
          <w:szCs w:val="21"/>
        </w:rPr>
      </w:pPr>
      <w:r>
        <w:rPr>
          <w:szCs w:val="21"/>
        </w:rPr>
        <w:t>（二）</w:t>
      </w:r>
      <w:r>
        <w:rPr>
          <w:rFonts w:hint="eastAsia"/>
          <w:szCs w:val="21"/>
        </w:rPr>
        <w:t>整机</w:t>
      </w:r>
      <w:r>
        <w:rPr>
          <w:szCs w:val="21"/>
        </w:rPr>
        <w:t>质保期： 不少于</w:t>
      </w:r>
      <w:r>
        <w:rPr>
          <w:szCs w:val="21"/>
          <w:u w:val="single"/>
        </w:rPr>
        <w:t xml:space="preserve">   </w:t>
      </w:r>
      <w:r>
        <w:rPr>
          <w:rFonts w:hint="eastAsia"/>
          <w:szCs w:val="21"/>
          <w:u w:val="single"/>
          <w:lang w:val="en-US" w:eastAsia="zh-CN"/>
        </w:rPr>
        <w:t xml:space="preserve">2 </w:t>
      </w:r>
      <w:r>
        <w:rPr>
          <w:szCs w:val="21"/>
          <w:u w:val="single"/>
        </w:rPr>
        <w:t xml:space="preserve">  </w:t>
      </w:r>
      <w:r>
        <w:rPr>
          <w:szCs w:val="21"/>
        </w:rPr>
        <w:t>年，</w:t>
      </w:r>
      <w:r>
        <w:t>质保期内免费维保不少于</w:t>
      </w:r>
      <w:r>
        <w:rPr>
          <w:szCs w:val="21"/>
          <w:u w:val="single"/>
        </w:rPr>
        <w:t xml:space="preserve">   2   </w:t>
      </w:r>
      <w:r>
        <w:t xml:space="preserve"> 次/年。</w:t>
      </w:r>
      <w:r>
        <w:rPr>
          <w:szCs w:val="21"/>
        </w:rPr>
        <w:t>质保期满后，仍需提供专业维修服务，</w:t>
      </w:r>
      <w:r>
        <w:rPr>
          <w:color w:val="000000" w:themeColor="text1"/>
          <w:szCs w:val="21"/>
          <w14:textFill>
            <w14:solidFill>
              <w14:schemeClr w14:val="tx1"/>
            </w14:solidFill>
          </w14:textFill>
        </w:rPr>
        <w:t>可承诺免人工服务时间</w:t>
      </w:r>
      <w:r>
        <w:rPr>
          <w:rFonts w:eastAsia="Noto Sans SC"/>
          <w:color w:val="000000" w:themeColor="text1"/>
          <w:szCs w:val="21"/>
          <w14:textFill>
            <w14:solidFill>
              <w14:schemeClr w14:val="tx1"/>
            </w14:solidFill>
          </w14:textFill>
        </w:rPr>
        <w:t>，</w:t>
      </w:r>
      <w:r>
        <w:rPr>
          <w:szCs w:val="21"/>
        </w:rPr>
        <w:t>投标人在投标文件中需注明维修服务单项报价。</w:t>
      </w:r>
    </w:p>
    <w:p w14:paraId="446C43F0">
      <w:pPr>
        <w:tabs>
          <w:tab w:val="left" w:pos="420"/>
          <w:tab w:val="left" w:pos="900"/>
        </w:tabs>
        <w:adjustRightInd w:val="0"/>
        <w:snapToGrid w:val="0"/>
        <w:spacing w:line="360" w:lineRule="auto"/>
        <w:ind w:firstLine="420" w:firstLineChars="200"/>
        <w:rPr>
          <w:szCs w:val="21"/>
        </w:rPr>
      </w:pPr>
      <w:r>
        <w:rPr>
          <w:szCs w:val="21"/>
        </w:rPr>
        <w:t>（三）服务响应时间：</w:t>
      </w:r>
      <w:r>
        <w:t>具有本地化技术服务能力，西安本地服务工程师不定期回访；</w:t>
      </w:r>
      <w:r>
        <w:rPr>
          <w:szCs w:val="21"/>
        </w:rPr>
        <w:t>接到维修电话后4小时内给予明确答复，8小时内到达现场维修。维修人员到现场后若问题特殊无法现场修复的，中标人需在24小时内给出合理解决方案。</w:t>
      </w:r>
    </w:p>
    <w:p w14:paraId="323080F7">
      <w:pPr>
        <w:tabs>
          <w:tab w:val="left" w:pos="420"/>
          <w:tab w:val="left" w:pos="900"/>
        </w:tabs>
        <w:adjustRightInd w:val="0"/>
        <w:snapToGrid w:val="0"/>
        <w:spacing w:line="360" w:lineRule="auto"/>
        <w:ind w:firstLine="420" w:firstLineChars="200"/>
        <w:rPr>
          <w:szCs w:val="21"/>
        </w:rPr>
      </w:pPr>
      <w:r>
        <w:rPr>
          <w:szCs w:val="21"/>
        </w:rPr>
        <w:t>（四）培训要求：中标人需提供培训电子资料及视频；免费为用户培训至少</w:t>
      </w:r>
      <w:r>
        <w:rPr>
          <w:szCs w:val="21"/>
          <w:u w:val="single"/>
        </w:rPr>
        <w:t xml:space="preserve">   5   </w:t>
      </w:r>
      <w:r>
        <w:rPr>
          <w:szCs w:val="21"/>
        </w:rPr>
        <w:t>名操作人员进行为期至少</w:t>
      </w:r>
      <w:r>
        <w:rPr>
          <w:szCs w:val="21"/>
          <w:u w:val="single"/>
        </w:rPr>
        <w:t xml:space="preserve">   5   </w:t>
      </w:r>
      <w:r>
        <w:rPr>
          <w:szCs w:val="21"/>
        </w:rPr>
        <w:t>天的现场操作培训以及应用培训，保证用户掌握有关设备的使用、维护、管理和应用等工作要求；同时提供不定期的免费提供相关设备应用方面的技术咨询等。同时，质保期内每年至少提供1次上门高级培训和2名操作人员高级外出培训名额。</w:t>
      </w:r>
    </w:p>
    <w:p w14:paraId="087735E4">
      <w:pPr>
        <w:tabs>
          <w:tab w:val="left" w:pos="420"/>
          <w:tab w:val="left" w:pos="900"/>
        </w:tabs>
        <w:adjustRightInd w:val="0"/>
        <w:snapToGrid w:val="0"/>
        <w:spacing w:line="360" w:lineRule="auto"/>
        <w:ind w:firstLine="420" w:firstLineChars="200"/>
        <w:rPr>
          <w:szCs w:val="21"/>
        </w:rPr>
      </w:pPr>
      <w:r>
        <w:rPr>
          <w:szCs w:val="21"/>
        </w:rPr>
        <w:t>（五）供应商提供进口设备的，须在投标（响应）文件中明确外贸合同卖方信息。</w:t>
      </w:r>
    </w:p>
    <w:p w14:paraId="250BAB25">
      <w:pPr>
        <w:tabs>
          <w:tab w:val="left" w:pos="420"/>
          <w:tab w:val="left" w:pos="900"/>
        </w:tabs>
        <w:adjustRightInd w:val="0"/>
        <w:snapToGrid w:val="0"/>
        <w:spacing w:line="360" w:lineRule="auto"/>
        <w:ind w:firstLine="422" w:firstLineChars="200"/>
        <w:rPr>
          <w:b/>
          <w:szCs w:val="21"/>
        </w:rPr>
      </w:pPr>
      <w:r>
        <w:rPr>
          <w:b/>
          <w:szCs w:val="21"/>
        </w:rPr>
        <w:t>六、采购标的履约验收标准</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8"/>
        <w:gridCol w:w="5208"/>
        <w:gridCol w:w="3096"/>
      </w:tblGrid>
      <w:tr w14:paraId="3455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635F2CE6">
            <w:pPr>
              <w:widowControl/>
              <w:adjustRightInd w:val="0"/>
              <w:snapToGrid w:val="0"/>
              <w:jc w:val="center"/>
              <w:textAlignment w:val="baseline"/>
              <w:rPr>
                <w:b/>
                <w:color w:val="000000"/>
                <w:kern w:val="0"/>
                <w:szCs w:val="21"/>
              </w:rPr>
            </w:pPr>
            <w:bookmarkStart w:id="5" w:name="OLE_LINK3"/>
            <w:r>
              <w:rPr>
                <w:color w:val="000000"/>
                <w:kern w:val="0"/>
                <w:sz w:val="20"/>
                <w:szCs w:val="21"/>
              </w:rPr>
              <w:t>现场的检验指标及方法</w:t>
            </w:r>
          </w:p>
        </w:tc>
      </w:tr>
      <w:tr w14:paraId="5BBA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AF7649B">
            <w:pPr>
              <w:jc w:val="center"/>
              <w:textAlignment w:val="baseline"/>
              <w:rPr>
                <w:b/>
                <w:color w:val="000000"/>
                <w:kern w:val="0"/>
                <w:szCs w:val="21"/>
              </w:rPr>
            </w:pPr>
            <w:r>
              <w:rPr>
                <w:color w:val="000000"/>
                <w:kern w:val="0"/>
                <w:sz w:val="20"/>
                <w:szCs w:val="21"/>
              </w:rPr>
              <w:t>序号</w:t>
            </w:r>
          </w:p>
        </w:tc>
        <w:tc>
          <w:tcPr>
            <w:tcW w:w="5208" w:type="dxa"/>
            <w:vAlign w:val="center"/>
          </w:tcPr>
          <w:p w14:paraId="2149998B">
            <w:pPr>
              <w:jc w:val="center"/>
              <w:textAlignment w:val="baseline"/>
              <w:rPr>
                <w:b/>
                <w:color w:val="000000"/>
                <w:kern w:val="0"/>
                <w:szCs w:val="21"/>
              </w:rPr>
            </w:pPr>
            <w:r>
              <w:rPr>
                <w:color w:val="000000"/>
                <w:kern w:val="0"/>
                <w:sz w:val="20"/>
                <w:szCs w:val="21"/>
              </w:rPr>
              <w:t>功能或指标</w:t>
            </w:r>
          </w:p>
        </w:tc>
        <w:tc>
          <w:tcPr>
            <w:tcW w:w="3096" w:type="dxa"/>
            <w:vAlign w:val="center"/>
          </w:tcPr>
          <w:p w14:paraId="797CD7CC">
            <w:pPr>
              <w:jc w:val="center"/>
              <w:textAlignment w:val="baseline"/>
              <w:rPr>
                <w:b/>
                <w:color w:val="000000"/>
                <w:kern w:val="0"/>
                <w:szCs w:val="21"/>
              </w:rPr>
            </w:pPr>
            <w:r>
              <w:rPr>
                <w:color w:val="000000"/>
                <w:kern w:val="0"/>
                <w:sz w:val="20"/>
                <w:szCs w:val="21"/>
              </w:rPr>
              <w:t>验收或测试方法</w:t>
            </w:r>
          </w:p>
        </w:tc>
      </w:tr>
      <w:tr w14:paraId="1567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018744E">
            <w:pPr>
              <w:widowControl/>
              <w:adjustRightInd w:val="0"/>
              <w:snapToGrid w:val="0"/>
              <w:spacing w:line="360" w:lineRule="auto"/>
              <w:jc w:val="center"/>
              <w:textAlignment w:val="baseline"/>
              <w:rPr>
                <w:bCs/>
                <w:color w:val="000000"/>
                <w:kern w:val="0"/>
                <w:szCs w:val="21"/>
              </w:rPr>
            </w:pPr>
            <w:bookmarkStart w:id="8" w:name="_GoBack" w:colFirst="0" w:colLast="2"/>
            <w:r>
              <w:rPr>
                <w:rFonts w:hint="eastAsia"/>
                <w:bCs/>
                <w:color w:val="000000"/>
                <w:kern w:val="0"/>
                <w:szCs w:val="21"/>
              </w:rPr>
              <w:t>1</w:t>
            </w:r>
          </w:p>
        </w:tc>
        <w:tc>
          <w:tcPr>
            <w:tcW w:w="5208" w:type="dxa"/>
            <w:vAlign w:val="center"/>
          </w:tcPr>
          <w:p w14:paraId="5521A1C2">
            <w:pPr>
              <w:widowControl/>
              <w:adjustRightInd w:val="0"/>
              <w:snapToGrid w:val="0"/>
              <w:spacing w:line="360" w:lineRule="auto"/>
              <w:textAlignment w:val="baseline"/>
              <w:rPr>
                <w:b/>
                <w:color w:val="000000"/>
                <w:kern w:val="0"/>
                <w:sz w:val="20"/>
                <w:szCs w:val="20"/>
              </w:rPr>
            </w:pPr>
            <w:r>
              <w:rPr>
                <w:szCs w:val="21"/>
              </w:rPr>
              <w:t>探测器分辨率</w:t>
            </w:r>
            <w:r>
              <w:rPr>
                <w:rFonts w:hint="eastAsia"/>
                <w:szCs w:val="21"/>
              </w:rPr>
              <w:t>≥720*540像素</w:t>
            </w:r>
          </w:p>
        </w:tc>
        <w:tc>
          <w:tcPr>
            <w:tcW w:w="3096" w:type="dxa"/>
            <w:vAlign w:val="center"/>
          </w:tcPr>
          <w:p w14:paraId="362FCA70">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4736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4AD582F">
            <w:pPr>
              <w:widowControl/>
              <w:adjustRightInd w:val="0"/>
              <w:snapToGrid w:val="0"/>
              <w:spacing w:line="360" w:lineRule="auto"/>
              <w:jc w:val="center"/>
              <w:textAlignment w:val="baseline"/>
              <w:rPr>
                <w:bCs/>
                <w:color w:val="000000"/>
                <w:kern w:val="0"/>
                <w:szCs w:val="21"/>
              </w:rPr>
            </w:pPr>
            <w:r>
              <w:rPr>
                <w:rFonts w:hint="eastAsia"/>
                <w:bCs/>
                <w:color w:val="000000"/>
                <w:kern w:val="0"/>
                <w:szCs w:val="21"/>
              </w:rPr>
              <w:t>2</w:t>
            </w:r>
          </w:p>
        </w:tc>
        <w:tc>
          <w:tcPr>
            <w:tcW w:w="5208" w:type="dxa"/>
            <w:vAlign w:val="center"/>
          </w:tcPr>
          <w:p w14:paraId="1F365678">
            <w:pPr>
              <w:widowControl/>
              <w:adjustRightInd w:val="0"/>
              <w:snapToGrid w:val="0"/>
              <w:spacing w:line="360" w:lineRule="auto"/>
              <w:textAlignment w:val="baseline"/>
              <w:rPr>
                <w:b/>
                <w:color w:val="000000"/>
                <w:kern w:val="0"/>
                <w:sz w:val="20"/>
                <w:szCs w:val="20"/>
              </w:rPr>
            </w:pPr>
            <w:r>
              <w:rPr>
                <w:rFonts w:hint="eastAsia"/>
                <w:szCs w:val="21"/>
                <w:lang w:val="en-US" w:eastAsia="zh-CN"/>
              </w:rPr>
              <w:t>在</w:t>
            </w:r>
            <w:r>
              <w:rPr>
                <w:szCs w:val="21"/>
              </w:rPr>
              <w:t>花样分辨率</w:t>
            </w:r>
            <w:r>
              <w:rPr>
                <w:rFonts w:hint="eastAsia"/>
                <w:szCs w:val="21"/>
              </w:rPr>
              <w:t>≥180*135像素</w:t>
            </w:r>
            <w:r>
              <w:rPr>
                <w:rFonts w:hint="eastAsia"/>
                <w:szCs w:val="21"/>
                <w:lang w:val="en-US" w:eastAsia="zh-CN"/>
              </w:rPr>
              <w:t>的条件下</w:t>
            </w:r>
            <w:r>
              <w:rPr>
                <w:rFonts w:hint="eastAsia"/>
                <w:szCs w:val="21"/>
              </w:rPr>
              <w:t>，</w:t>
            </w:r>
            <w:r>
              <w:rPr>
                <w:szCs w:val="21"/>
              </w:rPr>
              <w:t>EBSD在线解析最高标定速度</w:t>
            </w:r>
            <w:r>
              <w:rPr>
                <w:rFonts w:hint="eastAsia"/>
                <w:szCs w:val="21"/>
              </w:rPr>
              <w:t>≥520</w:t>
            </w:r>
            <w:r>
              <w:rPr>
                <w:rFonts w:hint="eastAsia"/>
                <w:szCs w:val="21"/>
                <w:lang w:val="en-US" w:eastAsia="zh-CN"/>
              </w:rPr>
              <w:t>点/秒</w:t>
            </w:r>
          </w:p>
        </w:tc>
        <w:tc>
          <w:tcPr>
            <w:tcW w:w="3096" w:type="dxa"/>
            <w:vAlign w:val="center"/>
          </w:tcPr>
          <w:p w14:paraId="0806BE82">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5DD8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18D2DC09">
            <w:pPr>
              <w:widowControl/>
              <w:adjustRightInd w:val="0"/>
              <w:snapToGrid w:val="0"/>
              <w:spacing w:line="360" w:lineRule="auto"/>
              <w:jc w:val="center"/>
              <w:textAlignment w:val="baseline"/>
              <w:rPr>
                <w:bCs/>
                <w:color w:val="000000"/>
                <w:kern w:val="0"/>
                <w:szCs w:val="21"/>
              </w:rPr>
            </w:pPr>
            <w:r>
              <w:rPr>
                <w:rFonts w:hint="eastAsia"/>
                <w:bCs/>
                <w:color w:val="000000"/>
                <w:kern w:val="0"/>
                <w:szCs w:val="21"/>
              </w:rPr>
              <w:t>3</w:t>
            </w:r>
          </w:p>
        </w:tc>
        <w:tc>
          <w:tcPr>
            <w:tcW w:w="5208" w:type="dxa"/>
            <w:vAlign w:val="center"/>
          </w:tcPr>
          <w:p w14:paraId="7E7C8E60">
            <w:pPr>
              <w:widowControl w:val="0"/>
              <w:numPr>
                <w:ilvl w:val="255"/>
                <w:numId w:val="0"/>
              </w:numPr>
              <w:tabs>
                <w:tab w:val="left" w:pos="900"/>
              </w:tabs>
              <w:adjustRightInd/>
              <w:snapToGrid/>
              <w:spacing w:line="360" w:lineRule="auto"/>
              <w:textAlignment w:val="auto"/>
              <w:rPr>
                <w:rFonts w:hint="eastAsia"/>
                <w:b/>
                <w:color w:val="000000"/>
                <w:kern w:val="0"/>
                <w:sz w:val="20"/>
                <w:szCs w:val="20"/>
              </w:rPr>
            </w:pPr>
            <w:r>
              <w:rPr>
                <w:rFonts w:hint="eastAsia"/>
                <w:szCs w:val="21"/>
                <w:highlight w:val="none"/>
                <w:lang w:val="en-US" w:eastAsia="zh-CN"/>
              </w:rPr>
              <w:t>具备</w:t>
            </w:r>
            <w:r>
              <w:rPr>
                <w:szCs w:val="21"/>
                <w:highlight w:val="none"/>
              </w:rPr>
              <w:t>专用的高精度标定模式</w:t>
            </w:r>
            <w:r>
              <w:rPr>
                <w:rFonts w:hint="eastAsia"/>
                <w:szCs w:val="21"/>
                <w:highlight w:val="none"/>
                <w:lang w:eastAsia="zh-CN"/>
              </w:rPr>
              <w:t>，</w:t>
            </w:r>
            <w:r>
              <w:rPr>
                <w:rFonts w:ascii="Segoe UI" w:hAnsi="Segoe UI" w:eastAsia="Segoe UI" w:cs="Segoe UI"/>
                <w:i w:val="0"/>
                <w:iCs w:val="0"/>
                <w:caps w:val="0"/>
                <w:color w:val="0F1115"/>
                <w:spacing w:val="0"/>
                <w:sz w:val="19"/>
                <w:szCs w:val="19"/>
                <w:highlight w:val="none"/>
                <w:shd w:val="clear" w:fill="FFFFFF"/>
              </w:rPr>
              <w:t>该模式下</w:t>
            </w:r>
            <w:r>
              <w:rPr>
                <w:szCs w:val="21"/>
                <w:highlight w:val="none"/>
              </w:rPr>
              <w:t>取向精度≤</w:t>
            </w:r>
            <w:r>
              <w:rPr>
                <w:rFonts w:hint="eastAsia"/>
                <w:szCs w:val="21"/>
                <w:highlight w:val="none"/>
              </w:rPr>
              <w:t>0.1</w:t>
            </w:r>
            <w:r>
              <w:rPr>
                <w:szCs w:val="21"/>
                <w:highlight w:val="none"/>
              </w:rPr>
              <w:t>度</w:t>
            </w:r>
          </w:p>
        </w:tc>
        <w:tc>
          <w:tcPr>
            <w:tcW w:w="3096" w:type="dxa"/>
            <w:vAlign w:val="center"/>
          </w:tcPr>
          <w:p w14:paraId="7EFD77BC">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600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CFF485B">
            <w:pPr>
              <w:widowControl/>
              <w:adjustRightInd w:val="0"/>
              <w:snapToGrid w:val="0"/>
              <w:spacing w:line="360" w:lineRule="auto"/>
              <w:jc w:val="center"/>
              <w:textAlignment w:val="baseline"/>
              <w:rPr>
                <w:bCs/>
                <w:color w:val="000000"/>
                <w:kern w:val="0"/>
                <w:szCs w:val="21"/>
              </w:rPr>
            </w:pPr>
            <w:r>
              <w:rPr>
                <w:rFonts w:hint="eastAsia"/>
                <w:bCs/>
                <w:color w:val="000000"/>
                <w:kern w:val="0"/>
                <w:szCs w:val="21"/>
              </w:rPr>
              <w:t>4</w:t>
            </w:r>
          </w:p>
        </w:tc>
        <w:tc>
          <w:tcPr>
            <w:tcW w:w="5208" w:type="dxa"/>
            <w:vAlign w:val="center"/>
          </w:tcPr>
          <w:p w14:paraId="4AE241D2">
            <w:pPr>
              <w:widowControl/>
              <w:adjustRightInd w:val="0"/>
              <w:snapToGrid w:val="0"/>
              <w:spacing w:line="360" w:lineRule="auto"/>
              <w:textAlignment w:val="baseline"/>
              <w:rPr>
                <w:b/>
                <w:color w:val="000000"/>
                <w:kern w:val="0"/>
                <w:sz w:val="20"/>
                <w:szCs w:val="20"/>
              </w:rPr>
            </w:pPr>
            <w:r>
              <w:rPr>
                <w:rFonts w:hint="eastAsia" w:ascii="Times New Roman" w:hAnsi="Times New Roman" w:eastAsia="宋体"/>
                <w:sz w:val="21"/>
                <w:szCs w:val="21"/>
              </w:rPr>
              <w:t>最低测试电压可达5 kV</w:t>
            </w:r>
            <w:r>
              <w:rPr>
                <w:rFonts w:hint="eastAsia" w:ascii="Times New Roman" w:hAnsi="Times New Roman" w:eastAsia="宋体"/>
                <w:sz w:val="21"/>
                <w:szCs w:val="21"/>
                <w:lang w:eastAsia="zh-CN"/>
              </w:rPr>
              <w:t>，</w:t>
            </w:r>
            <w:r>
              <w:rPr>
                <w:rFonts w:hint="eastAsia" w:ascii="Times New Roman" w:hAnsi="Times New Roman" w:eastAsia="宋体"/>
                <w:sz w:val="21"/>
                <w:szCs w:val="21"/>
                <w:lang w:val="en-US" w:eastAsia="zh-CN"/>
              </w:rPr>
              <w:t>测试时间≤10 min</w:t>
            </w:r>
          </w:p>
        </w:tc>
        <w:tc>
          <w:tcPr>
            <w:tcW w:w="3096" w:type="dxa"/>
            <w:vAlign w:val="center"/>
          </w:tcPr>
          <w:p w14:paraId="61600F10">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6F41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0D80F63F">
            <w:pPr>
              <w:widowControl/>
              <w:adjustRightInd w:val="0"/>
              <w:snapToGrid w:val="0"/>
              <w:spacing w:line="360" w:lineRule="auto"/>
              <w:jc w:val="center"/>
              <w:textAlignment w:val="baseline"/>
              <w:rPr>
                <w:bCs/>
                <w:color w:val="000000"/>
                <w:kern w:val="0"/>
                <w:szCs w:val="21"/>
              </w:rPr>
            </w:pPr>
            <w:r>
              <w:rPr>
                <w:rFonts w:hint="eastAsia"/>
                <w:bCs/>
                <w:color w:val="000000"/>
                <w:kern w:val="0"/>
                <w:szCs w:val="21"/>
              </w:rPr>
              <w:t>5</w:t>
            </w:r>
          </w:p>
        </w:tc>
        <w:tc>
          <w:tcPr>
            <w:tcW w:w="5208" w:type="dxa"/>
            <w:vAlign w:val="center"/>
          </w:tcPr>
          <w:p w14:paraId="1E83CE9B">
            <w:pPr>
              <w:widowControl/>
              <w:tabs>
                <w:tab w:val="left" w:pos="900"/>
              </w:tabs>
              <w:spacing w:line="360" w:lineRule="auto"/>
              <w:rPr>
                <w:b/>
                <w:color w:val="000000"/>
                <w:kern w:val="0"/>
                <w:sz w:val="20"/>
                <w:szCs w:val="20"/>
              </w:rPr>
            </w:pPr>
            <w:r>
              <w:rPr>
                <w:rFonts w:hint="default" w:ascii="Segoe UI" w:hAnsi="Segoe UI" w:eastAsia="Segoe UI" w:cs="Segoe UI"/>
                <w:i w:val="0"/>
                <w:iCs w:val="0"/>
                <w:caps w:val="0"/>
                <w:color w:val="222222"/>
                <w:spacing w:val="0"/>
                <w:sz w:val="21"/>
                <w:szCs w:val="21"/>
                <w:shd w:val="clear" w:fill="FFFFFF"/>
              </w:rPr>
              <w:t>可以在不降低采集速度的前提下，</w:t>
            </w:r>
            <w:r>
              <w:rPr>
                <w:rFonts w:ascii="Times New Roman" w:hAnsi="Times New Roman" w:eastAsia="宋体"/>
                <w:sz w:val="21"/>
                <w:szCs w:val="21"/>
              </w:rPr>
              <w:t>能够</w:t>
            </w:r>
            <w:r>
              <w:rPr>
                <w:rFonts w:hint="eastAsia" w:ascii="Times New Roman" w:hAnsi="Times New Roman" w:eastAsia="宋体"/>
                <w:sz w:val="21"/>
                <w:szCs w:val="21"/>
              </w:rPr>
              <w:t>实现</w:t>
            </w:r>
            <w:r>
              <w:rPr>
                <w:rFonts w:ascii="Times New Roman" w:hAnsi="Times New Roman" w:eastAsia="宋体"/>
                <w:sz w:val="21"/>
                <w:szCs w:val="21"/>
              </w:rPr>
              <w:t>与</w:t>
            </w:r>
            <w:r>
              <w:rPr>
                <w:rFonts w:hint="eastAsia" w:ascii="Times New Roman" w:hAnsi="Times New Roman" w:eastAsia="宋体"/>
                <w:sz w:val="21"/>
                <w:szCs w:val="21"/>
              </w:rPr>
              <w:t>已有</w:t>
            </w:r>
            <w:r>
              <w:rPr>
                <w:rFonts w:ascii="Times New Roman" w:hAnsi="Times New Roman" w:eastAsia="宋体"/>
                <w:sz w:val="21"/>
                <w:szCs w:val="21"/>
              </w:rPr>
              <w:t>能谱仪</w:t>
            </w:r>
            <w:r>
              <w:rPr>
                <w:rFonts w:hint="eastAsia" w:ascii="Times New Roman" w:hAnsi="Times New Roman" w:eastAsia="宋体"/>
                <w:sz w:val="21"/>
                <w:szCs w:val="21"/>
              </w:rPr>
              <w:t>操作</w:t>
            </w:r>
            <w:r>
              <w:rPr>
                <w:rFonts w:ascii="Times New Roman" w:hAnsi="Times New Roman" w:eastAsia="宋体"/>
                <w:sz w:val="21"/>
                <w:szCs w:val="21"/>
              </w:rPr>
              <w:t>一体化</w:t>
            </w:r>
            <w:r>
              <w:rPr>
                <w:rFonts w:hint="eastAsia"/>
                <w:sz w:val="21"/>
                <w:szCs w:val="21"/>
                <w:lang w:eastAsia="zh-CN"/>
              </w:rPr>
              <w:t>，</w:t>
            </w:r>
            <w:r>
              <w:rPr>
                <w:rFonts w:hint="eastAsia"/>
                <w:sz w:val="21"/>
                <w:szCs w:val="21"/>
                <w:lang w:val="en-US" w:eastAsia="zh-CN"/>
              </w:rPr>
              <w:t>可</w:t>
            </w:r>
            <w:r>
              <w:rPr>
                <w:rFonts w:hint="default" w:ascii="Segoe UI" w:hAnsi="Segoe UI" w:eastAsia="Segoe UI" w:cs="Segoe UI"/>
                <w:i w:val="0"/>
                <w:iCs w:val="0"/>
                <w:caps w:val="0"/>
                <w:color w:val="222222"/>
                <w:spacing w:val="0"/>
                <w:sz w:val="21"/>
                <w:szCs w:val="21"/>
                <w:shd w:val="clear" w:fill="FFFFFF"/>
              </w:rPr>
              <w:t>同步获取样品的晶体结构和化学成分信息</w:t>
            </w:r>
          </w:p>
        </w:tc>
        <w:tc>
          <w:tcPr>
            <w:tcW w:w="3096" w:type="dxa"/>
            <w:vAlign w:val="center"/>
          </w:tcPr>
          <w:p w14:paraId="544D3522">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68B1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3D6208EC">
            <w:pPr>
              <w:widowControl/>
              <w:adjustRightInd w:val="0"/>
              <w:snapToGrid w:val="0"/>
              <w:spacing w:line="360" w:lineRule="auto"/>
              <w:jc w:val="center"/>
              <w:textAlignment w:val="baseline"/>
              <w:rPr>
                <w:bCs/>
                <w:color w:val="000000"/>
                <w:kern w:val="0"/>
                <w:szCs w:val="21"/>
              </w:rPr>
            </w:pPr>
            <w:r>
              <w:rPr>
                <w:rFonts w:hint="eastAsia"/>
                <w:bCs/>
                <w:color w:val="000000"/>
                <w:kern w:val="0"/>
                <w:szCs w:val="21"/>
              </w:rPr>
              <w:t>6</w:t>
            </w:r>
          </w:p>
        </w:tc>
        <w:tc>
          <w:tcPr>
            <w:tcW w:w="5208" w:type="dxa"/>
            <w:vAlign w:val="center"/>
          </w:tcPr>
          <w:p w14:paraId="6221B363">
            <w:pPr>
              <w:pStyle w:val="31"/>
              <w:spacing w:line="360" w:lineRule="auto"/>
              <w:ind w:left="0" w:leftChars="0" w:firstLine="0" w:firstLineChars="0"/>
              <w:jc w:val="both"/>
              <w:rPr>
                <w:rFonts w:hint="eastAsia"/>
                <w:sz w:val="20"/>
              </w:rPr>
            </w:pPr>
            <w:r>
              <w:rPr>
                <w:rFonts w:hint="default" w:ascii="Times New Roman" w:hAnsi="Times New Roman" w:eastAsia="宋体" w:cs="Times New Roman"/>
                <w:sz w:val="21"/>
                <w:szCs w:val="21"/>
              </w:rPr>
              <w:t>可根据能谱数据对EBSD花样进行预过滤，实现对未知相的相鉴定</w:t>
            </w:r>
            <w:r>
              <w:rPr>
                <w:rFonts w:hint="default"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并</w:t>
            </w:r>
            <w:r>
              <w:rPr>
                <w:rFonts w:hint="default" w:ascii="Times New Roman" w:hAnsi="Times New Roman" w:eastAsia="宋体" w:cs="Times New Roman"/>
                <w:sz w:val="21"/>
                <w:szCs w:val="21"/>
              </w:rPr>
              <w:t>可识别菊池带宽度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在能谱仪的辅助下区分晶体结构相似的相</w:t>
            </w:r>
            <w:r>
              <w:rPr>
                <w:rFonts w:ascii="Times New Roman" w:hAnsi="Times New Roman" w:eastAsia="宋体"/>
                <w:sz w:val="21"/>
                <w:szCs w:val="21"/>
              </w:rPr>
              <w:t>；</w:t>
            </w:r>
          </w:p>
        </w:tc>
        <w:tc>
          <w:tcPr>
            <w:tcW w:w="3096" w:type="dxa"/>
            <w:vAlign w:val="center"/>
          </w:tcPr>
          <w:p w14:paraId="0A006554">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04E8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9BA9950">
            <w:pPr>
              <w:widowControl/>
              <w:adjustRightInd w:val="0"/>
              <w:snapToGrid w:val="0"/>
              <w:spacing w:line="360" w:lineRule="auto"/>
              <w:jc w:val="center"/>
              <w:textAlignment w:val="baseline"/>
              <w:rPr>
                <w:rFonts w:hint="eastAsia" w:eastAsia="宋体"/>
                <w:bCs/>
                <w:color w:val="000000"/>
                <w:kern w:val="0"/>
                <w:szCs w:val="21"/>
                <w:lang w:val="en-US" w:eastAsia="zh-CN"/>
              </w:rPr>
            </w:pPr>
            <w:r>
              <w:rPr>
                <w:rFonts w:hint="eastAsia"/>
                <w:bCs/>
                <w:color w:val="000000"/>
                <w:kern w:val="0"/>
                <w:szCs w:val="21"/>
                <w:lang w:val="en-US" w:eastAsia="zh-CN"/>
              </w:rPr>
              <w:t>7</w:t>
            </w:r>
          </w:p>
        </w:tc>
        <w:tc>
          <w:tcPr>
            <w:tcW w:w="5208" w:type="dxa"/>
            <w:vAlign w:val="center"/>
          </w:tcPr>
          <w:p w14:paraId="0F44A573">
            <w:pPr>
              <w:spacing w:line="360" w:lineRule="auto"/>
              <w:rPr>
                <w:rFonts w:hint="default" w:ascii="Frutiger Roman" w:hAnsi="Frutiger Roman" w:eastAsia="楷体" w:cs="Times New Roman"/>
                <w:sz w:val="20"/>
                <w:szCs w:val="20"/>
              </w:rPr>
            </w:pPr>
            <w:r>
              <w:rPr>
                <w:rFonts w:hint="default"/>
                <w:szCs w:val="20"/>
              </w:rPr>
              <w:t>具备大面积拼接功能</w:t>
            </w:r>
            <w:r>
              <w:rPr>
                <w:rFonts w:hint="default"/>
                <w:szCs w:val="20"/>
                <w:lang w:val="en-US" w:eastAsia="zh-CN"/>
              </w:rPr>
              <w:t>，</w:t>
            </w:r>
            <w:r>
              <w:rPr>
                <w:szCs w:val="20"/>
              </w:rPr>
              <w:t>自动对指定区域进行大面积采集和拼接。</w:t>
            </w:r>
          </w:p>
        </w:tc>
        <w:tc>
          <w:tcPr>
            <w:tcW w:w="3096" w:type="dxa"/>
            <w:vAlign w:val="center"/>
          </w:tcPr>
          <w:p w14:paraId="1EDB2A64">
            <w:pPr>
              <w:widowControl/>
              <w:adjustRightInd w:val="0"/>
              <w:snapToGrid w:val="0"/>
              <w:spacing w:line="360" w:lineRule="auto"/>
              <w:jc w:val="center"/>
              <w:textAlignment w:val="baseline"/>
              <w:rPr>
                <w:rFonts w:hint="eastAsia"/>
                <w:color w:val="000000"/>
                <w:kern w:val="0"/>
                <w:szCs w:val="21"/>
              </w:rPr>
            </w:pPr>
          </w:p>
        </w:tc>
      </w:tr>
      <w:tr w14:paraId="2931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631ABB07">
            <w:pPr>
              <w:widowControl/>
              <w:adjustRightInd w:val="0"/>
              <w:snapToGrid w:val="0"/>
              <w:spacing w:line="360" w:lineRule="auto"/>
              <w:jc w:val="center"/>
              <w:textAlignment w:val="baseline"/>
              <w:rPr>
                <w:rFonts w:hint="eastAsia" w:eastAsia="宋体"/>
                <w:bCs/>
                <w:color w:val="000000"/>
                <w:kern w:val="0"/>
                <w:szCs w:val="21"/>
                <w:lang w:eastAsia="zh-CN"/>
              </w:rPr>
            </w:pPr>
            <w:r>
              <w:rPr>
                <w:rFonts w:hint="eastAsia"/>
                <w:bCs/>
                <w:color w:val="000000"/>
                <w:kern w:val="0"/>
                <w:szCs w:val="21"/>
                <w:lang w:val="en-US" w:eastAsia="zh-CN"/>
              </w:rPr>
              <w:t>8</w:t>
            </w:r>
          </w:p>
        </w:tc>
        <w:tc>
          <w:tcPr>
            <w:tcW w:w="5208" w:type="dxa"/>
            <w:vAlign w:val="center"/>
          </w:tcPr>
          <w:p w14:paraId="795A2F23">
            <w:pPr>
              <w:widowControl/>
              <w:snapToGrid w:val="0"/>
              <w:spacing w:line="360" w:lineRule="auto"/>
              <w:ind w:firstLine="0" w:firstLineChars="0"/>
              <w:rPr>
                <w:b/>
                <w:color w:val="000000"/>
                <w:kern w:val="0"/>
                <w:sz w:val="20"/>
                <w:szCs w:val="20"/>
              </w:rPr>
            </w:pPr>
            <w:r>
              <w:rPr>
                <w:szCs w:val="21"/>
              </w:rPr>
              <w:t>配置</w:t>
            </w:r>
            <w:r>
              <w:rPr>
                <w:rFonts w:hint="eastAsia"/>
                <w:szCs w:val="21"/>
                <w:lang w:val="en-US" w:eastAsia="zh-CN"/>
              </w:rPr>
              <w:t>完整的</w:t>
            </w:r>
            <w:r>
              <w:rPr>
                <w:rFonts w:hint="eastAsia"/>
                <w:szCs w:val="21"/>
              </w:rPr>
              <w:t>专业</w:t>
            </w:r>
            <w:r>
              <w:rPr>
                <w:szCs w:val="21"/>
              </w:rPr>
              <w:t>晶体学数据</w:t>
            </w:r>
            <w:r>
              <w:rPr>
                <w:rFonts w:hint="eastAsia"/>
                <w:szCs w:val="21"/>
              </w:rPr>
              <w:t>全</w:t>
            </w:r>
            <w:r>
              <w:rPr>
                <w:szCs w:val="21"/>
              </w:rPr>
              <w:t>库</w:t>
            </w:r>
            <w:r>
              <w:rPr>
                <w:rFonts w:hint="eastAsia"/>
                <w:szCs w:val="21"/>
              </w:rPr>
              <w:t>，</w:t>
            </w:r>
            <w:r>
              <w:rPr>
                <w:rFonts w:hint="eastAsia"/>
                <w:szCs w:val="21"/>
                <w:lang w:val="en-US" w:eastAsia="zh-CN"/>
              </w:rPr>
              <w:t>并</w:t>
            </w:r>
            <w:r>
              <w:rPr>
                <w:szCs w:val="21"/>
              </w:rPr>
              <w:t>支持直接导入CIF</w:t>
            </w:r>
            <w:r>
              <w:rPr>
                <w:rFonts w:hint="eastAsia"/>
                <w:szCs w:val="21"/>
                <w:lang w:val="en-US" w:eastAsia="zh-CN"/>
              </w:rPr>
              <w:t>格式的物相文件</w:t>
            </w:r>
            <w:r>
              <w:rPr>
                <w:sz w:val="20"/>
                <w:szCs w:val="20"/>
              </w:rPr>
              <w:t>。</w:t>
            </w:r>
          </w:p>
        </w:tc>
        <w:tc>
          <w:tcPr>
            <w:tcW w:w="3096" w:type="dxa"/>
            <w:vAlign w:val="center"/>
          </w:tcPr>
          <w:p w14:paraId="5E721DE7">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tr w14:paraId="549B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gridSpan w:val="2"/>
            <w:vAlign w:val="center"/>
          </w:tcPr>
          <w:p w14:paraId="4E3F7063">
            <w:pPr>
              <w:widowControl/>
              <w:adjustRightInd w:val="0"/>
              <w:snapToGrid w:val="0"/>
              <w:spacing w:line="360" w:lineRule="auto"/>
              <w:jc w:val="center"/>
              <w:textAlignment w:val="baseline"/>
              <w:rPr>
                <w:rFonts w:hint="eastAsia" w:eastAsia="宋体"/>
                <w:bCs/>
                <w:color w:val="000000"/>
                <w:kern w:val="0"/>
                <w:szCs w:val="21"/>
                <w:lang w:eastAsia="zh-CN"/>
              </w:rPr>
            </w:pPr>
            <w:r>
              <w:rPr>
                <w:rFonts w:hint="eastAsia"/>
                <w:bCs/>
                <w:color w:val="000000"/>
                <w:kern w:val="0"/>
                <w:szCs w:val="21"/>
                <w:lang w:val="en-US" w:eastAsia="zh-CN"/>
              </w:rPr>
              <w:t>9</w:t>
            </w:r>
          </w:p>
        </w:tc>
        <w:tc>
          <w:tcPr>
            <w:tcW w:w="5208" w:type="dxa"/>
            <w:vAlign w:val="center"/>
          </w:tcPr>
          <w:p w14:paraId="39ACDB08">
            <w:pPr>
              <w:widowControl/>
              <w:numPr>
                <w:ilvl w:val="-1"/>
                <w:numId w:val="0"/>
              </w:numPr>
              <w:adjustRightInd/>
              <w:snapToGrid w:val="0"/>
              <w:spacing w:line="360" w:lineRule="auto"/>
              <w:ind w:firstLine="0" w:firstLineChars="0"/>
              <w:textAlignment w:val="auto"/>
              <w:rPr>
                <w:rFonts w:hint="eastAsia"/>
                <w:b/>
                <w:color w:val="000000"/>
                <w:kern w:val="0"/>
                <w:sz w:val="20"/>
                <w:szCs w:val="20"/>
              </w:rPr>
            </w:pPr>
            <w:r>
              <w:rPr>
                <w:color w:val="000000"/>
                <w:szCs w:val="21"/>
              </w:rPr>
              <w:t>配置专用的分析透射样品的TKD标定模式</w:t>
            </w:r>
            <w:r>
              <w:rPr>
                <w:rFonts w:hint="eastAsia"/>
                <w:color w:val="000000"/>
                <w:szCs w:val="21"/>
              </w:rPr>
              <w:t>，</w:t>
            </w:r>
            <w:r>
              <w:rPr>
                <w:szCs w:val="21"/>
              </w:rPr>
              <w:t>空间分辨率可达</w:t>
            </w:r>
            <w:r>
              <w:rPr>
                <w:rFonts w:hint="eastAsia"/>
                <w:szCs w:val="21"/>
              </w:rPr>
              <w:t>100</w:t>
            </w:r>
            <w:r>
              <w:rPr>
                <w:szCs w:val="21"/>
              </w:rPr>
              <w:t xml:space="preserve"> nm</w:t>
            </w:r>
            <w:r>
              <w:rPr>
                <w:color w:val="000000"/>
                <w:szCs w:val="21"/>
              </w:rPr>
              <w:t>。</w:t>
            </w:r>
          </w:p>
        </w:tc>
        <w:tc>
          <w:tcPr>
            <w:tcW w:w="3096" w:type="dxa"/>
            <w:vAlign w:val="center"/>
          </w:tcPr>
          <w:p w14:paraId="29563691">
            <w:pPr>
              <w:widowControl/>
              <w:adjustRightInd w:val="0"/>
              <w:snapToGrid w:val="0"/>
              <w:spacing w:line="360" w:lineRule="auto"/>
              <w:jc w:val="center"/>
              <w:textAlignment w:val="baseline"/>
              <w:rPr>
                <w:b/>
                <w:color w:val="000000"/>
                <w:kern w:val="0"/>
                <w:szCs w:val="21"/>
              </w:rPr>
            </w:pPr>
            <w:r>
              <w:rPr>
                <w:rFonts w:hint="eastAsia"/>
                <w:color w:val="000000"/>
                <w:kern w:val="0"/>
                <w:szCs w:val="21"/>
              </w:rPr>
              <w:t>现场测试</w:t>
            </w:r>
          </w:p>
        </w:tc>
      </w:tr>
      <w:bookmarkEnd w:id="8"/>
      <w:bookmarkEnd w:id="1"/>
      <w:bookmarkEnd w:id="2"/>
      <w:bookmarkEnd w:id="3"/>
      <w:tr w14:paraId="4DD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02C15476">
            <w:pPr>
              <w:widowControl/>
              <w:adjustRightInd w:val="0"/>
              <w:snapToGrid w:val="0"/>
              <w:jc w:val="left"/>
              <w:textAlignment w:val="baseline"/>
              <w:rPr>
                <w:b/>
                <w:color w:val="000000"/>
                <w:kern w:val="0"/>
                <w:szCs w:val="21"/>
              </w:rPr>
            </w:pPr>
            <w:r>
              <w:rPr>
                <w:b/>
                <w:color w:val="000000"/>
                <w:kern w:val="0"/>
                <w:szCs w:val="21"/>
              </w:rPr>
              <w:t>项目建设单位验收要求：</w:t>
            </w:r>
          </w:p>
        </w:tc>
      </w:tr>
      <w:tr w14:paraId="5919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097B8444">
            <w:pPr>
              <w:widowControl/>
              <w:adjustRightInd w:val="0"/>
              <w:snapToGrid w:val="0"/>
              <w:jc w:val="center"/>
              <w:textAlignment w:val="baseline"/>
              <w:rPr>
                <w:color w:val="000000"/>
                <w:kern w:val="0"/>
                <w:szCs w:val="21"/>
              </w:rPr>
            </w:pPr>
            <w:r>
              <w:rPr>
                <w:color w:val="000000"/>
                <w:kern w:val="0"/>
                <w:szCs w:val="21"/>
              </w:rPr>
              <w:t>1</w:t>
            </w:r>
          </w:p>
        </w:tc>
        <w:tc>
          <w:tcPr>
            <w:tcW w:w="5406" w:type="dxa"/>
            <w:gridSpan w:val="2"/>
            <w:vAlign w:val="center"/>
          </w:tcPr>
          <w:p w14:paraId="628DDD59">
            <w:pPr>
              <w:widowControl/>
              <w:adjustRightInd w:val="0"/>
              <w:snapToGrid w:val="0"/>
              <w:textAlignment w:val="baseline"/>
              <w:rPr>
                <w:color w:val="000000"/>
                <w:kern w:val="0"/>
                <w:szCs w:val="21"/>
              </w:rPr>
            </w:pPr>
            <w:r>
              <w:rPr>
                <w:color w:val="000000"/>
                <w:kern w:val="0"/>
                <w:szCs w:val="21"/>
              </w:rPr>
              <w:t>货物外包装与外观无损伤</w:t>
            </w:r>
          </w:p>
        </w:tc>
        <w:tc>
          <w:tcPr>
            <w:tcW w:w="3096" w:type="dxa"/>
            <w:vAlign w:val="center"/>
          </w:tcPr>
          <w:p w14:paraId="77718575">
            <w:pPr>
              <w:widowControl/>
              <w:adjustRightInd w:val="0"/>
              <w:snapToGrid w:val="0"/>
              <w:jc w:val="center"/>
              <w:textAlignment w:val="baseline"/>
              <w:rPr>
                <w:color w:val="000000"/>
                <w:kern w:val="0"/>
                <w:szCs w:val="21"/>
              </w:rPr>
            </w:pPr>
            <w:r>
              <w:rPr>
                <w:color w:val="000000"/>
                <w:kern w:val="0"/>
                <w:szCs w:val="21"/>
              </w:rPr>
              <w:t>现场核查</w:t>
            </w:r>
          </w:p>
        </w:tc>
      </w:tr>
      <w:tr w14:paraId="3668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4D5202A4">
            <w:pPr>
              <w:widowControl/>
              <w:adjustRightInd w:val="0"/>
              <w:snapToGrid w:val="0"/>
              <w:jc w:val="center"/>
              <w:textAlignment w:val="baseline"/>
              <w:rPr>
                <w:color w:val="000000"/>
                <w:kern w:val="0"/>
                <w:szCs w:val="21"/>
              </w:rPr>
            </w:pPr>
            <w:r>
              <w:rPr>
                <w:color w:val="000000"/>
                <w:kern w:val="0"/>
                <w:szCs w:val="21"/>
              </w:rPr>
              <w:t>2</w:t>
            </w:r>
          </w:p>
        </w:tc>
        <w:tc>
          <w:tcPr>
            <w:tcW w:w="5406" w:type="dxa"/>
            <w:gridSpan w:val="2"/>
            <w:vAlign w:val="center"/>
          </w:tcPr>
          <w:p w14:paraId="5E3C1A74">
            <w:pPr>
              <w:widowControl/>
              <w:adjustRightInd w:val="0"/>
              <w:snapToGrid w:val="0"/>
              <w:textAlignment w:val="baseline"/>
              <w:rPr>
                <w:color w:val="000000"/>
                <w:kern w:val="0"/>
                <w:szCs w:val="21"/>
              </w:rPr>
            </w:pPr>
            <w:r>
              <w:rPr>
                <w:color w:val="000000"/>
                <w:kern w:val="0"/>
                <w:szCs w:val="21"/>
              </w:rPr>
              <w:t>货物配置、包括备品备件、耗品耗材等提供齐全，货物实物品牌、规格、型号、配置数量与采购结果、合同约定相符。</w:t>
            </w:r>
          </w:p>
        </w:tc>
        <w:tc>
          <w:tcPr>
            <w:tcW w:w="3096" w:type="dxa"/>
            <w:vAlign w:val="center"/>
          </w:tcPr>
          <w:p w14:paraId="42CFBBEB">
            <w:pPr>
              <w:widowControl/>
              <w:adjustRightInd w:val="0"/>
              <w:snapToGrid w:val="0"/>
              <w:textAlignment w:val="baseline"/>
              <w:rPr>
                <w:color w:val="000000"/>
                <w:kern w:val="0"/>
                <w:szCs w:val="21"/>
              </w:rPr>
            </w:pPr>
            <w:r>
              <w:rPr>
                <w:color w:val="000000"/>
                <w:kern w:val="0"/>
                <w:szCs w:val="21"/>
              </w:rPr>
              <w:t>依据《合同》及其附件（包括但不限于《采购需求》《供应商投标（响应）文件》《投标澄清函》《技术协议》等）约定，现场核查。</w:t>
            </w:r>
          </w:p>
        </w:tc>
      </w:tr>
      <w:tr w14:paraId="5150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72C4659C">
            <w:pPr>
              <w:widowControl/>
              <w:adjustRightInd w:val="0"/>
              <w:snapToGrid w:val="0"/>
              <w:jc w:val="center"/>
              <w:textAlignment w:val="baseline"/>
              <w:rPr>
                <w:color w:val="000000"/>
                <w:kern w:val="0"/>
                <w:szCs w:val="21"/>
              </w:rPr>
            </w:pPr>
            <w:r>
              <w:rPr>
                <w:color w:val="000000"/>
                <w:kern w:val="0"/>
                <w:szCs w:val="21"/>
              </w:rPr>
              <w:t>3</w:t>
            </w:r>
          </w:p>
        </w:tc>
        <w:tc>
          <w:tcPr>
            <w:tcW w:w="5406" w:type="dxa"/>
            <w:gridSpan w:val="2"/>
            <w:vAlign w:val="center"/>
          </w:tcPr>
          <w:p w14:paraId="737AFF37">
            <w:pPr>
              <w:widowControl/>
              <w:adjustRightInd w:val="0"/>
              <w:snapToGrid w:val="0"/>
              <w:textAlignment w:val="baseline"/>
              <w:rPr>
                <w:color w:val="000000" w:themeColor="text1"/>
                <w:kern w:val="0"/>
                <w:szCs w:val="21"/>
                <w14:textFill>
                  <w14:solidFill>
                    <w14:schemeClr w14:val="tx1"/>
                  </w14:solidFill>
                </w14:textFill>
              </w:rPr>
            </w:pPr>
            <w:r>
              <w:rPr>
                <w:color w:val="000000"/>
                <w:kern w:val="0"/>
                <w:szCs w:val="21"/>
              </w:rPr>
              <w:t>所有功能和指标参数（包括边界极限值）达到采购结果合同约定要求。</w:t>
            </w:r>
          </w:p>
        </w:tc>
        <w:tc>
          <w:tcPr>
            <w:tcW w:w="3096" w:type="dxa"/>
            <w:vAlign w:val="center"/>
          </w:tcPr>
          <w:p w14:paraId="509DD066">
            <w:pPr>
              <w:adjustRightInd w:val="0"/>
              <w:snapToGrid w:val="0"/>
              <w:rPr>
                <w:kern w:val="0"/>
                <w:szCs w:val="21"/>
              </w:rPr>
            </w:pPr>
            <w:r>
              <w:rPr>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1AF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20814624">
            <w:pPr>
              <w:widowControl/>
              <w:adjustRightInd w:val="0"/>
              <w:snapToGrid w:val="0"/>
              <w:jc w:val="center"/>
              <w:textAlignment w:val="baseline"/>
              <w:rPr>
                <w:color w:val="000000"/>
                <w:kern w:val="0"/>
                <w:szCs w:val="21"/>
              </w:rPr>
            </w:pPr>
            <w:r>
              <w:rPr>
                <w:color w:val="000000"/>
                <w:kern w:val="0"/>
                <w:szCs w:val="21"/>
              </w:rPr>
              <w:t>4</w:t>
            </w:r>
          </w:p>
        </w:tc>
        <w:tc>
          <w:tcPr>
            <w:tcW w:w="5406" w:type="dxa"/>
            <w:gridSpan w:val="2"/>
            <w:vAlign w:val="center"/>
          </w:tcPr>
          <w:p w14:paraId="1A6C95FE">
            <w:pPr>
              <w:widowControl/>
              <w:adjustRightInd w:val="0"/>
              <w:snapToGrid w:val="0"/>
              <w:textAlignment w:val="baseline"/>
              <w:rPr>
                <w:color w:val="000000"/>
                <w:kern w:val="0"/>
                <w:szCs w:val="21"/>
              </w:rPr>
            </w:pPr>
            <w:r>
              <w:rPr>
                <w:color w:val="000000"/>
                <w:kern w:val="0"/>
                <w:szCs w:val="21"/>
              </w:rPr>
              <w:t>培训等合同服务要求完成情况。</w:t>
            </w:r>
          </w:p>
        </w:tc>
        <w:tc>
          <w:tcPr>
            <w:tcW w:w="3096" w:type="dxa"/>
            <w:vAlign w:val="center"/>
          </w:tcPr>
          <w:p w14:paraId="52C2EC9E">
            <w:pPr>
              <w:widowControl/>
              <w:adjustRightInd w:val="0"/>
              <w:snapToGrid w:val="0"/>
              <w:textAlignment w:val="baseline"/>
              <w:rPr>
                <w:color w:val="000000"/>
                <w:kern w:val="0"/>
                <w:szCs w:val="21"/>
              </w:rPr>
            </w:pPr>
            <w:r>
              <w:rPr>
                <w:color w:val="000000"/>
                <w:kern w:val="0"/>
                <w:szCs w:val="21"/>
              </w:rPr>
              <w:t>现场核查。供应商须根据合同约定提供《培训视频》影像资料等。</w:t>
            </w:r>
          </w:p>
        </w:tc>
      </w:tr>
      <w:tr w14:paraId="083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59DD5624">
            <w:pPr>
              <w:widowControl/>
              <w:adjustRightInd w:val="0"/>
              <w:snapToGrid w:val="0"/>
              <w:jc w:val="center"/>
              <w:textAlignment w:val="baseline"/>
              <w:rPr>
                <w:color w:val="000000"/>
                <w:kern w:val="0"/>
                <w:szCs w:val="21"/>
              </w:rPr>
            </w:pPr>
            <w:r>
              <w:rPr>
                <w:color w:val="000000"/>
                <w:kern w:val="0"/>
                <w:szCs w:val="21"/>
              </w:rPr>
              <w:t>5</w:t>
            </w:r>
          </w:p>
        </w:tc>
        <w:tc>
          <w:tcPr>
            <w:tcW w:w="5406" w:type="dxa"/>
            <w:gridSpan w:val="2"/>
            <w:vAlign w:val="center"/>
          </w:tcPr>
          <w:p w14:paraId="1B3E98A5">
            <w:pPr>
              <w:widowControl/>
              <w:adjustRightInd w:val="0"/>
              <w:snapToGrid w:val="0"/>
              <w:textAlignment w:val="baseline"/>
              <w:rPr>
                <w:color w:val="000000" w:themeColor="text1"/>
                <w:kern w:val="0"/>
                <w:szCs w:val="21"/>
                <w14:textFill>
                  <w14:solidFill>
                    <w14:schemeClr w14:val="tx1"/>
                  </w14:solidFill>
                </w14:textFill>
              </w:rPr>
            </w:pPr>
            <w:r>
              <w:rPr>
                <w:color w:val="000000"/>
                <w:kern w:val="0"/>
                <w:szCs w:val="21"/>
              </w:rPr>
              <w:t>验证测试设备的运行稳定性</w:t>
            </w:r>
          </w:p>
        </w:tc>
        <w:tc>
          <w:tcPr>
            <w:tcW w:w="3096" w:type="dxa"/>
            <w:vAlign w:val="center"/>
          </w:tcPr>
          <w:p w14:paraId="4B72A531">
            <w:pPr>
              <w:widowControl/>
              <w:adjustRightInd w:val="0"/>
              <w:snapToGrid w:val="0"/>
              <w:textAlignment w:val="baseline"/>
              <w:rPr>
                <w:color w:val="000000"/>
                <w:kern w:val="0"/>
                <w:szCs w:val="21"/>
              </w:rPr>
            </w:pPr>
            <w:r>
              <w:rPr>
                <w:color w:val="000000"/>
                <w:kern w:val="0"/>
                <w:szCs w:val="21"/>
              </w:rPr>
              <w:t>试运行验证测试设备运行稳定达标</w:t>
            </w:r>
          </w:p>
        </w:tc>
      </w:tr>
      <w:tr w14:paraId="660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4" w:type="dxa"/>
            <w:vAlign w:val="center"/>
          </w:tcPr>
          <w:p w14:paraId="6DFA2F36">
            <w:pPr>
              <w:widowControl/>
              <w:adjustRightInd w:val="0"/>
              <w:snapToGrid w:val="0"/>
              <w:jc w:val="center"/>
              <w:textAlignment w:val="baseline"/>
              <w:rPr>
                <w:color w:val="000000"/>
                <w:kern w:val="0"/>
                <w:szCs w:val="21"/>
              </w:rPr>
            </w:pPr>
            <w:r>
              <w:rPr>
                <w:color w:val="000000"/>
                <w:kern w:val="0"/>
                <w:szCs w:val="21"/>
              </w:rPr>
              <w:t>6</w:t>
            </w:r>
          </w:p>
        </w:tc>
        <w:tc>
          <w:tcPr>
            <w:tcW w:w="8502" w:type="dxa"/>
            <w:gridSpan w:val="3"/>
            <w:vAlign w:val="center"/>
          </w:tcPr>
          <w:p w14:paraId="31F21E15">
            <w:pPr>
              <w:widowControl/>
              <w:adjustRightInd w:val="0"/>
              <w:snapToGrid w:val="0"/>
              <w:textAlignment w:val="baseline"/>
              <w:rPr>
                <w:color w:val="000000"/>
                <w:kern w:val="0"/>
                <w:szCs w:val="21"/>
              </w:rPr>
            </w:pPr>
            <w:r>
              <w:rPr>
                <w:color w:val="000000"/>
                <w:kern w:val="0"/>
                <w:szCs w:val="21"/>
              </w:rPr>
              <w:t>提示：</w:t>
            </w:r>
          </w:p>
          <w:p w14:paraId="3078E206">
            <w:pPr>
              <w:widowControl/>
              <w:adjustRightInd w:val="0"/>
              <w:snapToGrid w:val="0"/>
              <w:textAlignment w:val="baseline"/>
              <w:rPr>
                <w:color w:val="000000"/>
                <w:kern w:val="0"/>
                <w:szCs w:val="21"/>
              </w:rPr>
            </w:pPr>
            <w:r>
              <w:rPr>
                <w:color w:val="000000"/>
                <w:kern w:val="0"/>
                <w:szCs w:val="21"/>
              </w:rPr>
              <w:t>1.经费负责人应当按照采购合同及其附件规定的每一项技术、服务、安全标准组织对供应商履约情况进行验收。</w:t>
            </w:r>
          </w:p>
          <w:p w14:paraId="2883C437">
            <w:pPr>
              <w:widowControl/>
              <w:adjustRightInd w:val="0"/>
              <w:snapToGrid w:val="0"/>
              <w:textAlignment w:val="baseline"/>
              <w:rPr>
                <w:color w:val="000000"/>
                <w:kern w:val="0"/>
                <w:szCs w:val="21"/>
              </w:rPr>
            </w:pPr>
            <w:r>
              <w:rPr>
                <w:color w:val="000000"/>
                <w:kern w:val="0"/>
                <w:szCs w:val="21"/>
              </w:rPr>
              <w:t>2.《供应商货物类项目完工报告》《项目建设单位货物类项目完工自验收报告》《第三方检测报告》（如有）等与验收相关的材料由经费负责人妥善保管存档。</w:t>
            </w:r>
          </w:p>
          <w:p w14:paraId="620B491F">
            <w:pPr>
              <w:widowControl/>
              <w:adjustRightInd w:val="0"/>
              <w:snapToGrid w:val="0"/>
              <w:textAlignment w:val="baseline"/>
              <w:rPr>
                <w:color w:val="000000"/>
                <w:kern w:val="0"/>
                <w:szCs w:val="21"/>
              </w:rPr>
            </w:pPr>
            <w:r>
              <w:rPr>
                <w:color w:val="000000"/>
                <w:kern w:val="0"/>
                <w:szCs w:val="21"/>
              </w:rPr>
              <w:t>3.</w:t>
            </w:r>
            <w:bookmarkStart w:id="6" w:name="OLE_LINK4"/>
            <w:r>
              <w:rPr>
                <w:color w:val="000000"/>
                <w:kern w:val="0"/>
                <w:szCs w:val="21"/>
              </w:rPr>
              <w:t>《技术协议》</w:t>
            </w:r>
            <w:bookmarkEnd w:id="6"/>
            <w:r>
              <w:rPr>
                <w:color w:val="000000"/>
                <w:kern w:val="0"/>
                <w:szCs w:val="21"/>
              </w:rPr>
              <w:t xml:space="preserve">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 </w:t>
            </w:r>
          </w:p>
        </w:tc>
      </w:tr>
      <w:tr w14:paraId="72FC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51743AB1">
            <w:pPr>
              <w:widowControl/>
              <w:adjustRightInd w:val="0"/>
              <w:snapToGrid w:val="0"/>
              <w:textAlignment w:val="baseline"/>
              <w:rPr>
                <w:color w:val="000000"/>
                <w:kern w:val="0"/>
                <w:szCs w:val="21"/>
              </w:rPr>
            </w:pPr>
            <w:r>
              <w:rPr>
                <w:b/>
                <w:color w:val="000000"/>
                <w:kern w:val="0"/>
                <w:szCs w:val="21"/>
              </w:rPr>
              <w:t>学校验收复核要求：</w:t>
            </w:r>
            <w:r>
              <w:rPr>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D45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90" w:type="dxa"/>
            <w:gridSpan w:val="3"/>
            <w:vAlign w:val="center"/>
          </w:tcPr>
          <w:p w14:paraId="14AE30AD">
            <w:pPr>
              <w:widowControl/>
              <w:adjustRightInd w:val="0"/>
              <w:snapToGrid w:val="0"/>
              <w:textAlignment w:val="baseline"/>
              <w:rPr>
                <w:color w:val="000000"/>
                <w:kern w:val="0"/>
                <w:szCs w:val="21"/>
              </w:rPr>
            </w:pPr>
            <w:r>
              <w:rPr>
                <w:color w:val="000000"/>
                <w:kern w:val="0"/>
                <w:szCs w:val="21"/>
              </w:rPr>
              <w:t>验收时是否需要供应商提供样品</w:t>
            </w:r>
          </w:p>
        </w:tc>
        <w:tc>
          <w:tcPr>
            <w:tcW w:w="3096" w:type="dxa"/>
            <w:vAlign w:val="center"/>
          </w:tcPr>
          <w:p w14:paraId="798E259A">
            <w:pPr>
              <w:widowControl/>
              <w:adjustRightInd w:val="0"/>
              <w:snapToGrid w:val="0"/>
              <w:textAlignment w:val="baseline"/>
              <w:rPr>
                <w:color w:val="000000"/>
                <w:kern w:val="0"/>
                <w:szCs w:val="21"/>
              </w:rPr>
            </w:pPr>
            <w:r>
              <w:rPr>
                <w:color w:val="000000"/>
                <w:kern w:val="0"/>
                <w:szCs w:val="21"/>
              </w:rPr>
              <w:t>☑是 □否</w:t>
            </w:r>
          </w:p>
        </w:tc>
      </w:tr>
      <w:tr w14:paraId="38B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90" w:type="dxa"/>
            <w:gridSpan w:val="3"/>
            <w:vAlign w:val="center"/>
          </w:tcPr>
          <w:p w14:paraId="4B771E24">
            <w:pPr>
              <w:widowControl/>
              <w:adjustRightInd w:val="0"/>
              <w:snapToGrid w:val="0"/>
              <w:textAlignment w:val="baseline"/>
              <w:rPr>
                <w:color w:val="000000"/>
                <w:kern w:val="0"/>
                <w:szCs w:val="21"/>
              </w:rPr>
            </w:pPr>
            <w:r>
              <w:rPr>
                <w:color w:val="000000"/>
                <w:kern w:val="0"/>
                <w:szCs w:val="21"/>
              </w:rPr>
              <w:t>验收时是否需供应商提供必要的其他设备</w:t>
            </w:r>
          </w:p>
        </w:tc>
        <w:tc>
          <w:tcPr>
            <w:tcW w:w="3096" w:type="dxa"/>
            <w:vAlign w:val="center"/>
          </w:tcPr>
          <w:p w14:paraId="33CC1E8D">
            <w:pPr>
              <w:widowControl/>
              <w:adjustRightInd w:val="0"/>
              <w:snapToGrid w:val="0"/>
              <w:textAlignment w:val="baseline"/>
              <w:rPr>
                <w:color w:val="000000"/>
                <w:kern w:val="0"/>
                <w:szCs w:val="21"/>
              </w:rPr>
            </w:pPr>
            <w:r>
              <w:rPr>
                <w:color w:val="000000"/>
                <w:kern w:val="0"/>
                <w:szCs w:val="21"/>
              </w:rPr>
              <w:t>□是 ☑否</w:t>
            </w:r>
          </w:p>
        </w:tc>
      </w:tr>
      <w:tr w14:paraId="2F5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3D52DFAE">
            <w:pPr>
              <w:widowControl/>
              <w:adjustRightInd w:val="0"/>
              <w:snapToGrid w:val="0"/>
              <w:textAlignment w:val="baseline"/>
              <w:rPr>
                <w:color w:val="000000"/>
                <w:kern w:val="0"/>
                <w:szCs w:val="21"/>
              </w:rPr>
            </w:pPr>
            <w:r>
              <w:rPr>
                <w:color w:val="000000"/>
                <w:kern w:val="0"/>
                <w:szCs w:val="21"/>
              </w:rPr>
              <w:t>二、</w:t>
            </w:r>
            <w:r>
              <w:rPr>
                <w:b/>
                <w:bCs/>
                <w:color w:val="000000"/>
                <w:kern w:val="0"/>
                <w:szCs w:val="21"/>
              </w:rPr>
              <w:t>服务类项目验收要求</w:t>
            </w:r>
          </w:p>
        </w:tc>
      </w:tr>
      <w:tr w14:paraId="753C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74517D30">
            <w:pPr>
              <w:widowControl/>
              <w:adjustRightInd w:val="0"/>
              <w:snapToGrid w:val="0"/>
              <w:textAlignment w:val="baseline"/>
              <w:rPr>
                <w:color w:val="000000"/>
                <w:kern w:val="0"/>
                <w:szCs w:val="21"/>
              </w:rPr>
            </w:pPr>
            <w:r>
              <w:rPr>
                <w:b/>
                <w:color w:val="000000"/>
                <w:kern w:val="0"/>
                <w:szCs w:val="21"/>
              </w:rPr>
              <w:t>项目建设单位验收要求：</w:t>
            </w:r>
            <w:bookmarkStart w:id="7" w:name="OLE_LINK35"/>
            <w:r>
              <w:rPr>
                <w:szCs w:val="21"/>
              </w:rPr>
              <w:t>根据项目特点对服务期内的服务履约实施情况进行考核，结合考核情况和服务效果进行验收。验收报告须经国资处备案。</w:t>
            </w:r>
            <w:bookmarkEnd w:id="7"/>
          </w:p>
        </w:tc>
      </w:tr>
      <w:tr w14:paraId="4562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2CF4C624">
            <w:pPr>
              <w:widowControl/>
              <w:adjustRightInd w:val="0"/>
              <w:snapToGrid w:val="0"/>
              <w:textAlignment w:val="baseline"/>
              <w:rPr>
                <w:color w:val="000000"/>
                <w:kern w:val="0"/>
                <w:szCs w:val="21"/>
              </w:rPr>
            </w:pPr>
            <w:r>
              <w:rPr>
                <w:b/>
                <w:color w:val="000000"/>
                <w:kern w:val="0"/>
                <w:szCs w:val="21"/>
              </w:rPr>
              <w:t>学校验收备案要求：</w:t>
            </w:r>
            <w:r>
              <w:rPr>
                <w:bCs/>
                <w:color w:val="000000"/>
                <w:kern w:val="0"/>
                <w:szCs w:val="21"/>
              </w:rPr>
              <w:t>项目单位提供《学校采购服务类项目验收报告》《服务类供应商履约情况评价表》</w:t>
            </w:r>
            <w:r>
              <w:rPr>
                <w:szCs w:val="21"/>
              </w:rPr>
              <w:t>。国资处可根据项目情况采用抽查等方式进行复核。</w:t>
            </w:r>
          </w:p>
        </w:tc>
      </w:tr>
      <w:tr w14:paraId="51A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4"/>
            <w:vAlign w:val="center"/>
          </w:tcPr>
          <w:p w14:paraId="62B84129">
            <w:pPr>
              <w:widowControl/>
              <w:adjustRightInd w:val="0"/>
              <w:snapToGrid w:val="0"/>
              <w:jc w:val="left"/>
              <w:textAlignment w:val="baseline"/>
              <w:rPr>
                <w:color w:val="000000"/>
                <w:kern w:val="0"/>
                <w:szCs w:val="21"/>
              </w:rPr>
            </w:pPr>
            <w:r>
              <w:rPr>
                <w:b/>
                <w:bCs/>
                <w:color w:val="000000"/>
                <w:kern w:val="0"/>
                <w:szCs w:val="21"/>
              </w:rPr>
              <w:t>三、除现场验收外，需提供的其他验收要求</w:t>
            </w:r>
          </w:p>
        </w:tc>
      </w:tr>
      <w:tr w14:paraId="431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90" w:type="dxa"/>
            <w:gridSpan w:val="3"/>
            <w:vAlign w:val="center"/>
          </w:tcPr>
          <w:p w14:paraId="50D21A46">
            <w:pPr>
              <w:widowControl/>
              <w:adjustRightInd w:val="0"/>
              <w:snapToGrid w:val="0"/>
              <w:textAlignment w:val="baseline"/>
              <w:rPr>
                <w:color w:val="000000"/>
                <w:kern w:val="0"/>
                <w:szCs w:val="21"/>
              </w:rPr>
            </w:pPr>
            <w:r>
              <w:rPr>
                <w:color w:val="000000"/>
                <w:kern w:val="0"/>
                <w:szCs w:val="21"/>
              </w:rPr>
              <w:t>验收时是否需提供第三方检测报告</w:t>
            </w:r>
          </w:p>
        </w:tc>
        <w:tc>
          <w:tcPr>
            <w:tcW w:w="3096" w:type="dxa"/>
            <w:vAlign w:val="center"/>
          </w:tcPr>
          <w:p w14:paraId="2746C4A0">
            <w:pPr>
              <w:widowControl/>
              <w:adjustRightInd w:val="0"/>
              <w:snapToGrid w:val="0"/>
              <w:textAlignment w:val="baseline"/>
              <w:rPr>
                <w:color w:val="000000"/>
                <w:kern w:val="0"/>
                <w:szCs w:val="21"/>
              </w:rPr>
            </w:pPr>
          </w:p>
          <w:p w14:paraId="60F1F5C1">
            <w:pPr>
              <w:widowControl/>
              <w:adjustRightInd w:val="0"/>
              <w:snapToGrid w:val="0"/>
              <w:textAlignment w:val="baseline"/>
              <w:rPr>
                <w:color w:val="000000"/>
                <w:kern w:val="0"/>
                <w:szCs w:val="21"/>
              </w:rPr>
            </w:pPr>
            <w:r>
              <w:rPr>
                <w:color w:val="000000"/>
                <w:kern w:val="0"/>
                <w:szCs w:val="21"/>
              </w:rPr>
              <w:t>□是 ☑否</w:t>
            </w:r>
          </w:p>
          <w:p w14:paraId="3D6DDFD4">
            <w:pPr>
              <w:widowControl/>
              <w:adjustRightInd w:val="0"/>
              <w:snapToGrid w:val="0"/>
              <w:textAlignment w:val="baseline"/>
              <w:rPr>
                <w:color w:val="000000"/>
                <w:kern w:val="0"/>
                <w:szCs w:val="21"/>
              </w:rPr>
            </w:pPr>
          </w:p>
          <w:p w14:paraId="3B30A560">
            <w:pPr>
              <w:widowControl/>
              <w:adjustRightInd w:val="0"/>
              <w:snapToGrid w:val="0"/>
              <w:textAlignment w:val="baseline"/>
              <w:rPr>
                <w:color w:val="000000"/>
                <w:kern w:val="0"/>
                <w:szCs w:val="21"/>
              </w:rPr>
            </w:pPr>
            <w:r>
              <w:rPr>
                <w:color w:val="000000"/>
                <w:kern w:val="0"/>
                <w:szCs w:val="21"/>
              </w:rPr>
              <w:t>如需提供第三方检测报告，需满足下列要求：</w:t>
            </w:r>
          </w:p>
          <w:p w14:paraId="54453A27">
            <w:pPr>
              <w:widowControl/>
              <w:adjustRightInd w:val="0"/>
              <w:snapToGrid w:val="0"/>
              <w:textAlignment w:val="baseline"/>
              <w:rPr>
                <w:color w:val="000000"/>
                <w:kern w:val="0"/>
                <w:szCs w:val="21"/>
              </w:rPr>
            </w:pPr>
            <w:r>
              <w:rPr>
                <w:color w:val="000000"/>
                <w:kern w:val="0"/>
                <w:szCs w:val="21"/>
              </w:rPr>
              <w:t>对于检测机构的要求：国家正规检测机构，出具的检测报告由验收复核专家认可之后作为验收复核通过的主要依据。</w:t>
            </w:r>
          </w:p>
          <w:p w14:paraId="7ED4C1AE">
            <w:pPr>
              <w:widowControl/>
              <w:adjustRightInd w:val="0"/>
              <w:snapToGrid w:val="0"/>
              <w:textAlignment w:val="baseline"/>
              <w:rPr>
                <w:color w:val="000000"/>
                <w:kern w:val="0"/>
                <w:szCs w:val="21"/>
              </w:rPr>
            </w:pPr>
            <w:r>
              <w:rPr>
                <w:color w:val="000000"/>
                <w:kern w:val="0"/>
                <w:szCs w:val="21"/>
              </w:rPr>
              <w:t>对于检测执行标准的要求：各项检测项目标准以检测机构按照行业相关要求最新适用并执行的标准为准。</w:t>
            </w:r>
          </w:p>
        </w:tc>
      </w:tr>
      <w:bookmarkEnd w:id="5"/>
    </w:tbl>
    <w:p w14:paraId="7F9A051F">
      <w:pPr>
        <w:adjustRightInd w:val="0"/>
        <w:snapToGrid w:val="0"/>
        <w:spacing w:line="360" w:lineRule="auto"/>
        <w:ind w:firstLine="440" w:firstLineChars="200"/>
        <w:rPr>
          <w:rFonts w:eastAsia="楷体"/>
          <w:color w:val="FF0000"/>
          <w:sz w:val="22"/>
          <w:szCs w:val="22"/>
        </w:rPr>
      </w:pPr>
    </w:p>
    <w:p w14:paraId="35F239AF">
      <w:pPr>
        <w:adjustRightInd w:val="0"/>
        <w:snapToGrid w:val="0"/>
        <w:spacing w:line="360" w:lineRule="auto"/>
        <w:ind w:firstLine="440" w:firstLineChars="200"/>
        <w:rPr>
          <w:rFonts w:eastAsia="楷体"/>
          <w:color w:val="FF0000"/>
          <w:sz w:val="22"/>
          <w:szCs w:val="22"/>
        </w:rPr>
      </w:pPr>
    </w:p>
    <w:p w14:paraId="793C7502">
      <w:pPr>
        <w:adjustRightInd w:val="0"/>
        <w:snapToGrid w:val="0"/>
        <w:spacing w:line="360" w:lineRule="auto"/>
        <w:ind w:firstLine="420" w:firstLineChars="200"/>
      </w:pPr>
    </w:p>
    <w:p w14:paraId="3FE56E09"/>
    <w:sectPr>
      <w:headerReference r:id="rId3" w:type="default"/>
      <w:footerReference r:id="rId4"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Frutiger Roman">
    <w:altName w:val="Segoe Print"/>
    <w:panose1 w:val="00000000000000000000"/>
    <w:charset w:val="00"/>
    <w:family w:val="swiss"/>
    <w:pitch w:val="default"/>
    <w:sig w:usb0="00000000" w:usb1="00000000" w:usb2="00000000" w:usb3="00000000" w:csb0="00000013" w:csb1="00000000"/>
    <w:embedRegular r:id="rId1" w:fontKey="{72425FDF-BE74-4D66-B73E-5F16C20AE874}"/>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2" w:fontKey="{2F73202E-DE8B-47A3-B00E-08CEC6B83A4A}"/>
  </w:font>
  <w:font w:name="方正小标宋简体">
    <w:panose1 w:val="02000000000000000000"/>
    <w:charset w:val="86"/>
    <w:family w:val="script"/>
    <w:pitch w:val="default"/>
    <w:sig w:usb0="A00002BF" w:usb1="184F6CFA" w:usb2="00000012" w:usb3="00000000" w:csb0="00040001" w:csb1="00000000"/>
    <w:embedRegular r:id="rId3" w:fontKey="{CDCB19AC-927B-4863-A084-9C8D70726C75}"/>
  </w:font>
  <w:font w:name="Noto Sans SC">
    <w:panose1 w:val="020B0200000000000000"/>
    <w:charset w:val="86"/>
    <w:family w:val="auto"/>
    <w:pitch w:val="default"/>
    <w:sig w:usb0="20000083" w:usb1="2ADF3C10" w:usb2="00000016" w:usb3="00000000" w:csb0="60060107" w:csb1="00000000"/>
    <w:embedRegular r:id="rId4" w:fontKey="{EBF5DA0D-4196-4955-B684-45975D4ADB77}"/>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embedRegular r:id="rId5" w:fontKey="{D7EACB08-E14D-488B-AFD2-9C4989F301E9}"/>
  </w:font>
  <w:font w:name="Symbol">
    <w:panose1 w:val="05050102010706020507"/>
    <w:charset w:val="00"/>
    <w:family w:val="auto"/>
    <w:pitch w:val="default"/>
    <w:sig w:usb0="00000000" w:usb1="00000000" w:usb2="00000000" w:usb3="00000000" w:csb0="80000000" w:csb1="00000000"/>
  </w:font>
  <w:font w:name="方正仿宋_GB2312">
    <w:panose1 w:val="02000000000000000000"/>
    <w:charset w:val="86"/>
    <w:family w:val="auto"/>
    <w:pitch w:val="default"/>
    <w:sig w:usb0="A00002BF" w:usb1="184F6CFA" w:usb2="00000012" w:usb3="00000000" w:csb0="00040001"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Palatino">
    <w:panose1 w:val="02040602050305020304"/>
    <w:charset w:val="00"/>
    <w:family w:val="auto"/>
    <w:pitch w:val="default"/>
    <w:sig w:usb0="00000007" w:usb1="00000000" w:usb2="00000000" w:usb3="00000000" w:csb0="00000093" w:csb1="00000000"/>
  </w:font>
  <w:font w:name="Lucida Sans Unicode">
    <w:panose1 w:val="020B0602030504020204"/>
    <w:charset w:val="00"/>
    <w:family w:val="auto"/>
    <w:pitch w:val="default"/>
    <w:sig w:usb0="80001AFF" w:usb1="0000396B" w:usb2="00000000" w:usb3="00000000" w:csb0="200000BF" w:csb1="D7F70000"/>
  </w:font>
  <w:font w:name="Kingsoft UE">
    <w:panose1 w:val="02000100010000000000"/>
    <w:charset w:val="00"/>
    <w:family w:val="auto"/>
    <w:pitch w:val="default"/>
    <w:sig w:usb0="00000001" w:usb1="00004000" w:usb2="00000000" w:usb3="00000000" w:csb0="00000001" w:csb1="00000000"/>
  </w:font>
  <w:font w:name="Leelawadee UI Semilight">
    <w:panose1 w:val="020B0402040204020203"/>
    <w:charset w:val="00"/>
    <w:family w:val="auto"/>
    <w:pitch w:val="default"/>
    <w:sig w:usb0="83000003" w:usb1="00000000" w:usb2="00010000" w:usb3="00000001" w:csb0="00010101" w:csb1="00000000"/>
  </w:font>
  <w:font w:name="Trebuchet MS">
    <w:panose1 w:val="020B0603020202020204"/>
    <w:charset w:val="00"/>
    <w:family w:val="auto"/>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5"/>
      <w:jc w:val="center"/>
    </w:pPr>
    <w:r>
      <w:fldChar w:fldCharType="begin"/>
    </w:r>
    <w:r>
      <w:instrText xml:space="preserve">PAGE   \* MERGEFORMAT</w:instrText>
    </w:r>
    <w:r>
      <w:fldChar w:fldCharType="separate"/>
    </w:r>
    <w:r>
      <w:rPr>
        <w:lang w:val="zh-CN"/>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0BDE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CC5A8"/>
    <w:multiLevelType w:val="singleLevel"/>
    <w:tmpl w:val="AE5CC5A8"/>
    <w:lvl w:ilvl="0" w:tentative="0">
      <w:start w:val="13"/>
      <w:numFmt w:val="decimal"/>
      <w:suff w:val="space"/>
      <w:lvlText w:val="%1."/>
      <w:lvlJc w:val="left"/>
    </w:lvl>
  </w:abstractNum>
  <w:abstractNum w:abstractNumId="1">
    <w:nsid w:val="C5D264BD"/>
    <w:multiLevelType w:val="singleLevel"/>
    <w:tmpl w:val="C5D264BD"/>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6463D"/>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4EF5"/>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33F3C"/>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92570"/>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14F8"/>
    <w:rsid w:val="004B3DFE"/>
    <w:rsid w:val="004C0EDE"/>
    <w:rsid w:val="004C6E57"/>
    <w:rsid w:val="004D47EE"/>
    <w:rsid w:val="004D7FAC"/>
    <w:rsid w:val="004E36C2"/>
    <w:rsid w:val="004E4B14"/>
    <w:rsid w:val="004F0791"/>
    <w:rsid w:val="004F27FB"/>
    <w:rsid w:val="00501176"/>
    <w:rsid w:val="00501E8E"/>
    <w:rsid w:val="0050762F"/>
    <w:rsid w:val="0051081D"/>
    <w:rsid w:val="00510891"/>
    <w:rsid w:val="0051141F"/>
    <w:rsid w:val="00524AB7"/>
    <w:rsid w:val="0052535A"/>
    <w:rsid w:val="005307ED"/>
    <w:rsid w:val="0053111A"/>
    <w:rsid w:val="00537D96"/>
    <w:rsid w:val="00544653"/>
    <w:rsid w:val="00545874"/>
    <w:rsid w:val="00551F52"/>
    <w:rsid w:val="00555ADF"/>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276AB"/>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65213"/>
    <w:rsid w:val="00967EA5"/>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1D5B"/>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C7855"/>
    <w:rsid w:val="00CD1229"/>
    <w:rsid w:val="00CD153F"/>
    <w:rsid w:val="00CD2230"/>
    <w:rsid w:val="00CD50E0"/>
    <w:rsid w:val="00CD5C95"/>
    <w:rsid w:val="00CE0FFF"/>
    <w:rsid w:val="00CE546B"/>
    <w:rsid w:val="00CF3F57"/>
    <w:rsid w:val="00CF5863"/>
    <w:rsid w:val="00CF6C1E"/>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2BA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474A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4D88"/>
    <w:rsid w:val="00FB5401"/>
    <w:rsid w:val="00FC0270"/>
    <w:rsid w:val="00FC1111"/>
    <w:rsid w:val="00FC194B"/>
    <w:rsid w:val="00FC3BB8"/>
    <w:rsid w:val="00FD6CA8"/>
    <w:rsid w:val="00FE0803"/>
    <w:rsid w:val="00FE1B41"/>
    <w:rsid w:val="00FF21F2"/>
    <w:rsid w:val="00FF339E"/>
    <w:rsid w:val="00FF40F9"/>
    <w:rsid w:val="00FF47AD"/>
    <w:rsid w:val="00FF6875"/>
    <w:rsid w:val="00FF698C"/>
    <w:rsid w:val="037E5614"/>
    <w:rsid w:val="09FA4E2F"/>
    <w:rsid w:val="0CD50C80"/>
    <w:rsid w:val="0D3A1A49"/>
    <w:rsid w:val="0EBD3905"/>
    <w:rsid w:val="11ED2F91"/>
    <w:rsid w:val="157B2FD1"/>
    <w:rsid w:val="18E65AF6"/>
    <w:rsid w:val="1BC72B84"/>
    <w:rsid w:val="326601AA"/>
    <w:rsid w:val="33D067E2"/>
    <w:rsid w:val="3AC363A7"/>
    <w:rsid w:val="41CF6FFA"/>
    <w:rsid w:val="451E1FA6"/>
    <w:rsid w:val="4FAF6015"/>
    <w:rsid w:val="544239B2"/>
    <w:rsid w:val="5B2E2A7F"/>
    <w:rsid w:val="613C1786"/>
    <w:rsid w:val="6DFE77B5"/>
    <w:rsid w:val="6FE64E17"/>
    <w:rsid w:val="76276DBF"/>
    <w:rsid w:val="7BD74E63"/>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semiHidden/>
    <w:unhideWhenUsed/>
    <w:qFormat/>
    <w:uiPriority w:val="99"/>
    <w:pPr>
      <w:jc w:val="left"/>
    </w:pPr>
  </w:style>
  <w:style w:type="paragraph" w:styleId="3">
    <w:name w:val="Plain Text"/>
    <w:basedOn w:val="1"/>
    <w:link w:val="17"/>
    <w:qFormat/>
    <w:uiPriority w:val="0"/>
    <w:rPr>
      <w:rFonts w:ascii="宋体" w:hAnsi="Courier New" w:cstheme="minorBidi"/>
      <w:szCs w:val="22"/>
    </w:rPr>
  </w:style>
  <w:style w:type="paragraph" w:styleId="4">
    <w:name w:val="Balloon Text"/>
    <w:basedOn w:val="1"/>
    <w:link w:val="25"/>
    <w:semiHidden/>
    <w:unhideWhenUsed/>
    <w:qFormat/>
    <w:uiPriority w:val="99"/>
    <w:rPr>
      <w:sz w:val="18"/>
      <w:szCs w:val="18"/>
    </w:rPr>
  </w:style>
  <w:style w:type="paragraph" w:styleId="5">
    <w:name w:val="footer"/>
    <w:basedOn w:val="1"/>
    <w:link w:val="18"/>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99"/>
    <w:rPr>
      <w:sz w:val="24"/>
    </w:rPr>
  </w:style>
  <w:style w:type="paragraph" w:styleId="8">
    <w:name w:val="Title"/>
    <w:basedOn w:val="1"/>
    <w:link w:val="19"/>
    <w:qFormat/>
    <w:uiPriority w:val="0"/>
    <w:pPr>
      <w:spacing w:before="240" w:after="60"/>
      <w:jc w:val="center"/>
      <w:outlineLvl w:val="0"/>
    </w:pPr>
    <w:rPr>
      <w:rFonts w:ascii="Arial" w:hAnsi="Arial" w:cs="Arial"/>
      <w:b/>
      <w:bCs/>
      <w:sz w:val="32"/>
      <w:szCs w:val="32"/>
    </w:rPr>
  </w:style>
  <w:style w:type="paragraph" w:styleId="9">
    <w:name w:val="annotation subject"/>
    <w:basedOn w:val="2"/>
    <w:next w:val="2"/>
    <w:link w:val="28"/>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20"/>
    <w:rPr>
      <w:i/>
      <w:iCs/>
    </w:rPr>
  </w:style>
  <w:style w:type="character" w:styleId="15">
    <w:name w:val="Hyperlink"/>
    <w:basedOn w:val="12"/>
    <w:semiHidden/>
    <w:unhideWhenUsed/>
    <w:qFormat/>
    <w:uiPriority w:val="99"/>
    <w:rPr>
      <w:color w:val="0000FF"/>
      <w:u w:val="single"/>
    </w:rPr>
  </w:style>
  <w:style w:type="character" w:styleId="16">
    <w:name w:val="annotation reference"/>
    <w:basedOn w:val="12"/>
    <w:semiHidden/>
    <w:unhideWhenUsed/>
    <w:qFormat/>
    <w:uiPriority w:val="99"/>
    <w:rPr>
      <w:sz w:val="21"/>
      <w:szCs w:val="21"/>
    </w:rPr>
  </w:style>
  <w:style w:type="character" w:customStyle="1" w:styleId="17">
    <w:name w:val="纯文本 字符"/>
    <w:link w:val="3"/>
    <w:qFormat/>
    <w:uiPriority w:val="0"/>
    <w:rPr>
      <w:rFonts w:ascii="宋体" w:hAnsi="Courier New" w:eastAsia="宋体"/>
    </w:rPr>
  </w:style>
  <w:style w:type="character" w:customStyle="1" w:styleId="18">
    <w:name w:val="页脚 字符"/>
    <w:link w:val="5"/>
    <w:qFormat/>
    <w:uiPriority w:val="0"/>
    <w:rPr>
      <w:sz w:val="18"/>
    </w:rPr>
  </w:style>
  <w:style w:type="character" w:customStyle="1" w:styleId="19">
    <w:name w:val="标题 字符"/>
    <w:link w:val="8"/>
    <w:qFormat/>
    <w:uiPriority w:val="0"/>
    <w:rPr>
      <w:rFonts w:ascii="Arial" w:hAnsi="Arial" w:eastAsia="宋体" w:cs="Arial"/>
      <w:b/>
      <w:bCs/>
      <w:sz w:val="32"/>
      <w:szCs w:val="32"/>
    </w:rPr>
  </w:style>
  <w:style w:type="character" w:customStyle="1" w:styleId="20">
    <w:name w:val="页脚 Char"/>
    <w:basedOn w:val="12"/>
    <w:semiHidden/>
    <w:qFormat/>
    <w:uiPriority w:val="99"/>
    <w:rPr>
      <w:rFonts w:ascii="Times New Roman" w:hAnsi="Times New Roman" w:eastAsia="宋体" w:cs="Times New Roman"/>
      <w:sz w:val="18"/>
      <w:szCs w:val="18"/>
    </w:rPr>
  </w:style>
  <w:style w:type="character" w:customStyle="1" w:styleId="21">
    <w:name w:val="标题 Char"/>
    <w:basedOn w:val="12"/>
    <w:qFormat/>
    <w:uiPriority w:val="10"/>
    <w:rPr>
      <w:rFonts w:eastAsia="宋体" w:asciiTheme="majorHAnsi" w:hAnsiTheme="majorHAnsi" w:cstheme="majorBidi"/>
      <w:b/>
      <w:bCs/>
      <w:sz w:val="32"/>
      <w:szCs w:val="32"/>
    </w:rPr>
  </w:style>
  <w:style w:type="character" w:customStyle="1" w:styleId="22">
    <w:name w:val="纯文本 Char"/>
    <w:basedOn w:val="12"/>
    <w:semiHidden/>
    <w:qFormat/>
    <w:uiPriority w:val="99"/>
    <w:rPr>
      <w:rFonts w:ascii="宋体" w:hAnsi="Courier New" w:eastAsia="宋体" w:cs="Courier New"/>
      <w:szCs w:val="21"/>
    </w:rPr>
  </w:style>
  <w:style w:type="character" w:customStyle="1" w:styleId="23">
    <w:name w:val="页眉 字符"/>
    <w:basedOn w:val="12"/>
    <w:link w:val="6"/>
    <w:qFormat/>
    <w:uiPriority w:val="99"/>
    <w:rPr>
      <w:rFonts w:ascii="Times New Roman" w:hAnsi="Times New Roman" w:eastAsia="宋体" w:cs="Times New Roman"/>
      <w:sz w:val="18"/>
      <w:szCs w:val="18"/>
    </w:rPr>
  </w:style>
  <w:style w:type="paragraph" w:styleId="24">
    <w:name w:val="List Paragraph"/>
    <w:basedOn w:val="1"/>
    <w:qFormat/>
    <w:uiPriority w:val="34"/>
    <w:pPr>
      <w:ind w:firstLine="420" w:firstLineChars="200"/>
    </w:pPr>
  </w:style>
  <w:style w:type="character" w:customStyle="1" w:styleId="25">
    <w:name w:val="批注框文本 字符"/>
    <w:basedOn w:val="12"/>
    <w:link w:val="4"/>
    <w:semiHidden/>
    <w:qFormat/>
    <w:uiPriority w:val="99"/>
    <w:rPr>
      <w:rFonts w:ascii="Times New Roman" w:hAnsi="Times New Roman" w:eastAsia="宋体" w:cs="Times New Roman"/>
      <w:sz w:val="18"/>
      <w:szCs w:val="18"/>
    </w:rPr>
  </w:style>
  <w:style w:type="paragraph" w:customStyle="1" w:styleId="26">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7">
    <w:name w:val="批注文字 字符"/>
    <w:basedOn w:val="12"/>
    <w:link w:val="2"/>
    <w:semiHidden/>
    <w:qFormat/>
    <w:uiPriority w:val="99"/>
    <w:rPr>
      <w:rFonts w:ascii="Times New Roman" w:hAnsi="Times New Roman" w:eastAsia="宋体" w:cs="Times New Roman"/>
      <w:kern w:val="2"/>
      <w:sz w:val="21"/>
    </w:rPr>
  </w:style>
  <w:style w:type="character" w:customStyle="1" w:styleId="28">
    <w:name w:val="批注主题 字符"/>
    <w:basedOn w:val="27"/>
    <w:link w:val="9"/>
    <w:semiHidden/>
    <w:qFormat/>
    <w:uiPriority w:val="99"/>
    <w:rPr>
      <w:rFonts w:ascii="Times New Roman" w:hAnsi="Times New Roman" w:eastAsia="宋体" w:cs="Times New Roman"/>
      <w:b/>
      <w:bCs/>
      <w:kern w:val="2"/>
      <w:sz w:val="21"/>
    </w:rPr>
  </w:style>
  <w:style w:type="paragraph" w:customStyle="1" w:styleId="29">
    <w:name w:val="修订1"/>
    <w:hidden/>
    <w:semiHidden/>
    <w:qFormat/>
    <w:uiPriority w:val="99"/>
    <w:rPr>
      <w:rFonts w:ascii="Times New Roman" w:hAnsi="Times New Roman" w:eastAsia="宋体" w:cs="Times New Roman"/>
      <w:kern w:val="2"/>
      <w:sz w:val="21"/>
      <w:lang w:val="en-US" w:eastAsia="zh-CN" w:bidi="ar-SA"/>
    </w:rPr>
  </w:style>
  <w:style w:type="paragraph" w:customStyle="1" w:styleId="30">
    <w:name w:val="Table Paragraph"/>
    <w:basedOn w:val="1"/>
    <w:qFormat/>
    <w:uiPriority w:val="1"/>
  </w:style>
  <w:style w:type="paragraph" w:customStyle="1" w:styleId="31">
    <w:name w:val="列表段落1"/>
    <w:basedOn w:val="1"/>
    <w:qFormat/>
    <w:uiPriority w:val="34"/>
    <w:pPr>
      <w:widowControl/>
      <w:autoSpaceDE w:val="0"/>
      <w:autoSpaceDN w:val="0"/>
      <w:adjustRightInd w:val="0"/>
      <w:ind w:firstLine="420" w:firstLineChars="200"/>
      <w:jc w:val="left"/>
      <w:textAlignment w:val="baseline"/>
    </w:pPr>
    <w:rPr>
      <w:rFonts w:ascii="Frutiger Roman" w:hAnsi="Frutiger Roman" w:eastAsia="楷体"/>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74AA-EFA2-4B36-9435-3F61C4040686}">
  <ds:schemaRefs/>
</ds:datastoreItem>
</file>

<file path=docProps/app.xml><?xml version="1.0" encoding="utf-8"?>
<Properties xmlns="http://schemas.openxmlformats.org/officeDocument/2006/extended-properties" xmlns:vt="http://schemas.openxmlformats.org/officeDocument/2006/docPropsVTypes">
  <Template>Normal</Template>
  <Pages>5</Pages>
  <Words>3672</Words>
  <Characters>3857</Characters>
  <Lines>32</Lines>
  <Paragraphs>9</Paragraphs>
  <TotalTime>1</TotalTime>
  <ScaleCrop>false</ScaleCrop>
  <LinksUpToDate>false</LinksUpToDate>
  <CharactersWithSpaces>4155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2026-07-07T07:39:00Z</dcterms:created>
  <dc:creator>User</dc:creator>
  <cp:lastModifiedBy>陈亚楠</cp:lastModifiedBy>
  <dcterms:modified xsi:type="dcterms:W3CDTF">2026-07-14T01:54:20Z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995C9D1E4F5B48319CE478627DDE2885_13</vt:lpwstr>
  </property>
  <property fmtid="{D5CDD505-2E9C-101B-9397-08002B2CF9AE}" pid="4" name="KSOTemplateDocerSaveRecord">
    <vt:lpwstr>eyJoZGlkIjoiMDNmZmYyMmY1YjVjYmUxYjUwZGQzMDYwODcwYTZhYmIiLCJ1c2VySWQiOiIxNTQwMDgyNTE5In0=</vt:lpwstr>
  </property>
</Properties>
</file>