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FF43F8">
      <w:pPr>
        <w:pStyle w:val="7"/>
        <w:rPr>
          <w:rFonts w:ascii="宋体" w:hAnsi="宋体"/>
          <w:sz w:val="44"/>
          <w:szCs w:val="44"/>
        </w:rPr>
      </w:pPr>
      <w:bookmarkStart w:id="0" w:name="_Toc38367762"/>
      <w:r>
        <w:rPr>
          <w:rFonts w:hint="eastAsia" w:ascii="宋体" w:hAnsi="宋体"/>
          <w:sz w:val="44"/>
          <w:szCs w:val="44"/>
        </w:rPr>
        <w:t>【食用油采购】</w:t>
      </w:r>
      <w:r>
        <w:rPr>
          <w:rFonts w:ascii="宋体" w:hAnsi="宋体"/>
          <w:sz w:val="44"/>
          <w:szCs w:val="44"/>
        </w:rPr>
        <w:t>需求</w:t>
      </w:r>
      <w:bookmarkEnd w:id="0"/>
    </w:p>
    <w:p w14:paraId="306CA7EB">
      <w:pPr>
        <w:tabs>
          <w:tab w:val="left" w:pos="900"/>
        </w:tabs>
        <w:spacing w:beforeLines="50" w:line="360" w:lineRule="auto"/>
        <w:rPr>
          <w:b/>
          <w:sz w:val="28"/>
          <w:szCs w:val="28"/>
        </w:rPr>
      </w:pPr>
      <w:bookmarkStart w:id="1" w:name="_Toc219271393"/>
      <w:bookmarkStart w:id="2" w:name="_Toc172360661"/>
      <w:bookmarkStart w:id="3" w:name="_Toc158978330"/>
      <w:r>
        <w:rPr>
          <w:rFonts w:hint="eastAsia" w:hAnsi="宋体"/>
          <w:b/>
          <w:sz w:val="28"/>
          <w:szCs w:val="28"/>
        </w:rPr>
        <w:t>一、</w:t>
      </w:r>
      <w:r>
        <w:rPr>
          <w:rFonts w:hAnsi="宋体"/>
          <w:b/>
          <w:sz w:val="28"/>
          <w:szCs w:val="28"/>
        </w:rPr>
        <w:t>采购</w:t>
      </w:r>
      <w:r>
        <w:rPr>
          <w:rFonts w:hint="eastAsia" w:hAnsi="宋体"/>
          <w:b/>
          <w:sz w:val="28"/>
          <w:szCs w:val="28"/>
        </w:rPr>
        <w:t>标的</w:t>
      </w:r>
      <w:r>
        <w:rPr>
          <w:rFonts w:hAnsi="宋体"/>
          <w:b/>
          <w:sz w:val="28"/>
          <w:szCs w:val="28"/>
        </w:rPr>
        <w:t>需实现的功能或者目标，以及为落实政府采购政策需满足的要求：</w:t>
      </w:r>
    </w:p>
    <w:p w14:paraId="4DC1B974">
      <w:pPr>
        <w:tabs>
          <w:tab w:val="left" w:pos="900"/>
        </w:tabs>
        <w:spacing w:beforeLines="50" w:line="360" w:lineRule="auto"/>
        <w:rPr>
          <w:b/>
          <w:sz w:val="28"/>
          <w:szCs w:val="28"/>
        </w:rPr>
      </w:pPr>
      <w:r>
        <w:rPr>
          <w:rFonts w:hAnsi="宋体"/>
          <w:b/>
          <w:sz w:val="28"/>
          <w:szCs w:val="28"/>
        </w:rPr>
        <w:t>（一）采购</w:t>
      </w:r>
      <w:r>
        <w:rPr>
          <w:rFonts w:hint="eastAsia" w:hAnsi="宋体"/>
          <w:b/>
          <w:sz w:val="28"/>
          <w:szCs w:val="28"/>
        </w:rPr>
        <w:t>标的</w:t>
      </w:r>
      <w:r>
        <w:rPr>
          <w:rFonts w:hAnsi="宋体"/>
          <w:b/>
          <w:sz w:val="28"/>
          <w:szCs w:val="28"/>
        </w:rPr>
        <w:t>需实现的功能或者目标</w:t>
      </w:r>
    </w:p>
    <w:p w14:paraId="41A1DAED">
      <w:pPr>
        <w:widowControl/>
        <w:spacing w:line="450" w:lineRule="atLeast"/>
        <w:ind w:firstLine="280" w:firstLineChars="100"/>
        <w:jc w:val="left"/>
        <w:textAlignment w:val="baseline"/>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满足师生食堂就餐需要，</w:t>
      </w:r>
      <w:r>
        <w:rPr>
          <w:rFonts w:hint="eastAsia" w:ascii="宋体" w:hAnsi="宋体" w:cs="宋体"/>
          <w:color w:val="000000"/>
          <w:kern w:val="0"/>
          <w:sz w:val="28"/>
          <w:szCs w:val="28"/>
        </w:rPr>
        <w:t>采购内容为</w:t>
      </w:r>
      <w:r>
        <w:rPr>
          <w:rFonts w:hint="eastAsia" w:ascii="宋体" w:hAnsi="宋体" w:cs="宋体"/>
          <w:color w:val="000000"/>
          <w:kern w:val="0"/>
          <w:sz w:val="28"/>
          <w:szCs w:val="28"/>
          <w:lang w:eastAsia="zh-CN"/>
        </w:rPr>
        <w:t>：</w:t>
      </w:r>
      <w:r>
        <w:rPr>
          <w:rFonts w:hint="eastAsia" w:ascii="宋体" w:hAnsi="宋体" w:cs="宋体"/>
          <w:color w:val="000000"/>
          <w:kern w:val="0"/>
          <w:sz w:val="28"/>
          <w:szCs w:val="28"/>
          <w:lang w:val="en-US" w:eastAsia="zh-CN"/>
        </w:rPr>
        <w:t>食用油（一级大豆油（非转基因）、一级菜籽油（非转基因）</w:t>
      </w:r>
      <w:r>
        <w:rPr>
          <w:rFonts w:hint="eastAsia" w:ascii="宋体" w:hAnsi="宋体" w:cs="宋体"/>
          <w:color w:val="000000"/>
          <w:kern w:val="0"/>
          <w:sz w:val="28"/>
          <w:szCs w:val="28"/>
        </w:rPr>
        <w:t>，服务期限3年</w:t>
      </w:r>
      <w:r>
        <w:rPr>
          <w:rFonts w:hint="eastAsia" w:cs="宋体" w:asciiTheme="minorEastAsia" w:hAnsiTheme="minorEastAsia"/>
          <w:color w:val="000000"/>
          <w:kern w:val="0"/>
          <w:sz w:val="28"/>
          <w:szCs w:val="28"/>
        </w:rPr>
        <w:t>。</w:t>
      </w:r>
    </w:p>
    <w:p w14:paraId="07B7456C">
      <w:pPr>
        <w:tabs>
          <w:tab w:val="left" w:pos="900"/>
        </w:tabs>
        <w:spacing w:before="100" w:beforeAutospacing="1" w:line="360" w:lineRule="auto"/>
        <w:ind w:left="-105" w:leftChars="-50" w:right="-105" w:rightChars="-50"/>
        <w:rPr>
          <w:b/>
          <w:sz w:val="28"/>
          <w:szCs w:val="28"/>
        </w:rPr>
      </w:pPr>
      <w:r>
        <w:rPr>
          <w:rFonts w:hAnsi="宋体"/>
          <w:b/>
          <w:sz w:val="28"/>
          <w:szCs w:val="28"/>
        </w:rPr>
        <w:t>（二）为落实政府采购政策需满足的要求</w:t>
      </w:r>
    </w:p>
    <w:p w14:paraId="0387D8F2">
      <w:pPr>
        <w:tabs>
          <w:tab w:val="left" w:pos="900"/>
        </w:tabs>
        <w:spacing w:before="100" w:beforeAutospacing="1" w:line="360" w:lineRule="auto"/>
        <w:ind w:left="-105" w:leftChars="-50" w:right="-105" w:rightChars="-50" w:firstLine="565" w:firstLineChars="202"/>
        <w:rPr>
          <w:rFonts w:hAnsi="宋体"/>
          <w:sz w:val="28"/>
          <w:szCs w:val="28"/>
        </w:rPr>
      </w:pPr>
      <w:r>
        <w:rPr>
          <w:rFonts w:hAnsi="宋体"/>
          <w:sz w:val="28"/>
          <w:szCs w:val="28"/>
        </w:rPr>
        <w:t>根据《政府采购促进中小企业发展管理办法》</w:t>
      </w:r>
      <w:r>
        <w:rPr>
          <w:rFonts w:hint="eastAsia" w:hAnsi="宋体"/>
          <w:sz w:val="28"/>
          <w:szCs w:val="28"/>
        </w:rPr>
        <w:t>（财库【2</w:t>
      </w:r>
      <w:r>
        <w:rPr>
          <w:rFonts w:hAnsi="宋体"/>
          <w:sz w:val="28"/>
          <w:szCs w:val="28"/>
        </w:rPr>
        <w:t>020</w:t>
      </w:r>
      <w:r>
        <w:rPr>
          <w:rFonts w:hint="eastAsia" w:hAnsi="宋体"/>
          <w:sz w:val="28"/>
          <w:szCs w:val="28"/>
        </w:rPr>
        <w:t>】4</w:t>
      </w:r>
      <w:r>
        <w:rPr>
          <w:rFonts w:hAnsi="宋体"/>
          <w:sz w:val="28"/>
          <w:szCs w:val="28"/>
        </w:rPr>
        <w:t>6</w:t>
      </w:r>
      <w:r>
        <w:rPr>
          <w:rFonts w:hint="eastAsia" w:hAnsi="宋体"/>
          <w:sz w:val="28"/>
          <w:szCs w:val="28"/>
        </w:rPr>
        <w:t>号）</w:t>
      </w:r>
      <w:r>
        <w:rPr>
          <w:rFonts w:hAnsi="宋体"/>
          <w:sz w:val="28"/>
          <w:szCs w:val="28"/>
        </w:rPr>
        <w:t>规定，</w:t>
      </w:r>
      <w:r>
        <w:rPr>
          <w:rFonts w:hint="eastAsia" w:hAnsi="宋体"/>
          <w:sz w:val="28"/>
          <w:szCs w:val="28"/>
        </w:rPr>
        <w:t>本项目采购标的为中小型企业制造、承建或承接的，</w:t>
      </w:r>
      <w:r>
        <w:rPr>
          <w:rFonts w:hAnsi="宋体"/>
          <w:sz w:val="28"/>
          <w:szCs w:val="28"/>
        </w:rPr>
        <w:t>投标人应</w:t>
      </w:r>
      <w:r>
        <w:rPr>
          <w:rFonts w:hint="eastAsia" w:hAnsi="宋体"/>
          <w:sz w:val="28"/>
          <w:szCs w:val="28"/>
        </w:rPr>
        <w:t>提供办法规定的</w:t>
      </w:r>
      <w:r>
        <w:rPr>
          <w:rFonts w:hAnsi="宋体"/>
          <w:sz w:val="28"/>
          <w:szCs w:val="28"/>
        </w:rPr>
        <w:t>《中小企业声明函》</w:t>
      </w:r>
      <w:r>
        <w:rPr>
          <w:rFonts w:hint="eastAsia" w:hAnsi="宋体"/>
          <w:sz w:val="28"/>
          <w:szCs w:val="28"/>
        </w:rPr>
        <w:t>，否则不得享受相关中小企业扶持政策</w:t>
      </w:r>
      <w:r>
        <w:rPr>
          <w:rFonts w:hAnsi="宋体"/>
          <w:sz w:val="28"/>
          <w:szCs w:val="28"/>
        </w:rPr>
        <w:t>。投标人应对提交的中小企业声明函的真实性负责，提交的中小企业声明函不真实的，应承担相应的法律责任。</w:t>
      </w:r>
    </w:p>
    <w:p w14:paraId="16D70948">
      <w:pPr>
        <w:tabs>
          <w:tab w:val="left" w:pos="900"/>
        </w:tabs>
        <w:spacing w:before="100" w:beforeAutospacing="1" w:line="360" w:lineRule="auto"/>
        <w:ind w:left="-105" w:leftChars="-50" w:right="-105" w:rightChars="-50" w:firstLine="560" w:firstLineChars="200"/>
        <w:rPr>
          <w:rFonts w:hAnsi="宋体"/>
          <w:sz w:val="28"/>
          <w:szCs w:val="28"/>
        </w:rPr>
      </w:pPr>
      <w:r>
        <w:rPr>
          <w:rFonts w:hint="eastAsia" w:hAnsi="宋体"/>
          <w:sz w:val="28"/>
          <w:szCs w:val="28"/>
        </w:rPr>
        <w:t>本项目采购标的对应的《中小企业划型标准规定》所属行业为：</w:t>
      </w:r>
      <w:r>
        <w:rPr>
          <w:rFonts w:hint="eastAsia" w:hAnsi="宋体"/>
          <w:sz w:val="28"/>
          <w:szCs w:val="28"/>
          <w:u w:val="single"/>
        </w:rPr>
        <w:t>批发业</w:t>
      </w:r>
      <w:r>
        <w:rPr>
          <w:rFonts w:hint="eastAsia" w:hAnsi="宋体"/>
          <w:sz w:val="28"/>
          <w:szCs w:val="28"/>
        </w:rPr>
        <w:t>。</w:t>
      </w:r>
    </w:p>
    <w:p w14:paraId="18E68AA6">
      <w:pPr>
        <w:tabs>
          <w:tab w:val="left" w:pos="900"/>
        </w:tabs>
        <w:spacing w:before="100" w:beforeAutospacing="1" w:line="360" w:lineRule="auto"/>
        <w:ind w:left="-105" w:leftChars="-50" w:right="-105" w:rightChars="-50"/>
        <w:rPr>
          <w:rFonts w:hAnsi="宋体"/>
          <w:b/>
          <w:sz w:val="28"/>
          <w:szCs w:val="28"/>
        </w:rPr>
      </w:pPr>
      <w:r>
        <w:rPr>
          <w:rFonts w:hint="eastAsia" w:hAnsi="宋体"/>
          <w:b/>
          <w:sz w:val="28"/>
          <w:szCs w:val="28"/>
        </w:rPr>
        <w:t>二、</w:t>
      </w:r>
      <w:r>
        <w:rPr>
          <w:rFonts w:hAnsi="宋体"/>
          <w:b/>
          <w:sz w:val="28"/>
          <w:szCs w:val="28"/>
        </w:rPr>
        <w:t>采购</w:t>
      </w:r>
      <w:r>
        <w:rPr>
          <w:rFonts w:hint="eastAsia" w:hAnsi="宋体"/>
          <w:b/>
          <w:sz w:val="28"/>
          <w:szCs w:val="28"/>
        </w:rPr>
        <w:t>标的</w:t>
      </w:r>
      <w:r>
        <w:rPr>
          <w:rFonts w:hAnsi="宋体"/>
          <w:b/>
          <w:sz w:val="28"/>
          <w:szCs w:val="28"/>
        </w:rPr>
        <w:t>需执行的国家相关标准、行业标准、地方标准或者其他标准、规范：</w:t>
      </w:r>
    </w:p>
    <w:p w14:paraId="2C0BA372">
      <w:pPr>
        <w:tabs>
          <w:tab w:val="left" w:pos="900"/>
        </w:tabs>
        <w:spacing w:before="100" w:beforeAutospacing="1" w:line="360" w:lineRule="auto"/>
        <w:ind w:left="-105" w:leftChars="-50" w:right="-105" w:rightChars="-50" w:firstLine="560" w:firstLineChars="200"/>
        <w:rPr>
          <w:sz w:val="28"/>
          <w:szCs w:val="28"/>
        </w:rPr>
      </w:pPr>
      <w:r>
        <w:rPr>
          <w:rFonts w:hint="eastAsia"/>
          <w:sz w:val="28"/>
          <w:szCs w:val="28"/>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应检测报告或商品标签。</w:t>
      </w:r>
    </w:p>
    <w:p w14:paraId="57CB0BB2">
      <w:pPr>
        <w:widowControl/>
        <w:numPr>
          <w:ilvl w:val="0"/>
          <w:numId w:val="1"/>
        </w:numPr>
        <w:spacing w:before="100" w:beforeAutospacing="1" w:line="450" w:lineRule="atLeast"/>
        <w:ind w:left="-105" w:leftChars="-50" w:right="-105" w:rightChars="-50"/>
        <w:jc w:val="left"/>
        <w:textAlignment w:val="baseline"/>
        <w:rPr>
          <w:rFonts w:cs="宋体" w:asciiTheme="minorEastAsia" w:hAnsiTheme="minorEastAsia" w:eastAsiaTheme="minorEastAsia"/>
          <w:b/>
          <w:color w:val="000000" w:themeColor="text1"/>
          <w:kern w:val="0"/>
          <w:sz w:val="28"/>
          <w:szCs w:val="28"/>
          <w14:textFill>
            <w14:solidFill>
              <w14:schemeClr w14:val="tx1"/>
            </w14:solidFill>
          </w14:textFill>
        </w:rPr>
      </w:pPr>
      <w:r>
        <w:rPr>
          <w:rFonts w:hint="eastAsia" w:cs="宋体" w:asciiTheme="minorEastAsia" w:hAnsiTheme="minorEastAsia" w:eastAsiaTheme="minorEastAsia"/>
          <w:b/>
          <w:color w:val="000000" w:themeColor="text1"/>
          <w:kern w:val="0"/>
          <w:sz w:val="28"/>
          <w:szCs w:val="28"/>
          <w14:textFill>
            <w14:solidFill>
              <w14:schemeClr w14:val="tx1"/>
            </w14:solidFill>
          </w14:textFill>
        </w:rPr>
        <w:t>GB/T</w:t>
      </w:r>
      <w:r>
        <w:rPr>
          <w:rFonts w:hint="eastAsia" w:cs="宋体" w:asciiTheme="minorEastAsia" w:hAnsiTheme="minorEastAsia" w:eastAsiaTheme="minorEastAsia"/>
          <w:b/>
          <w:color w:val="000000" w:themeColor="text1"/>
          <w:kern w:val="0"/>
          <w:sz w:val="28"/>
          <w:szCs w:val="28"/>
          <w:lang w:val="en-US" w:eastAsia="zh-CN"/>
          <w14:textFill>
            <w14:solidFill>
              <w14:schemeClr w14:val="tx1"/>
            </w14:solidFill>
          </w14:textFill>
        </w:rPr>
        <w:t xml:space="preserve"> </w:t>
      </w:r>
      <w:r>
        <w:rPr>
          <w:rFonts w:hint="eastAsia" w:cs="宋体" w:asciiTheme="minorEastAsia" w:hAnsiTheme="minorEastAsia" w:eastAsiaTheme="minorEastAsia"/>
          <w:b/>
          <w:color w:val="000000" w:themeColor="text1"/>
          <w:kern w:val="0"/>
          <w:sz w:val="28"/>
          <w:szCs w:val="28"/>
          <w14:textFill>
            <w14:solidFill>
              <w14:schemeClr w14:val="tx1"/>
            </w14:solidFill>
          </w14:textFill>
        </w:rPr>
        <w:t>1535《大豆油》</w:t>
      </w:r>
      <w:r>
        <w:rPr>
          <w:rFonts w:hint="eastAsia" w:cs="宋体" w:asciiTheme="minorEastAsia" w:hAnsiTheme="minorEastAsia" w:eastAsiaTheme="minorEastAsia"/>
          <w:b/>
          <w:color w:val="000000" w:themeColor="text1"/>
          <w:kern w:val="0"/>
          <w:sz w:val="28"/>
          <w:szCs w:val="28"/>
          <w:lang w:val="en-US" w:eastAsia="zh-CN"/>
          <w14:textFill>
            <w14:solidFill>
              <w14:schemeClr w14:val="tx1"/>
            </w14:solidFill>
          </w14:textFill>
        </w:rPr>
        <w:t xml:space="preserve">      2.  </w:t>
      </w:r>
      <w:r>
        <w:rPr>
          <w:rFonts w:hint="eastAsia" w:cs="宋体" w:asciiTheme="minorEastAsia" w:hAnsiTheme="minorEastAsia" w:eastAsiaTheme="minorEastAsia"/>
          <w:b/>
          <w:color w:val="000000" w:themeColor="text1"/>
          <w:kern w:val="0"/>
          <w:sz w:val="28"/>
          <w:szCs w:val="28"/>
          <w14:textFill>
            <w14:solidFill>
              <w14:schemeClr w14:val="tx1"/>
            </w14:solidFill>
          </w14:textFill>
        </w:rPr>
        <w:t>GB/T 1536《菜籽油》</w:t>
      </w:r>
    </w:p>
    <w:p w14:paraId="57FDDB7E">
      <w:pPr>
        <w:tabs>
          <w:tab w:val="left" w:pos="900"/>
        </w:tabs>
        <w:spacing w:before="100" w:beforeAutospacing="1" w:line="360" w:lineRule="auto"/>
        <w:ind w:left="-105" w:leftChars="-50" w:right="-105" w:rightChars="-50"/>
        <w:rPr>
          <w:rFonts w:hAnsi="宋体"/>
          <w:b/>
          <w:sz w:val="28"/>
          <w:szCs w:val="28"/>
        </w:rPr>
      </w:pPr>
      <w:r>
        <w:rPr>
          <w:rFonts w:hint="eastAsia" w:hAnsi="宋体"/>
          <w:b/>
          <w:sz w:val="28"/>
          <w:szCs w:val="28"/>
        </w:rPr>
        <w:t>三、采购标的概况：</w:t>
      </w:r>
    </w:p>
    <w:p w14:paraId="1540D83E">
      <w:pPr>
        <w:spacing w:before="100" w:beforeAutospacing="1" w:line="360" w:lineRule="auto"/>
        <w:ind w:left="-105" w:leftChars="-50" w:right="-105" w:rightChars="-50"/>
        <w:rPr>
          <w:rFonts w:hint="eastAsia" w:ascii="宋体" w:hAnsi="宋体"/>
          <w:sz w:val="28"/>
          <w:szCs w:val="28"/>
          <w:u w:val="single"/>
        </w:rPr>
      </w:pPr>
      <w:r>
        <w:rPr>
          <w:rFonts w:hint="eastAsia" w:ascii="宋体" w:hAnsi="宋体"/>
          <w:sz w:val="28"/>
          <w:szCs w:val="28"/>
        </w:rPr>
        <w:t>（一）采购项目名称：</w:t>
      </w:r>
      <w:r>
        <w:rPr>
          <w:rFonts w:hint="eastAsia" w:ascii="宋体" w:hAnsi="宋体"/>
          <w:sz w:val="28"/>
          <w:szCs w:val="28"/>
          <w:u w:val="single"/>
        </w:rPr>
        <w:t>食用油</w:t>
      </w:r>
      <w:r>
        <w:rPr>
          <w:rFonts w:hint="eastAsia" w:ascii="宋体" w:hAnsi="宋体" w:cs="宋体"/>
          <w:color w:val="000000"/>
          <w:kern w:val="0"/>
          <w:sz w:val="28"/>
          <w:szCs w:val="28"/>
          <w:u w:val="single"/>
          <w:lang w:val="en-US" w:eastAsia="zh-CN"/>
        </w:rPr>
        <w:t>（一级大豆油（非转基因）、一级菜籽油（非转基因）</w:t>
      </w:r>
    </w:p>
    <w:p w14:paraId="40AAD80D">
      <w:pPr>
        <w:spacing w:before="100" w:beforeAutospacing="1" w:line="360" w:lineRule="auto"/>
        <w:ind w:left="-105" w:leftChars="-50" w:right="-105" w:rightChars="-50"/>
        <w:rPr>
          <w:rFonts w:hAnsi="宋体"/>
          <w:sz w:val="28"/>
          <w:szCs w:val="28"/>
        </w:rPr>
      </w:pPr>
      <w:r>
        <w:rPr>
          <w:rFonts w:hint="eastAsia" w:hAnsi="宋体"/>
          <w:sz w:val="28"/>
          <w:szCs w:val="28"/>
        </w:rPr>
        <w:t>（二）最高限价：</w:t>
      </w:r>
      <w:bookmarkStart w:id="4" w:name="_GoBack"/>
      <w:r>
        <w:rPr>
          <w:rFonts w:hint="eastAsia" w:hAnsi="宋体"/>
          <w:sz w:val="28"/>
          <w:szCs w:val="28"/>
          <w:u w:val="single"/>
        </w:rPr>
        <w:t>人民币</w:t>
      </w:r>
      <w:r>
        <w:rPr>
          <w:rFonts w:hint="eastAsia" w:asciiTheme="minorEastAsia" w:hAnsiTheme="minorEastAsia" w:eastAsiaTheme="minorEastAsia"/>
          <w:sz w:val="28"/>
          <w:szCs w:val="28"/>
          <w:u w:val="single"/>
        </w:rPr>
        <w:t>4</w:t>
      </w:r>
      <w:r>
        <w:rPr>
          <w:rFonts w:hint="eastAsia" w:asciiTheme="minorEastAsia" w:hAnsiTheme="minorEastAsia" w:eastAsiaTheme="minorEastAsia"/>
          <w:sz w:val="28"/>
          <w:szCs w:val="28"/>
          <w:u w:val="single"/>
          <w:lang w:val="en-US" w:eastAsia="zh-CN"/>
        </w:rPr>
        <w:t>60</w:t>
      </w:r>
      <w:r>
        <w:rPr>
          <w:rFonts w:hint="eastAsia" w:asciiTheme="minorEastAsia" w:hAnsiTheme="minorEastAsia" w:eastAsiaTheme="minorEastAsia"/>
          <w:sz w:val="28"/>
          <w:szCs w:val="28"/>
          <w:u w:val="single"/>
        </w:rPr>
        <w:t>万</w:t>
      </w:r>
      <w:r>
        <w:rPr>
          <w:rFonts w:hint="eastAsia" w:hAnsi="宋体"/>
          <w:sz w:val="28"/>
          <w:szCs w:val="28"/>
          <w:u w:val="single"/>
        </w:rPr>
        <w:t>元</w:t>
      </w:r>
      <w:r>
        <w:rPr>
          <w:rFonts w:hint="eastAsia" w:hAnsi="宋体"/>
          <w:sz w:val="28"/>
          <w:szCs w:val="28"/>
          <w:u w:val="single"/>
          <w:lang w:eastAsia="zh-CN"/>
        </w:rPr>
        <w:t>（</w:t>
      </w:r>
      <w:r>
        <w:rPr>
          <w:rFonts w:hint="eastAsia" w:hAnsi="宋体"/>
          <w:sz w:val="28"/>
          <w:szCs w:val="28"/>
          <w:u w:val="single"/>
          <w:lang w:val="en-US" w:eastAsia="zh-CN"/>
        </w:rPr>
        <w:t>大写：肆佰陆拾万元整</w:t>
      </w:r>
      <w:r>
        <w:rPr>
          <w:rFonts w:hint="eastAsia" w:hAnsi="宋体"/>
          <w:sz w:val="28"/>
          <w:szCs w:val="28"/>
          <w:u w:val="single"/>
          <w:lang w:eastAsia="zh-CN"/>
        </w:rPr>
        <w:t>）</w:t>
      </w:r>
      <w:r>
        <w:rPr>
          <w:rFonts w:hint="eastAsia" w:hAnsi="宋体"/>
          <w:sz w:val="28"/>
          <w:szCs w:val="28"/>
          <w:u w:val="single"/>
        </w:rPr>
        <w:t>。</w:t>
      </w:r>
      <w:bookmarkEnd w:id="4"/>
    </w:p>
    <w:p w14:paraId="2041C920">
      <w:pPr>
        <w:tabs>
          <w:tab w:val="left" w:pos="900"/>
        </w:tabs>
        <w:spacing w:before="100" w:beforeAutospacing="1" w:line="360" w:lineRule="auto"/>
        <w:ind w:left="-105" w:leftChars="-50" w:right="-105" w:rightChars="-50"/>
        <w:rPr>
          <w:rFonts w:hAnsi="宋体"/>
          <w:sz w:val="28"/>
          <w:szCs w:val="28"/>
          <w:u w:val="single"/>
        </w:rPr>
      </w:pPr>
      <w:r>
        <w:rPr>
          <w:rFonts w:hint="eastAsia" w:hAnsi="宋体"/>
          <w:sz w:val="28"/>
          <w:szCs w:val="28"/>
        </w:rPr>
        <w:t>（三）</w:t>
      </w:r>
      <w:r>
        <w:rPr>
          <w:rFonts w:hAnsi="宋体"/>
          <w:sz w:val="28"/>
          <w:szCs w:val="28"/>
        </w:rPr>
        <w:t>交付地点：</w:t>
      </w:r>
      <w:r>
        <w:rPr>
          <w:rFonts w:hint="eastAsia" w:hAnsi="宋体"/>
          <w:sz w:val="28"/>
          <w:szCs w:val="28"/>
          <w:u w:val="single"/>
        </w:rPr>
        <w:t>西安交通大学（兴庆校区）。</w:t>
      </w:r>
    </w:p>
    <w:p w14:paraId="45B889E1">
      <w:pPr>
        <w:tabs>
          <w:tab w:val="left" w:pos="900"/>
        </w:tabs>
        <w:spacing w:before="100" w:beforeAutospacing="1" w:line="360" w:lineRule="auto"/>
        <w:ind w:left="-105" w:leftChars="-50" w:right="-105" w:rightChars="-50"/>
        <w:rPr>
          <w:rFonts w:hAnsi="宋体"/>
          <w:sz w:val="28"/>
          <w:szCs w:val="28"/>
        </w:rPr>
      </w:pPr>
      <w:r>
        <w:rPr>
          <w:rFonts w:hint="eastAsia" w:hAnsi="宋体"/>
          <w:sz w:val="28"/>
          <w:szCs w:val="28"/>
        </w:rPr>
        <w:t>（四）付款方式：</w:t>
      </w:r>
      <w:r>
        <w:rPr>
          <w:rFonts w:hint="eastAsia" w:hAnsi="宋体"/>
          <w:sz w:val="28"/>
          <w:szCs w:val="28"/>
          <w:u w:val="single"/>
        </w:rPr>
        <w:t>验收合格后月结付款</w:t>
      </w:r>
    </w:p>
    <w:p w14:paraId="02ECAC2E">
      <w:pPr>
        <w:tabs>
          <w:tab w:val="left" w:pos="900"/>
        </w:tabs>
        <w:spacing w:before="100" w:beforeAutospacing="1" w:line="360" w:lineRule="auto"/>
        <w:ind w:left="-105" w:leftChars="-50" w:right="-105" w:rightChars="-50"/>
        <w:rPr>
          <w:rFonts w:hAnsi="宋体"/>
          <w:b/>
          <w:sz w:val="28"/>
          <w:szCs w:val="28"/>
        </w:rPr>
      </w:pPr>
      <w:r>
        <w:rPr>
          <w:rFonts w:hint="eastAsia" w:hAnsi="宋体"/>
          <w:b/>
          <w:sz w:val="28"/>
          <w:szCs w:val="28"/>
        </w:rPr>
        <w:t>四、采购标的需满足的质量、安全、技术规格等要求：</w:t>
      </w:r>
    </w:p>
    <w:p w14:paraId="37F5E8F9">
      <w:pPr>
        <w:pStyle w:val="18"/>
        <w:widowControl/>
        <w:numPr>
          <w:ilvl w:val="0"/>
          <w:numId w:val="2"/>
        </w:numPr>
        <w:adjustRightInd w:val="0"/>
        <w:spacing w:before="100" w:beforeAutospacing="1" w:line="450" w:lineRule="atLeast"/>
        <w:ind w:left="-105" w:leftChars="-50" w:right="-105" w:rightChars="-50" w:firstLineChars="0"/>
        <w:jc w:val="left"/>
        <w:textAlignment w:val="baseline"/>
        <w:rPr>
          <w:rFonts w:ascii="宋体" w:hAnsi="宋体" w:cs="宋体"/>
          <w:color w:val="000000"/>
          <w:kern w:val="0"/>
          <w:sz w:val="28"/>
          <w:szCs w:val="28"/>
        </w:rPr>
      </w:pPr>
      <w:r>
        <w:rPr>
          <w:rFonts w:hint="eastAsia" w:ascii="宋体" w:hAnsi="宋体" w:cs="宋体"/>
          <w:color w:val="000000"/>
          <w:kern w:val="0"/>
          <w:sz w:val="28"/>
          <w:szCs w:val="28"/>
        </w:rPr>
        <w:t>包装与标识</w:t>
      </w:r>
      <w:r>
        <w:rPr>
          <w:rFonts w:hint="eastAsia" w:ascii="宋体" w:hAnsi="宋体" w:cs="宋体"/>
          <w:color w:val="000000"/>
          <w:kern w:val="0"/>
          <w:sz w:val="28"/>
          <w:szCs w:val="28"/>
          <w:lang w:eastAsia="zh-CN"/>
        </w:rPr>
        <w:t>：</w:t>
      </w:r>
    </w:p>
    <w:p w14:paraId="4E7CFE37">
      <w:pPr>
        <w:widowControl/>
        <w:spacing w:before="100" w:beforeAutospacing="1" w:line="450" w:lineRule="atLeast"/>
        <w:ind w:left="-105" w:leftChars="-50" w:right="-105" w:rightChars="-50"/>
        <w:jc w:val="left"/>
        <w:textAlignment w:val="baseline"/>
        <w:rPr>
          <w:rFonts w:hint="eastAsia" w:ascii="宋体" w:hAnsi="宋体"/>
          <w:sz w:val="28"/>
          <w:szCs w:val="28"/>
        </w:rPr>
      </w:pPr>
      <w:r>
        <w:rPr>
          <w:rFonts w:hint="eastAsia" w:ascii="宋体" w:hAnsi="宋体"/>
          <w:sz w:val="28"/>
          <w:szCs w:val="28"/>
        </w:rPr>
        <w:t>（1）包装容器符合</w:t>
      </w:r>
      <w:r>
        <w:rPr>
          <w:rFonts w:hint="eastAsia" w:ascii="宋体" w:hAnsi="宋体"/>
          <w:sz w:val="28"/>
          <w:szCs w:val="28"/>
          <w:lang w:eastAsia="zh-CN"/>
        </w:rPr>
        <w:t>（</w:t>
      </w:r>
      <w:r>
        <w:rPr>
          <w:rFonts w:hint="eastAsia" w:ascii="宋体" w:hAnsi="宋体"/>
          <w:sz w:val="28"/>
          <w:szCs w:val="28"/>
        </w:rPr>
        <w:t>GB</w:t>
      </w:r>
      <w:r>
        <w:rPr>
          <w:rFonts w:hint="eastAsia" w:ascii="宋体" w:hAnsi="宋体"/>
          <w:sz w:val="28"/>
          <w:szCs w:val="28"/>
          <w:lang w:val="en-US" w:eastAsia="zh-CN"/>
        </w:rPr>
        <w:t xml:space="preserve"> </w:t>
      </w:r>
      <w:r>
        <w:rPr>
          <w:rFonts w:hint="eastAsia" w:ascii="宋体" w:hAnsi="宋体"/>
          <w:sz w:val="28"/>
          <w:szCs w:val="28"/>
        </w:rPr>
        <w:t>4806.7</w:t>
      </w:r>
      <w:r>
        <w:rPr>
          <w:rFonts w:hint="eastAsia" w:ascii="宋体" w:hAnsi="宋体"/>
          <w:sz w:val="28"/>
          <w:szCs w:val="28"/>
          <w:lang w:eastAsia="zh-CN"/>
        </w:rPr>
        <w:t>）</w:t>
      </w:r>
      <w:r>
        <w:rPr>
          <w:rFonts w:hint="eastAsia" w:ascii="宋体" w:hAnsi="宋体"/>
          <w:sz w:val="28"/>
          <w:szCs w:val="28"/>
        </w:rPr>
        <w:t>食品接触塑料制品国家</w:t>
      </w:r>
      <w:r>
        <w:rPr>
          <w:rFonts w:hint="eastAsia" w:ascii="宋体" w:hAnsi="宋体"/>
          <w:sz w:val="28"/>
          <w:szCs w:val="28"/>
          <w:lang w:val="en-US" w:eastAsia="zh-CN"/>
        </w:rPr>
        <w:t>现行有效</w:t>
      </w:r>
      <w:r>
        <w:rPr>
          <w:rFonts w:hint="eastAsia" w:ascii="宋体" w:hAnsi="宋体"/>
          <w:sz w:val="28"/>
          <w:szCs w:val="28"/>
        </w:rPr>
        <w:t>标准。</w:t>
      </w:r>
    </w:p>
    <w:p w14:paraId="4111B5C5">
      <w:pPr>
        <w:widowControl/>
        <w:spacing w:before="100" w:beforeAutospacing="1" w:line="450" w:lineRule="atLeast"/>
        <w:ind w:left="-105" w:leftChars="-50" w:right="-105" w:rightChars="-50"/>
        <w:jc w:val="left"/>
        <w:textAlignment w:val="baseline"/>
        <w:rPr>
          <w:rFonts w:hint="eastAsia" w:ascii="宋体" w:hAnsi="宋体"/>
          <w:sz w:val="28"/>
          <w:szCs w:val="28"/>
        </w:rPr>
      </w:pPr>
      <w:r>
        <w:rPr>
          <w:rFonts w:hint="eastAsia" w:ascii="宋体" w:hAnsi="宋体"/>
          <w:sz w:val="28"/>
          <w:szCs w:val="28"/>
        </w:rPr>
        <w:t>（2）包装材料采用全新食品级原料，符合国家</w:t>
      </w:r>
      <w:r>
        <w:rPr>
          <w:rFonts w:hint="eastAsia" w:ascii="宋体" w:hAnsi="宋体"/>
          <w:sz w:val="28"/>
          <w:szCs w:val="28"/>
          <w:lang w:val="en-US" w:eastAsia="zh-CN"/>
        </w:rPr>
        <w:t>现行食品安全</w:t>
      </w:r>
      <w:r>
        <w:rPr>
          <w:rFonts w:hint="eastAsia" w:ascii="宋体" w:hAnsi="宋体"/>
          <w:sz w:val="28"/>
          <w:szCs w:val="28"/>
        </w:rPr>
        <w:t>相关标准。</w:t>
      </w:r>
    </w:p>
    <w:p w14:paraId="6069B11E">
      <w:pPr>
        <w:widowControl/>
        <w:spacing w:before="100" w:beforeAutospacing="1" w:line="450" w:lineRule="atLeast"/>
        <w:ind w:left="-105" w:leftChars="-50" w:right="-105" w:rightChars="-50"/>
        <w:jc w:val="left"/>
        <w:textAlignment w:val="baseline"/>
        <w:rPr>
          <w:rFonts w:hint="eastAsia" w:ascii="宋体" w:hAnsi="宋体"/>
          <w:sz w:val="28"/>
          <w:szCs w:val="28"/>
        </w:rPr>
      </w:pPr>
      <w:r>
        <w:rPr>
          <w:rFonts w:hint="eastAsia" w:ascii="宋体" w:hAnsi="宋体"/>
          <w:sz w:val="28"/>
          <w:szCs w:val="28"/>
        </w:rPr>
        <w:t>（3）标签及储运标识按照</w:t>
      </w:r>
      <w:r>
        <w:rPr>
          <w:rFonts w:hint="eastAsia" w:ascii="宋体" w:hAnsi="宋体"/>
          <w:sz w:val="28"/>
          <w:szCs w:val="28"/>
          <w:lang w:eastAsia="zh-CN"/>
        </w:rPr>
        <w:t>（</w:t>
      </w:r>
      <w:r>
        <w:rPr>
          <w:rFonts w:hint="eastAsia" w:ascii="宋体" w:hAnsi="宋体"/>
          <w:sz w:val="28"/>
          <w:szCs w:val="28"/>
        </w:rPr>
        <w:t>GB</w:t>
      </w:r>
      <w:r>
        <w:rPr>
          <w:rFonts w:hint="eastAsia" w:ascii="宋体" w:hAnsi="宋体"/>
          <w:sz w:val="28"/>
          <w:szCs w:val="28"/>
          <w:lang w:val="en-US" w:eastAsia="zh-CN"/>
        </w:rPr>
        <w:t xml:space="preserve"> </w:t>
      </w:r>
      <w:r>
        <w:rPr>
          <w:rFonts w:hint="eastAsia" w:ascii="宋体" w:hAnsi="宋体"/>
          <w:sz w:val="28"/>
          <w:szCs w:val="28"/>
        </w:rPr>
        <w:t>7718</w:t>
      </w:r>
      <w:r>
        <w:rPr>
          <w:rFonts w:hint="eastAsia" w:ascii="宋体" w:hAnsi="宋体"/>
          <w:sz w:val="28"/>
          <w:szCs w:val="28"/>
          <w:lang w:eastAsia="zh-CN"/>
        </w:rPr>
        <w:t>）</w:t>
      </w:r>
      <w:r>
        <w:rPr>
          <w:rFonts w:hint="eastAsia" w:ascii="宋体" w:hAnsi="宋体"/>
          <w:sz w:val="28"/>
          <w:szCs w:val="28"/>
        </w:rPr>
        <w:t>、</w:t>
      </w:r>
      <w:r>
        <w:rPr>
          <w:rFonts w:hint="eastAsia" w:ascii="宋体" w:hAnsi="宋体"/>
          <w:sz w:val="28"/>
          <w:szCs w:val="28"/>
          <w:lang w:eastAsia="zh-CN"/>
        </w:rPr>
        <w:t>（</w:t>
      </w:r>
      <w:r>
        <w:rPr>
          <w:rFonts w:hint="eastAsia" w:ascii="宋体" w:hAnsi="宋体"/>
          <w:sz w:val="28"/>
          <w:szCs w:val="28"/>
        </w:rPr>
        <w:t>GB</w:t>
      </w:r>
      <w:r>
        <w:rPr>
          <w:rFonts w:hint="eastAsia" w:ascii="宋体" w:hAnsi="宋体"/>
          <w:sz w:val="28"/>
          <w:szCs w:val="28"/>
          <w:lang w:val="en-US" w:eastAsia="zh-CN"/>
        </w:rPr>
        <w:t xml:space="preserve"> </w:t>
      </w:r>
      <w:r>
        <w:rPr>
          <w:rFonts w:hint="eastAsia" w:ascii="宋体" w:hAnsi="宋体"/>
          <w:sz w:val="28"/>
          <w:szCs w:val="28"/>
        </w:rPr>
        <w:t>28050</w:t>
      </w:r>
      <w:r>
        <w:rPr>
          <w:rFonts w:hint="eastAsia" w:ascii="宋体" w:hAnsi="宋体"/>
          <w:sz w:val="28"/>
          <w:szCs w:val="28"/>
          <w:lang w:eastAsia="zh-CN"/>
        </w:rPr>
        <w:t>）</w:t>
      </w:r>
      <w:r>
        <w:rPr>
          <w:rFonts w:hint="eastAsia" w:ascii="宋体" w:hAnsi="宋体"/>
          <w:sz w:val="28"/>
          <w:szCs w:val="28"/>
          <w:lang w:val="en-US" w:eastAsia="zh-CN"/>
        </w:rPr>
        <w:t>现行有效版本</w:t>
      </w:r>
      <w:r>
        <w:rPr>
          <w:rFonts w:hint="eastAsia" w:ascii="宋体" w:hAnsi="宋体"/>
          <w:sz w:val="28"/>
          <w:szCs w:val="28"/>
        </w:rPr>
        <w:t>执行</w:t>
      </w:r>
      <w:r>
        <w:rPr>
          <w:rFonts w:hint="eastAsia" w:ascii="宋体" w:hAnsi="宋体"/>
          <w:sz w:val="28"/>
          <w:szCs w:val="28"/>
          <w:lang w:eastAsia="zh-CN"/>
        </w:rPr>
        <w:t>；</w:t>
      </w:r>
      <w:r>
        <w:rPr>
          <w:rFonts w:hint="eastAsia" w:ascii="宋体" w:hAnsi="宋体"/>
          <w:sz w:val="28"/>
          <w:szCs w:val="28"/>
        </w:rPr>
        <w:t>清晰标注</w:t>
      </w:r>
      <w:r>
        <w:rPr>
          <w:rFonts w:hint="eastAsia" w:ascii="宋体" w:hAnsi="宋体"/>
          <w:sz w:val="28"/>
          <w:szCs w:val="28"/>
          <w:lang w:val="en-US" w:eastAsia="zh-CN"/>
        </w:rPr>
        <w:t>名称、配料表、</w:t>
      </w:r>
      <w:r>
        <w:rPr>
          <w:rFonts w:hint="eastAsia" w:ascii="宋体" w:hAnsi="宋体"/>
          <w:sz w:val="28"/>
          <w:szCs w:val="28"/>
        </w:rPr>
        <w:t>生产厂家、</w:t>
      </w:r>
      <w:r>
        <w:rPr>
          <w:rFonts w:hint="eastAsia" w:ascii="宋体" w:hAnsi="宋体"/>
          <w:sz w:val="28"/>
          <w:szCs w:val="28"/>
          <w:lang w:val="en-US" w:eastAsia="zh-CN"/>
        </w:rPr>
        <w:t>净含量、</w:t>
      </w:r>
      <w:r>
        <w:rPr>
          <w:rFonts w:hint="eastAsia" w:ascii="宋体" w:hAnsi="宋体"/>
          <w:sz w:val="28"/>
          <w:szCs w:val="28"/>
        </w:rPr>
        <w:t>生产</w:t>
      </w:r>
      <w:r>
        <w:rPr>
          <w:rFonts w:hint="eastAsia" w:ascii="宋体" w:hAnsi="宋体"/>
          <w:sz w:val="28"/>
          <w:szCs w:val="28"/>
          <w:lang w:val="en-US" w:eastAsia="zh-CN"/>
        </w:rPr>
        <w:t>日期、</w:t>
      </w:r>
      <w:r>
        <w:rPr>
          <w:rFonts w:hint="eastAsia" w:ascii="宋体" w:hAnsi="宋体"/>
          <w:sz w:val="28"/>
          <w:szCs w:val="28"/>
        </w:rPr>
        <w:t>生产批号、保质期、</w:t>
      </w:r>
      <w:r>
        <w:rPr>
          <w:rFonts w:hint="eastAsia" w:ascii="宋体" w:hAnsi="宋体"/>
          <w:sz w:val="28"/>
          <w:szCs w:val="28"/>
          <w:lang w:val="en-US" w:eastAsia="zh-CN"/>
        </w:rPr>
        <w:t>贮存条件、“</w:t>
      </w:r>
      <w:r>
        <w:rPr>
          <w:rFonts w:hint="eastAsia" w:ascii="宋体" w:hAnsi="宋体"/>
          <w:sz w:val="28"/>
          <w:szCs w:val="28"/>
        </w:rPr>
        <w:t>非转基因</w:t>
      </w:r>
      <w:r>
        <w:rPr>
          <w:rFonts w:hint="eastAsia" w:ascii="宋体" w:hAnsi="宋体"/>
          <w:sz w:val="28"/>
          <w:szCs w:val="28"/>
          <w:lang w:eastAsia="zh-CN"/>
        </w:rPr>
        <w:t>”</w:t>
      </w:r>
      <w:r>
        <w:rPr>
          <w:rFonts w:hint="eastAsia" w:ascii="宋体" w:hAnsi="宋体"/>
          <w:sz w:val="28"/>
          <w:szCs w:val="28"/>
        </w:rPr>
        <w:t>字样、产品执行标准、质量等级。</w:t>
      </w:r>
    </w:p>
    <w:p w14:paraId="6EA560A4">
      <w:pPr>
        <w:widowControl/>
        <w:spacing w:before="100" w:beforeAutospacing="1" w:line="450" w:lineRule="atLeast"/>
        <w:ind w:right="-105" w:rightChars="-50"/>
        <w:jc w:val="left"/>
        <w:textAlignment w:val="baseline"/>
        <w:rPr>
          <w:rFonts w:hint="eastAsia" w:ascii="宋体" w:hAnsi="宋体" w:eastAsia="宋体"/>
          <w:sz w:val="28"/>
          <w:szCs w:val="28"/>
          <w:lang w:eastAsia="zh-CN"/>
        </w:rPr>
      </w:pPr>
      <w:r>
        <w:rPr>
          <w:rFonts w:hint="eastAsia" w:ascii="宋体" w:hAnsi="宋体"/>
          <w:sz w:val="28"/>
          <w:szCs w:val="28"/>
        </w:rPr>
        <w:t>2. 包装规格</w:t>
      </w:r>
      <w:r>
        <w:rPr>
          <w:rFonts w:hint="eastAsia" w:ascii="宋体" w:hAnsi="宋体"/>
          <w:sz w:val="28"/>
          <w:szCs w:val="28"/>
          <w:lang w:eastAsia="zh-CN"/>
        </w:rPr>
        <w:t>：</w:t>
      </w:r>
    </w:p>
    <w:p w14:paraId="66D903D2">
      <w:pPr>
        <w:widowControl/>
        <w:spacing w:before="100" w:beforeAutospacing="1" w:line="450" w:lineRule="atLeast"/>
        <w:ind w:right="-105" w:rightChars="-50"/>
        <w:jc w:val="left"/>
        <w:textAlignment w:val="baseline"/>
        <w:rPr>
          <w:rFonts w:hint="eastAsia" w:ascii="宋体" w:hAnsi="宋体"/>
          <w:sz w:val="28"/>
          <w:szCs w:val="28"/>
        </w:rPr>
      </w:pPr>
      <w:r>
        <w:rPr>
          <w:rFonts w:hint="eastAsia" w:ascii="宋体" w:hAnsi="宋体"/>
          <w:sz w:val="28"/>
          <w:szCs w:val="28"/>
        </w:rPr>
        <w:t>包装规格20升/桶，桶体密封完好无渗漏，标签标识清晰完整。</w:t>
      </w:r>
    </w:p>
    <w:p w14:paraId="72294F6C">
      <w:pPr>
        <w:widowControl/>
        <w:spacing w:before="100" w:beforeAutospacing="1" w:line="450" w:lineRule="atLeast"/>
        <w:ind w:right="-105" w:rightChars="-50"/>
        <w:jc w:val="left"/>
        <w:textAlignment w:val="baseline"/>
        <w:rPr>
          <w:rFonts w:hint="eastAsia" w:ascii="宋体" w:hAnsi="宋体" w:eastAsia="宋体"/>
          <w:sz w:val="28"/>
          <w:szCs w:val="28"/>
          <w:lang w:eastAsia="zh-CN"/>
        </w:rPr>
      </w:pPr>
      <w:r>
        <w:rPr>
          <w:rFonts w:hint="eastAsia" w:ascii="宋体" w:hAnsi="宋体"/>
          <w:sz w:val="28"/>
          <w:szCs w:val="28"/>
        </w:rPr>
        <w:t>3. 油品技术要求</w:t>
      </w:r>
      <w:r>
        <w:rPr>
          <w:rFonts w:hint="eastAsia" w:ascii="宋体" w:hAnsi="宋体"/>
          <w:sz w:val="28"/>
          <w:szCs w:val="28"/>
          <w:lang w:eastAsia="zh-CN"/>
        </w:rPr>
        <w:t>：</w:t>
      </w:r>
    </w:p>
    <w:p w14:paraId="18B66420">
      <w:pPr>
        <w:widowControl/>
        <w:spacing w:before="100" w:beforeAutospacing="1" w:line="450" w:lineRule="atLeast"/>
        <w:ind w:left="-105" w:leftChars="-50" w:right="-105" w:rightChars="-50"/>
        <w:jc w:val="left"/>
        <w:textAlignment w:val="baseline"/>
        <w:rPr>
          <w:rFonts w:hint="eastAsia" w:ascii="宋体" w:hAnsi="宋体"/>
          <w:sz w:val="28"/>
          <w:szCs w:val="28"/>
        </w:rPr>
      </w:pPr>
      <w:r>
        <w:rPr>
          <w:rFonts w:hint="eastAsia" w:ascii="宋体" w:hAnsi="宋体"/>
          <w:sz w:val="28"/>
          <w:szCs w:val="28"/>
        </w:rPr>
        <w:t>（1）一级非转基因大豆油：执行</w:t>
      </w:r>
      <w:r>
        <w:rPr>
          <w:rFonts w:hint="eastAsia" w:ascii="宋体" w:hAnsi="宋体"/>
          <w:sz w:val="28"/>
          <w:szCs w:val="28"/>
          <w:lang w:val="en-US" w:eastAsia="zh-CN"/>
        </w:rPr>
        <w:t>《</w:t>
      </w:r>
      <w:r>
        <w:rPr>
          <w:rFonts w:hint="eastAsia" w:ascii="宋体" w:hAnsi="宋体"/>
          <w:sz w:val="28"/>
          <w:szCs w:val="28"/>
        </w:rPr>
        <w:t>大豆油</w:t>
      </w:r>
      <w:r>
        <w:rPr>
          <w:rFonts w:hint="eastAsia" w:ascii="宋体" w:hAnsi="宋体"/>
          <w:sz w:val="28"/>
          <w:szCs w:val="28"/>
          <w:lang w:eastAsia="zh-CN"/>
        </w:rPr>
        <w:t>》</w:t>
      </w:r>
      <w:r>
        <w:rPr>
          <w:rFonts w:hint="eastAsia" w:ascii="宋体" w:hAnsi="宋体"/>
          <w:sz w:val="28"/>
          <w:szCs w:val="28"/>
          <w:lang w:val="en-US" w:eastAsia="zh-CN"/>
        </w:rPr>
        <w:t>(</w:t>
      </w:r>
      <w:r>
        <w:rPr>
          <w:rFonts w:hint="eastAsia" w:ascii="宋体" w:hAnsi="宋体"/>
          <w:sz w:val="28"/>
          <w:szCs w:val="28"/>
        </w:rPr>
        <w:t>GB/T</w:t>
      </w:r>
      <w:r>
        <w:rPr>
          <w:rFonts w:hint="eastAsia" w:ascii="宋体" w:hAnsi="宋体"/>
          <w:sz w:val="28"/>
          <w:szCs w:val="28"/>
          <w:lang w:val="en-US" w:eastAsia="zh-CN"/>
        </w:rPr>
        <w:t xml:space="preserve"> </w:t>
      </w:r>
      <w:r>
        <w:rPr>
          <w:rFonts w:hint="eastAsia" w:ascii="宋体" w:hAnsi="宋体"/>
          <w:sz w:val="28"/>
          <w:szCs w:val="28"/>
        </w:rPr>
        <w:t>1535</w:t>
      </w:r>
      <w:r>
        <w:rPr>
          <w:rFonts w:hint="eastAsia" w:ascii="宋体" w:hAnsi="宋体"/>
          <w:sz w:val="28"/>
          <w:szCs w:val="28"/>
          <w:lang w:val="en-US" w:eastAsia="zh-CN"/>
        </w:rPr>
        <w:t>)现行有效版本标准</w:t>
      </w:r>
      <w:r>
        <w:rPr>
          <w:rFonts w:hint="eastAsia" w:ascii="宋体" w:hAnsi="宋体"/>
          <w:sz w:val="28"/>
          <w:szCs w:val="28"/>
        </w:rPr>
        <w:t>，原料为国产非转基因大豆；</w:t>
      </w:r>
      <w:r>
        <w:rPr>
          <w:rFonts w:hint="eastAsia" w:ascii="宋体" w:hAnsi="宋体"/>
          <w:sz w:val="28"/>
          <w:szCs w:val="28"/>
          <w:lang w:val="en-US" w:eastAsia="zh-CN"/>
        </w:rPr>
        <w:t>产品</w:t>
      </w:r>
      <w:r>
        <w:rPr>
          <w:rFonts w:hint="eastAsia" w:ascii="宋体" w:hAnsi="宋体"/>
          <w:sz w:val="28"/>
          <w:szCs w:val="28"/>
        </w:rPr>
        <w:t>符合</w:t>
      </w:r>
      <w:r>
        <w:rPr>
          <w:rFonts w:hint="eastAsia" w:ascii="宋体" w:hAnsi="宋体"/>
          <w:sz w:val="28"/>
          <w:szCs w:val="28"/>
          <w:lang w:val="en-US" w:eastAsia="zh-CN"/>
        </w:rPr>
        <w:t>(</w:t>
      </w:r>
      <w:r>
        <w:rPr>
          <w:rFonts w:hint="eastAsia" w:ascii="宋体" w:hAnsi="宋体"/>
          <w:sz w:val="28"/>
          <w:szCs w:val="28"/>
        </w:rPr>
        <w:t>GB</w:t>
      </w:r>
      <w:r>
        <w:rPr>
          <w:rFonts w:hint="eastAsia" w:ascii="宋体" w:hAnsi="宋体"/>
          <w:sz w:val="28"/>
          <w:szCs w:val="28"/>
          <w:lang w:val="en-US" w:eastAsia="zh-CN"/>
        </w:rPr>
        <w:t xml:space="preserve"> </w:t>
      </w:r>
      <w:r>
        <w:rPr>
          <w:rFonts w:hint="eastAsia" w:ascii="宋体" w:hAnsi="宋体"/>
          <w:sz w:val="28"/>
          <w:szCs w:val="28"/>
        </w:rPr>
        <w:t>2716</w:t>
      </w:r>
      <w:r>
        <w:rPr>
          <w:rFonts w:hint="eastAsia" w:ascii="宋体" w:hAnsi="宋体"/>
          <w:sz w:val="28"/>
          <w:szCs w:val="28"/>
          <w:lang w:val="en-US" w:eastAsia="zh-CN"/>
        </w:rPr>
        <w:t>)现行有效版本要求</w:t>
      </w:r>
      <w:r>
        <w:rPr>
          <w:rFonts w:hint="eastAsia" w:ascii="宋体" w:hAnsi="宋体"/>
          <w:sz w:val="28"/>
          <w:szCs w:val="28"/>
          <w:lang w:eastAsia="zh-CN"/>
        </w:rPr>
        <w:t>；</w:t>
      </w:r>
      <w:r>
        <w:rPr>
          <w:rFonts w:hint="eastAsia" w:ascii="宋体" w:hAnsi="宋体"/>
          <w:sz w:val="28"/>
          <w:szCs w:val="28"/>
        </w:rPr>
        <w:t>溶剂残留不得检出，每批次随货附带检测报告。</w:t>
      </w:r>
    </w:p>
    <w:p w14:paraId="53B41C79">
      <w:pPr>
        <w:widowControl/>
        <w:spacing w:before="100" w:beforeAutospacing="1" w:line="450" w:lineRule="atLeast"/>
        <w:ind w:left="-105" w:leftChars="-50" w:right="-105" w:rightChars="-50"/>
        <w:jc w:val="left"/>
        <w:textAlignment w:val="baseline"/>
        <w:rPr>
          <w:rFonts w:hint="eastAsia" w:ascii="宋体" w:hAnsi="宋体"/>
          <w:sz w:val="28"/>
          <w:szCs w:val="28"/>
        </w:rPr>
      </w:pPr>
      <w:r>
        <w:rPr>
          <w:rFonts w:hint="eastAsia" w:ascii="宋体" w:hAnsi="宋体"/>
          <w:sz w:val="28"/>
          <w:szCs w:val="28"/>
        </w:rPr>
        <w:t>（2）一级非转基因菜籽油：执行</w:t>
      </w:r>
      <w:r>
        <w:rPr>
          <w:rFonts w:hint="eastAsia" w:ascii="宋体" w:hAnsi="宋体"/>
          <w:sz w:val="28"/>
          <w:szCs w:val="28"/>
          <w:lang w:val="en-US" w:eastAsia="zh-CN"/>
        </w:rPr>
        <w:t>《菜籽</w:t>
      </w:r>
      <w:r>
        <w:rPr>
          <w:rFonts w:hint="eastAsia" w:ascii="宋体" w:hAnsi="宋体"/>
          <w:sz w:val="28"/>
          <w:szCs w:val="28"/>
        </w:rPr>
        <w:t>油</w:t>
      </w:r>
      <w:r>
        <w:rPr>
          <w:rFonts w:hint="eastAsia" w:ascii="宋体" w:hAnsi="宋体"/>
          <w:sz w:val="28"/>
          <w:szCs w:val="28"/>
          <w:lang w:eastAsia="zh-CN"/>
        </w:rPr>
        <w:t>》</w:t>
      </w:r>
      <w:r>
        <w:rPr>
          <w:rFonts w:hint="eastAsia" w:ascii="宋体" w:hAnsi="宋体"/>
          <w:sz w:val="28"/>
          <w:szCs w:val="28"/>
          <w:lang w:val="en-US" w:eastAsia="zh-CN"/>
        </w:rPr>
        <w:t>(</w:t>
      </w:r>
      <w:r>
        <w:rPr>
          <w:rFonts w:hint="eastAsia" w:ascii="宋体" w:hAnsi="宋体"/>
          <w:sz w:val="28"/>
          <w:szCs w:val="28"/>
        </w:rPr>
        <w:t>GB/T</w:t>
      </w:r>
      <w:r>
        <w:rPr>
          <w:rFonts w:hint="eastAsia" w:ascii="宋体" w:hAnsi="宋体"/>
          <w:sz w:val="28"/>
          <w:szCs w:val="28"/>
          <w:lang w:val="en-US" w:eastAsia="zh-CN"/>
        </w:rPr>
        <w:t xml:space="preserve"> </w:t>
      </w:r>
      <w:r>
        <w:rPr>
          <w:rFonts w:hint="eastAsia" w:ascii="宋体" w:hAnsi="宋体"/>
          <w:sz w:val="28"/>
          <w:szCs w:val="28"/>
        </w:rPr>
        <w:t>1536</w:t>
      </w:r>
      <w:r>
        <w:rPr>
          <w:rFonts w:hint="eastAsia" w:ascii="宋体" w:hAnsi="宋体"/>
          <w:sz w:val="28"/>
          <w:szCs w:val="28"/>
          <w:lang w:val="en-US" w:eastAsia="zh-CN"/>
        </w:rPr>
        <w:t>)现行有效版本</w:t>
      </w:r>
      <w:r>
        <w:rPr>
          <w:rFonts w:hint="eastAsia" w:ascii="宋体" w:hAnsi="宋体"/>
          <w:sz w:val="28"/>
          <w:szCs w:val="28"/>
        </w:rPr>
        <w:t>标准，芥酸≤3%；原料为国产非转基因油菜籽；</w:t>
      </w:r>
      <w:r>
        <w:rPr>
          <w:rFonts w:hint="eastAsia" w:ascii="宋体" w:hAnsi="宋体"/>
          <w:sz w:val="28"/>
          <w:szCs w:val="28"/>
          <w:lang w:val="en-US" w:eastAsia="zh-CN"/>
        </w:rPr>
        <w:t>产品</w:t>
      </w:r>
      <w:r>
        <w:rPr>
          <w:rFonts w:hint="eastAsia" w:ascii="宋体" w:hAnsi="宋体"/>
          <w:sz w:val="28"/>
          <w:szCs w:val="28"/>
        </w:rPr>
        <w:t>符合</w:t>
      </w:r>
      <w:r>
        <w:rPr>
          <w:rFonts w:hint="eastAsia" w:ascii="宋体" w:hAnsi="宋体"/>
          <w:sz w:val="28"/>
          <w:szCs w:val="28"/>
          <w:lang w:val="en-US" w:eastAsia="zh-CN"/>
        </w:rPr>
        <w:t>(</w:t>
      </w:r>
      <w:r>
        <w:rPr>
          <w:rFonts w:hint="eastAsia" w:ascii="宋体" w:hAnsi="宋体"/>
          <w:sz w:val="28"/>
          <w:szCs w:val="28"/>
        </w:rPr>
        <w:t>GB</w:t>
      </w:r>
      <w:r>
        <w:rPr>
          <w:rFonts w:hint="eastAsia" w:ascii="宋体" w:hAnsi="宋体"/>
          <w:sz w:val="28"/>
          <w:szCs w:val="28"/>
          <w:lang w:val="en-US" w:eastAsia="zh-CN"/>
        </w:rPr>
        <w:t xml:space="preserve"> </w:t>
      </w:r>
      <w:r>
        <w:rPr>
          <w:rFonts w:hint="eastAsia" w:ascii="宋体" w:hAnsi="宋体"/>
          <w:sz w:val="28"/>
          <w:szCs w:val="28"/>
        </w:rPr>
        <w:t>2716</w:t>
      </w:r>
      <w:r>
        <w:rPr>
          <w:rFonts w:hint="eastAsia" w:ascii="宋体" w:hAnsi="宋体"/>
          <w:sz w:val="28"/>
          <w:szCs w:val="28"/>
          <w:lang w:val="en-US" w:eastAsia="zh-CN"/>
        </w:rPr>
        <w:t>)现行有效版本要求</w:t>
      </w:r>
      <w:r>
        <w:rPr>
          <w:rFonts w:hint="eastAsia" w:ascii="宋体" w:hAnsi="宋体"/>
          <w:sz w:val="28"/>
          <w:szCs w:val="28"/>
          <w:lang w:eastAsia="zh-CN"/>
        </w:rPr>
        <w:t>；</w:t>
      </w:r>
      <w:r>
        <w:rPr>
          <w:rFonts w:hint="eastAsia" w:ascii="宋体" w:hAnsi="宋体"/>
          <w:sz w:val="28"/>
          <w:szCs w:val="28"/>
        </w:rPr>
        <w:t>溶剂残留不得检出，提供批次检测报告及原料溯源材料。</w:t>
      </w:r>
    </w:p>
    <w:p w14:paraId="62AB3BCD">
      <w:pPr>
        <w:widowControl/>
        <w:spacing w:before="100" w:beforeAutospacing="1" w:line="450" w:lineRule="atLeast"/>
        <w:ind w:left="-105" w:leftChars="-50" w:right="-105" w:rightChars="-50"/>
        <w:jc w:val="left"/>
        <w:textAlignment w:val="baseline"/>
        <w:rPr>
          <w:rFonts w:ascii="宋体" w:hAnsi="宋体" w:cs="宋体"/>
          <w:b/>
          <w:color w:val="000000"/>
          <w:kern w:val="0"/>
          <w:sz w:val="28"/>
          <w:szCs w:val="28"/>
        </w:rPr>
      </w:pPr>
      <w:r>
        <w:rPr>
          <w:rFonts w:hint="eastAsia" w:ascii="宋体" w:hAnsi="宋体" w:cs="宋体"/>
          <w:b/>
          <w:color w:val="000000"/>
          <w:kern w:val="0"/>
          <w:sz w:val="28"/>
          <w:szCs w:val="28"/>
        </w:rPr>
        <w:t>五、采购标的</w:t>
      </w:r>
      <w:r>
        <w:rPr>
          <w:rFonts w:ascii="宋体" w:hAnsi="宋体" w:cs="宋体"/>
          <w:b/>
          <w:color w:val="000000"/>
          <w:kern w:val="0"/>
          <w:sz w:val="28"/>
          <w:szCs w:val="28"/>
        </w:rPr>
        <w:t>的数量</w:t>
      </w:r>
      <w:r>
        <w:rPr>
          <w:rFonts w:hint="eastAsia" w:ascii="宋体" w:hAnsi="宋体" w:cs="宋体"/>
          <w:b/>
          <w:color w:val="000000"/>
          <w:kern w:val="0"/>
          <w:sz w:val="28"/>
          <w:szCs w:val="28"/>
        </w:rPr>
        <w:t>、采购项目、投标报价</w:t>
      </w:r>
    </w:p>
    <w:p w14:paraId="4BF100C0">
      <w:pPr>
        <w:pStyle w:val="18"/>
        <w:widowControl/>
        <w:numPr>
          <w:ilvl w:val="0"/>
          <w:numId w:val="3"/>
        </w:numPr>
        <w:spacing w:before="100" w:beforeAutospacing="1" w:line="450" w:lineRule="atLeast"/>
        <w:ind w:left="-105" w:leftChars="-50" w:right="-105" w:rightChars="-50" w:firstLineChars="0"/>
        <w:jc w:val="left"/>
        <w:textAlignment w:val="baseline"/>
        <w:rPr>
          <w:rFonts w:ascii="宋体" w:hAnsi="宋体" w:cs="宋体"/>
          <w:color w:val="000000"/>
          <w:kern w:val="0"/>
          <w:sz w:val="28"/>
          <w:szCs w:val="28"/>
        </w:rPr>
      </w:pPr>
      <w:r>
        <w:rPr>
          <w:rFonts w:hint="eastAsia" w:ascii="宋体" w:hAnsi="宋体" w:cs="宋体"/>
          <w:color w:val="000000"/>
          <w:kern w:val="0"/>
          <w:sz w:val="28"/>
          <w:szCs w:val="28"/>
        </w:rPr>
        <w:t>采购标的：食用油</w:t>
      </w:r>
    </w:p>
    <w:tbl>
      <w:tblPr>
        <w:tblStyle w:val="9"/>
        <w:tblW w:w="9110" w:type="dxa"/>
        <w:tblInd w:w="-1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0"/>
        <w:gridCol w:w="1330"/>
        <w:gridCol w:w="1500"/>
        <w:gridCol w:w="1776"/>
        <w:gridCol w:w="2324"/>
      </w:tblGrid>
      <w:tr w14:paraId="116BD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17" w:hRule="atLeast"/>
        </w:trPr>
        <w:tc>
          <w:tcPr>
            <w:tcW w:w="2180" w:type="dxa"/>
            <w:vAlign w:val="center"/>
          </w:tcPr>
          <w:p w14:paraId="15884AC8">
            <w:pPr>
              <w:widowControl/>
              <w:spacing w:before="100" w:beforeAutospacing="1" w:line="450" w:lineRule="atLeast"/>
              <w:ind w:left="-105" w:leftChars="-50" w:right="-105" w:rightChars="-50"/>
              <w:jc w:val="center"/>
              <w:textAlignment w:val="baseline"/>
              <w:rPr>
                <w:rFonts w:ascii="宋体" w:hAnsi="宋体" w:cs="宋体"/>
                <w:color w:val="000000"/>
                <w:kern w:val="0"/>
                <w:szCs w:val="21"/>
              </w:rPr>
            </w:pPr>
            <w:r>
              <w:rPr>
                <w:rFonts w:hint="eastAsia" w:ascii="宋体" w:hAnsi="宋体" w:cs="宋体"/>
                <w:color w:val="000000"/>
                <w:kern w:val="0"/>
                <w:szCs w:val="21"/>
              </w:rPr>
              <w:t>采购名称</w:t>
            </w:r>
          </w:p>
        </w:tc>
        <w:tc>
          <w:tcPr>
            <w:tcW w:w="1330" w:type="dxa"/>
            <w:vAlign w:val="center"/>
          </w:tcPr>
          <w:p w14:paraId="5B48E052">
            <w:pPr>
              <w:widowControl/>
              <w:spacing w:before="100" w:beforeAutospacing="1" w:line="450" w:lineRule="atLeast"/>
              <w:ind w:left="-105" w:leftChars="-50" w:right="-105" w:rightChars="-50"/>
              <w:jc w:val="center"/>
              <w:textAlignment w:val="baseline"/>
              <w:rPr>
                <w:rFonts w:ascii="宋体" w:hAnsi="宋体" w:cs="宋体"/>
                <w:color w:val="000000"/>
                <w:kern w:val="0"/>
                <w:szCs w:val="21"/>
              </w:rPr>
            </w:pPr>
            <w:r>
              <w:rPr>
                <w:rFonts w:hint="eastAsia" w:ascii="宋体" w:hAnsi="宋体" w:cs="宋体"/>
                <w:color w:val="000000"/>
                <w:kern w:val="0"/>
                <w:szCs w:val="21"/>
              </w:rPr>
              <w:t>预估采购数量</w:t>
            </w:r>
          </w:p>
        </w:tc>
        <w:tc>
          <w:tcPr>
            <w:tcW w:w="1500" w:type="dxa"/>
            <w:vAlign w:val="center"/>
          </w:tcPr>
          <w:p w14:paraId="7E20DE7C">
            <w:pPr>
              <w:widowControl/>
              <w:spacing w:before="100" w:beforeAutospacing="1" w:line="450" w:lineRule="atLeast"/>
              <w:ind w:right="-105" w:rightChars="-50"/>
              <w:textAlignment w:val="baseline"/>
              <w:rPr>
                <w:rFonts w:ascii="宋体" w:hAnsi="宋体" w:cs="宋体"/>
                <w:color w:val="000000"/>
                <w:kern w:val="0"/>
                <w:szCs w:val="21"/>
              </w:rPr>
            </w:pPr>
            <w:r>
              <w:rPr>
                <w:rFonts w:hint="eastAsia" w:ascii="宋体" w:hAnsi="宋体" w:cs="宋体"/>
                <w:color w:val="000000"/>
                <w:kern w:val="0"/>
                <w:szCs w:val="21"/>
              </w:rPr>
              <w:t>品牌、包装规格</w:t>
            </w:r>
          </w:p>
        </w:tc>
        <w:tc>
          <w:tcPr>
            <w:tcW w:w="1776" w:type="dxa"/>
          </w:tcPr>
          <w:p w14:paraId="4E1F2383">
            <w:pPr>
              <w:widowControl/>
              <w:spacing w:beforeLines="100" w:line="480" w:lineRule="auto"/>
              <w:ind w:right="-105" w:rightChars="-50"/>
              <w:textAlignment w:val="baseline"/>
              <w:rPr>
                <w:rFonts w:ascii="宋体" w:hAnsi="宋体" w:cs="宋体"/>
                <w:color w:val="000000"/>
                <w:kern w:val="0"/>
                <w:szCs w:val="21"/>
              </w:rPr>
            </w:pPr>
            <w:r>
              <w:rPr>
                <w:rFonts w:hint="eastAsia" w:ascii="宋体" w:hAnsi="宋体" w:cs="宋体"/>
                <w:color w:val="000000"/>
                <w:kern w:val="0"/>
                <w:szCs w:val="21"/>
              </w:rPr>
              <w:t>固定单价：元/桶</w:t>
            </w:r>
          </w:p>
        </w:tc>
        <w:tc>
          <w:tcPr>
            <w:tcW w:w="2324" w:type="dxa"/>
          </w:tcPr>
          <w:p w14:paraId="257C580E">
            <w:pPr>
              <w:widowControl/>
              <w:spacing w:before="100" w:beforeAutospacing="1" w:line="450" w:lineRule="atLeast"/>
              <w:ind w:left="-105" w:leftChars="-50" w:right="-105" w:rightChars="-50"/>
              <w:jc w:val="center"/>
              <w:textAlignment w:val="baseline"/>
              <w:rPr>
                <w:rFonts w:hint="eastAsia" w:ascii="宋体" w:hAnsi="宋体" w:cs="宋体"/>
                <w:color w:val="000000"/>
                <w:kern w:val="0"/>
                <w:szCs w:val="21"/>
              </w:rPr>
            </w:pPr>
            <w:r>
              <w:rPr>
                <w:rFonts w:hint="eastAsia" w:ascii="宋体" w:hAnsi="宋体" w:cs="宋体"/>
                <w:color w:val="000000"/>
                <w:kern w:val="0"/>
                <w:szCs w:val="21"/>
              </w:rPr>
              <w:t>合计金额</w:t>
            </w:r>
          </w:p>
          <w:p w14:paraId="6160EBF5">
            <w:pPr>
              <w:widowControl/>
              <w:spacing w:before="100" w:beforeAutospacing="1" w:line="450" w:lineRule="atLeast"/>
              <w:ind w:left="-105" w:leftChars="-50" w:right="-105" w:rightChars="-50"/>
              <w:jc w:val="left"/>
              <w:textAlignment w:val="baseline"/>
              <w:rPr>
                <w:rFonts w:ascii="宋体" w:hAnsi="宋体" w:cs="宋体"/>
                <w:color w:val="000000"/>
                <w:kern w:val="0"/>
                <w:szCs w:val="21"/>
              </w:rPr>
            </w:pPr>
            <w:r>
              <w:rPr>
                <w:rFonts w:hint="eastAsia" w:ascii="宋体" w:hAnsi="宋体" w:cs="宋体"/>
                <w:color w:val="000000"/>
                <w:kern w:val="0"/>
                <w:szCs w:val="21"/>
              </w:rPr>
              <w:t>（预估数量</w:t>
            </w:r>
            <w:r>
              <w:rPr>
                <w:rFonts w:hint="eastAsia" w:ascii="等线" w:hAnsi="等线" w:eastAsia="等线" w:cs="宋体"/>
                <w:color w:val="000000"/>
                <w:kern w:val="0"/>
                <w:szCs w:val="21"/>
              </w:rPr>
              <w:t>◊固定</w:t>
            </w:r>
            <w:r>
              <w:rPr>
                <w:rFonts w:hint="eastAsia" w:ascii="宋体" w:hAnsi="宋体" w:cs="宋体"/>
                <w:color w:val="000000"/>
                <w:kern w:val="0"/>
                <w:szCs w:val="21"/>
              </w:rPr>
              <w:t>单价）</w:t>
            </w:r>
          </w:p>
        </w:tc>
      </w:tr>
      <w:tr w14:paraId="3903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2180" w:type="dxa"/>
            <w:vAlign w:val="center"/>
          </w:tcPr>
          <w:p w14:paraId="3EB3A0DC">
            <w:pPr>
              <w:widowControl/>
              <w:spacing w:before="100" w:beforeAutospacing="1" w:line="450" w:lineRule="atLeast"/>
              <w:ind w:left="-105" w:leftChars="-50" w:right="-105" w:rightChars="-50"/>
              <w:jc w:val="center"/>
              <w:textAlignment w:val="baseline"/>
              <w:rPr>
                <w:rFonts w:ascii="宋体" w:hAnsi="宋体" w:cs="宋体"/>
                <w:color w:val="000000"/>
                <w:kern w:val="0"/>
                <w:szCs w:val="21"/>
              </w:rPr>
            </w:pPr>
            <w:r>
              <w:rPr>
                <w:rFonts w:hint="eastAsia" w:ascii="宋体" w:hAnsi="宋体" w:cs="宋体"/>
                <w:color w:val="000000"/>
                <w:kern w:val="0"/>
                <w:szCs w:val="21"/>
              </w:rPr>
              <w:t>一级大豆油（非转基因）</w:t>
            </w:r>
          </w:p>
        </w:tc>
        <w:tc>
          <w:tcPr>
            <w:tcW w:w="1330" w:type="dxa"/>
            <w:vAlign w:val="center"/>
          </w:tcPr>
          <w:p w14:paraId="38F68D49">
            <w:pPr>
              <w:widowControl/>
              <w:spacing w:before="100" w:beforeAutospacing="1" w:line="450" w:lineRule="atLeast"/>
              <w:ind w:left="-105" w:leftChars="-50" w:right="-105" w:rightChars="-50"/>
              <w:jc w:val="center"/>
              <w:textAlignment w:val="baseline"/>
              <w:rPr>
                <w:rFonts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000桶</w:t>
            </w:r>
          </w:p>
        </w:tc>
        <w:tc>
          <w:tcPr>
            <w:tcW w:w="1500" w:type="dxa"/>
            <w:vAlign w:val="center"/>
          </w:tcPr>
          <w:p w14:paraId="23FEC20B">
            <w:pPr>
              <w:widowControl/>
              <w:spacing w:before="100" w:beforeAutospacing="1" w:line="450" w:lineRule="atLeast"/>
              <w:ind w:left="-105" w:leftChars="-50" w:right="-105" w:rightChars="-50"/>
              <w:jc w:val="center"/>
              <w:textAlignment w:val="baseline"/>
              <w:rPr>
                <w:rFonts w:ascii="宋体" w:hAnsi="宋体" w:cs="宋体"/>
                <w:color w:val="000000"/>
                <w:kern w:val="0"/>
                <w:szCs w:val="21"/>
              </w:rPr>
            </w:pPr>
          </w:p>
        </w:tc>
        <w:tc>
          <w:tcPr>
            <w:tcW w:w="1776" w:type="dxa"/>
          </w:tcPr>
          <w:p w14:paraId="782EC424">
            <w:pPr>
              <w:widowControl/>
              <w:spacing w:before="100" w:beforeAutospacing="1" w:line="450" w:lineRule="atLeast"/>
              <w:ind w:left="-105" w:leftChars="-50" w:right="-105" w:rightChars="-50"/>
              <w:jc w:val="center"/>
              <w:textAlignment w:val="baseline"/>
              <w:rPr>
                <w:rFonts w:ascii="宋体" w:hAnsi="宋体" w:cs="宋体"/>
                <w:color w:val="000000"/>
                <w:kern w:val="0"/>
                <w:szCs w:val="21"/>
              </w:rPr>
            </w:pPr>
          </w:p>
        </w:tc>
        <w:tc>
          <w:tcPr>
            <w:tcW w:w="2324" w:type="dxa"/>
          </w:tcPr>
          <w:p w14:paraId="289F674E">
            <w:pPr>
              <w:widowControl/>
              <w:spacing w:before="100" w:beforeAutospacing="1" w:line="450" w:lineRule="atLeast"/>
              <w:ind w:left="-105" w:leftChars="-50" w:right="-105" w:rightChars="-50"/>
              <w:jc w:val="center"/>
              <w:textAlignment w:val="baseline"/>
              <w:rPr>
                <w:rFonts w:ascii="宋体" w:hAnsi="宋体" w:cs="宋体"/>
                <w:color w:val="000000"/>
                <w:kern w:val="0"/>
                <w:szCs w:val="21"/>
              </w:rPr>
            </w:pPr>
          </w:p>
        </w:tc>
      </w:tr>
      <w:tr w14:paraId="5F54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2180" w:type="dxa"/>
            <w:vAlign w:val="center"/>
          </w:tcPr>
          <w:p w14:paraId="1C3030AF">
            <w:pPr>
              <w:widowControl/>
              <w:spacing w:before="100" w:beforeAutospacing="1" w:line="450" w:lineRule="atLeast"/>
              <w:ind w:left="-105" w:leftChars="-50" w:right="-105" w:rightChars="-50"/>
              <w:jc w:val="center"/>
              <w:textAlignment w:val="baseline"/>
              <w:rPr>
                <w:rFonts w:ascii="宋体" w:hAnsi="宋体" w:cs="宋体"/>
                <w:color w:val="000000"/>
                <w:kern w:val="0"/>
                <w:szCs w:val="21"/>
              </w:rPr>
            </w:pPr>
            <w:r>
              <w:rPr>
                <w:rFonts w:hint="eastAsia" w:ascii="宋体" w:hAnsi="宋体" w:cs="宋体"/>
                <w:color w:val="000000"/>
                <w:kern w:val="0"/>
                <w:szCs w:val="21"/>
                <w:lang w:val="en-US" w:eastAsia="zh-CN"/>
              </w:rPr>
              <w:t>一</w:t>
            </w:r>
            <w:r>
              <w:rPr>
                <w:rFonts w:hint="eastAsia" w:ascii="宋体" w:hAnsi="宋体" w:cs="宋体"/>
                <w:color w:val="000000"/>
                <w:kern w:val="0"/>
                <w:szCs w:val="21"/>
              </w:rPr>
              <w:t>级菜籽油（非转基因）</w:t>
            </w:r>
          </w:p>
        </w:tc>
        <w:tc>
          <w:tcPr>
            <w:tcW w:w="1330" w:type="dxa"/>
            <w:vAlign w:val="center"/>
          </w:tcPr>
          <w:p w14:paraId="1D2C6D51">
            <w:pPr>
              <w:widowControl/>
              <w:spacing w:before="100" w:beforeAutospacing="1" w:line="450" w:lineRule="atLeast"/>
              <w:ind w:left="-105" w:leftChars="-50" w:right="-105" w:rightChars="-50"/>
              <w:jc w:val="center"/>
              <w:textAlignment w:val="baseline"/>
              <w:rPr>
                <w:rFonts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000</w:t>
            </w:r>
            <w:r>
              <w:rPr>
                <w:rFonts w:hint="eastAsia" w:ascii="宋体" w:hAnsi="宋体" w:cs="宋体"/>
                <w:kern w:val="0"/>
                <w:szCs w:val="21"/>
              </w:rPr>
              <w:t>桶</w:t>
            </w:r>
          </w:p>
        </w:tc>
        <w:tc>
          <w:tcPr>
            <w:tcW w:w="1500" w:type="dxa"/>
            <w:vAlign w:val="center"/>
          </w:tcPr>
          <w:p w14:paraId="11CB704B">
            <w:pPr>
              <w:widowControl/>
              <w:spacing w:before="100" w:beforeAutospacing="1" w:line="450" w:lineRule="atLeast"/>
              <w:ind w:left="-105" w:leftChars="-50" w:right="-105" w:rightChars="-50"/>
              <w:jc w:val="center"/>
              <w:textAlignment w:val="baseline"/>
              <w:rPr>
                <w:rFonts w:ascii="宋体" w:hAnsi="宋体" w:cs="宋体"/>
                <w:color w:val="000000"/>
                <w:kern w:val="0"/>
                <w:szCs w:val="21"/>
              </w:rPr>
            </w:pPr>
          </w:p>
        </w:tc>
        <w:tc>
          <w:tcPr>
            <w:tcW w:w="1776" w:type="dxa"/>
          </w:tcPr>
          <w:p w14:paraId="514A8A09">
            <w:pPr>
              <w:widowControl/>
              <w:spacing w:before="100" w:beforeAutospacing="1" w:line="450" w:lineRule="atLeast"/>
              <w:ind w:left="-105" w:leftChars="-50" w:right="-105" w:rightChars="-50"/>
              <w:jc w:val="center"/>
              <w:textAlignment w:val="baseline"/>
              <w:rPr>
                <w:rFonts w:ascii="宋体" w:hAnsi="宋体" w:cs="宋体"/>
                <w:color w:val="000000"/>
                <w:kern w:val="0"/>
                <w:szCs w:val="21"/>
              </w:rPr>
            </w:pPr>
          </w:p>
        </w:tc>
        <w:tc>
          <w:tcPr>
            <w:tcW w:w="2324" w:type="dxa"/>
          </w:tcPr>
          <w:p w14:paraId="1FAD39DC">
            <w:pPr>
              <w:widowControl/>
              <w:spacing w:before="100" w:beforeAutospacing="1" w:line="450" w:lineRule="atLeast"/>
              <w:ind w:left="-105" w:leftChars="-50" w:right="-105" w:rightChars="-50"/>
              <w:jc w:val="center"/>
              <w:textAlignment w:val="baseline"/>
              <w:rPr>
                <w:rFonts w:ascii="宋体" w:hAnsi="宋体" w:cs="宋体"/>
                <w:color w:val="000000"/>
                <w:kern w:val="0"/>
                <w:szCs w:val="21"/>
              </w:rPr>
            </w:pPr>
          </w:p>
        </w:tc>
      </w:tr>
      <w:tr w14:paraId="4352B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8" w:hRule="atLeast"/>
        </w:trPr>
        <w:tc>
          <w:tcPr>
            <w:tcW w:w="6786" w:type="dxa"/>
            <w:gridSpan w:val="4"/>
          </w:tcPr>
          <w:p w14:paraId="0C339E82">
            <w:pPr>
              <w:widowControl/>
              <w:spacing w:before="100" w:beforeAutospacing="1" w:line="450" w:lineRule="atLeast"/>
              <w:ind w:left="-105" w:leftChars="-50" w:right="-105" w:rightChars="-50"/>
              <w:jc w:val="left"/>
              <w:textAlignment w:val="baseline"/>
              <w:rPr>
                <w:rFonts w:ascii="宋体" w:hAnsi="宋体" w:cs="宋体"/>
                <w:b/>
                <w:bCs/>
                <w:color w:val="000000"/>
                <w:kern w:val="0"/>
                <w:szCs w:val="21"/>
              </w:rPr>
            </w:pPr>
            <w:r>
              <w:rPr>
                <w:rFonts w:hint="eastAsia" w:ascii="宋体" w:hAnsi="宋体" w:cs="宋体"/>
                <w:b/>
                <w:bCs/>
                <w:color w:val="000000"/>
                <w:kern w:val="0"/>
                <w:szCs w:val="21"/>
              </w:rPr>
              <w:t>投标报价</w:t>
            </w:r>
            <w:r>
              <w:rPr>
                <w:rFonts w:hint="eastAsia" w:ascii="宋体" w:hAnsi="宋体" w:cs="宋体"/>
                <w:b/>
                <w:bCs/>
                <w:color w:val="000000"/>
                <w:kern w:val="0"/>
                <w:szCs w:val="21"/>
                <w:lang w:eastAsia="zh-CN"/>
              </w:rPr>
              <w:t>（</w:t>
            </w:r>
            <w:r>
              <w:rPr>
                <w:rFonts w:hint="eastAsia" w:ascii="宋体" w:hAnsi="宋体" w:cs="宋体"/>
                <w:b/>
                <w:bCs/>
                <w:color w:val="000000"/>
                <w:kern w:val="0"/>
                <w:szCs w:val="21"/>
              </w:rPr>
              <w:t>一级大豆油（非转基因）合计金额</w:t>
            </w:r>
            <w:r>
              <w:rPr>
                <w:rFonts w:hint="eastAsia" w:ascii="宋体" w:hAnsi="宋体" w:cs="宋体"/>
                <w:b/>
                <w:bCs/>
                <w:color w:val="000000"/>
                <w:kern w:val="0"/>
                <w:szCs w:val="21"/>
                <w:lang w:val="en-US" w:eastAsia="zh-CN"/>
              </w:rPr>
              <w:t xml:space="preserve"> + 一</w:t>
            </w:r>
            <w:r>
              <w:rPr>
                <w:rFonts w:hint="eastAsia" w:ascii="宋体" w:hAnsi="宋体" w:cs="宋体"/>
                <w:b/>
                <w:bCs/>
                <w:color w:val="000000"/>
                <w:kern w:val="0"/>
                <w:szCs w:val="21"/>
              </w:rPr>
              <w:t>级菜籽油（非转基因）合计金额）：</w:t>
            </w:r>
          </w:p>
        </w:tc>
        <w:tc>
          <w:tcPr>
            <w:tcW w:w="2324" w:type="dxa"/>
          </w:tcPr>
          <w:p w14:paraId="2078C505">
            <w:pPr>
              <w:widowControl/>
              <w:spacing w:before="100" w:beforeAutospacing="1" w:line="450" w:lineRule="atLeast"/>
              <w:ind w:left="-105" w:leftChars="-50" w:right="-105" w:rightChars="-50"/>
              <w:jc w:val="center"/>
              <w:textAlignment w:val="baseline"/>
              <w:rPr>
                <w:rFonts w:ascii="宋体" w:hAnsi="宋体" w:cs="宋体"/>
                <w:color w:val="000000"/>
                <w:kern w:val="0"/>
                <w:szCs w:val="21"/>
              </w:rPr>
            </w:pPr>
          </w:p>
        </w:tc>
      </w:tr>
    </w:tbl>
    <w:p w14:paraId="71830AB1">
      <w:pPr>
        <w:pStyle w:val="18"/>
        <w:widowControl/>
        <w:numPr>
          <w:ilvl w:val="0"/>
          <w:numId w:val="3"/>
        </w:numPr>
        <w:spacing w:before="100" w:beforeAutospacing="1" w:line="450" w:lineRule="atLeast"/>
        <w:ind w:left="-105" w:leftChars="-50" w:right="-105" w:rightChars="-50" w:firstLineChars="0"/>
        <w:jc w:val="left"/>
        <w:textAlignment w:val="baseline"/>
        <w:rPr>
          <w:rFonts w:ascii="宋体" w:hAnsi="宋体" w:cs="宋体"/>
          <w:color w:val="000000"/>
          <w:kern w:val="0"/>
          <w:sz w:val="28"/>
          <w:szCs w:val="28"/>
        </w:rPr>
      </w:pPr>
      <w:r>
        <w:rPr>
          <w:rFonts w:hint="eastAsia" w:ascii="Calibri" w:hAnsi="Calibri" w:cs="宋体"/>
          <w:b/>
          <w:vanish/>
          <w:color w:val="000000"/>
          <w:kern w:val="0"/>
          <w:sz w:val="28"/>
          <w:szCs w:val="28"/>
        </w:rPr>
        <w:t>2</w:t>
      </w:r>
      <w:r>
        <w:rPr>
          <w:rFonts w:hint="eastAsia" w:ascii="宋体" w:hAnsi="宋体" w:cs="宋体"/>
          <w:color w:val="000000"/>
          <w:kern w:val="0"/>
          <w:sz w:val="28"/>
          <w:szCs w:val="28"/>
        </w:rPr>
        <w:t>投标报价：投标报价时需注明品牌和包装规格。结算金额=固定单价报价（元/桶）</w:t>
      </w:r>
      <w:r>
        <w:rPr>
          <w:rFonts w:hint="eastAsia" w:ascii="等线" w:hAnsi="等线" w:eastAsia="等线" w:cs="宋体"/>
          <w:color w:val="000000"/>
          <w:kern w:val="0"/>
          <w:sz w:val="24"/>
          <w:szCs w:val="24"/>
        </w:rPr>
        <w:t>◊</w:t>
      </w:r>
      <w:r>
        <w:rPr>
          <w:rFonts w:hint="eastAsia" w:ascii="宋体" w:hAnsi="宋体" w:cs="宋体"/>
          <w:color w:val="000000"/>
          <w:kern w:val="0"/>
          <w:sz w:val="28"/>
          <w:szCs w:val="28"/>
        </w:rPr>
        <w:t>实际用量（桶）。</w:t>
      </w:r>
    </w:p>
    <w:p w14:paraId="102D7976">
      <w:pPr>
        <w:pStyle w:val="18"/>
        <w:widowControl/>
        <w:numPr>
          <w:ilvl w:val="0"/>
          <w:numId w:val="3"/>
        </w:numPr>
        <w:spacing w:before="100" w:beforeAutospacing="1" w:line="450" w:lineRule="atLeast"/>
        <w:ind w:left="-105" w:leftChars="-50" w:right="-105" w:rightChars="-50" w:firstLineChars="0"/>
        <w:jc w:val="left"/>
        <w:textAlignment w:val="baseline"/>
        <w:rPr>
          <w:rFonts w:hAnsi="宋体"/>
          <w:color w:val="F79646" w:themeColor="accent6"/>
          <w:sz w:val="28"/>
          <w:szCs w:val="28"/>
          <w14:textFill>
            <w14:solidFill>
              <w14:schemeClr w14:val="accent6"/>
            </w14:solidFill>
          </w14:textFill>
        </w:rPr>
      </w:pPr>
      <w:r>
        <w:rPr>
          <w:rFonts w:hint="eastAsia" w:hAnsi="宋体"/>
          <w:color w:val="000000" w:themeColor="text1"/>
          <w:sz w:val="28"/>
          <w:szCs w:val="28"/>
          <w14:textFill>
            <w14:solidFill>
              <w14:schemeClr w14:val="tx1"/>
            </w14:solidFill>
          </w14:textFill>
        </w:rPr>
        <w:t>投标人所投品牌油须注明配料，原料等信息。</w:t>
      </w:r>
    </w:p>
    <w:p w14:paraId="0E7ED5BE">
      <w:pPr>
        <w:keepNext w:val="0"/>
        <w:keepLines w:val="0"/>
        <w:pageBreakBefore w:val="0"/>
        <w:widowControl w:val="0"/>
        <w:numPr>
          <w:ilvl w:val="0"/>
          <w:numId w:val="4"/>
        </w:numPr>
        <w:kinsoku/>
        <w:wordWrap/>
        <w:overflowPunct/>
        <w:topLinePunct w:val="0"/>
        <w:autoSpaceDE/>
        <w:autoSpaceDN/>
        <w:bidi w:val="0"/>
        <w:adjustRightInd/>
        <w:snapToGrid/>
        <w:spacing w:before="100" w:beforeAutospacing="1" w:line="450" w:lineRule="atLeast"/>
        <w:ind w:left="-105" w:leftChars="-50" w:right="-105" w:rightChars="-50"/>
        <w:jc w:val="left"/>
        <w:textAlignment w:val="baseline"/>
        <w:rPr>
          <w:rFonts w:hAnsi="宋体"/>
          <w:b/>
          <w:sz w:val="28"/>
          <w:szCs w:val="28"/>
        </w:rPr>
      </w:pPr>
      <w:r>
        <w:rPr>
          <w:rFonts w:hint="eastAsia" w:hAnsi="宋体"/>
          <w:b/>
          <w:sz w:val="28"/>
          <w:szCs w:val="28"/>
        </w:rPr>
        <w:t>采购标的需满足的服务标准、期限、效率等要求。</w:t>
      </w:r>
    </w:p>
    <w:p w14:paraId="6CF2A2DA">
      <w:pPr>
        <w:keepNext/>
        <w:keepLines w:val="0"/>
        <w:pageBreakBefore w:val="0"/>
        <w:widowControl w:val="0"/>
        <w:numPr>
          <w:ilvl w:val="0"/>
          <w:numId w:val="5"/>
        </w:numPr>
        <w:kinsoku/>
        <w:wordWrap/>
        <w:overflowPunct/>
        <w:topLinePunct w:val="0"/>
        <w:autoSpaceDE/>
        <w:autoSpaceDN/>
        <w:bidi w:val="0"/>
        <w:adjustRightInd/>
        <w:snapToGrid/>
        <w:spacing w:before="100" w:beforeAutospacing="1" w:line="250" w:lineRule="atLeast"/>
        <w:ind w:left="0" w:leftChars="0" w:right="0" w:rightChars="0"/>
        <w:jc w:val="left"/>
        <w:textAlignment w:val="baseline"/>
        <w:rPr>
          <w:rFonts w:hint="eastAsia" w:hAnsi="宋体"/>
          <w:sz w:val="28"/>
          <w:szCs w:val="28"/>
        </w:rPr>
      </w:pPr>
      <w:r>
        <w:rPr>
          <w:rFonts w:hint="eastAsia" w:hAnsi="宋体"/>
          <w:sz w:val="28"/>
          <w:szCs w:val="28"/>
        </w:rPr>
        <w:t>投标人资质要求：</w:t>
      </w:r>
    </w:p>
    <w:p w14:paraId="1187ADD3">
      <w:pPr>
        <w:keepNext w:val="0"/>
        <w:keepLines w:val="0"/>
        <w:pageBreakBefore w:val="0"/>
        <w:widowControl/>
        <w:numPr>
          <w:ilvl w:val="0"/>
          <w:numId w:val="0"/>
        </w:numPr>
        <w:kinsoku/>
        <w:wordWrap/>
        <w:overflowPunct/>
        <w:topLinePunct w:val="0"/>
        <w:autoSpaceDE/>
        <w:autoSpaceDN/>
        <w:bidi w:val="0"/>
        <w:adjustRightInd w:val="0"/>
        <w:snapToGrid w:val="0"/>
        <w:spacing w:before="100" w:beforeAutospacing="1" w:line="270" w:lineRule="atLeast"/>
        <w:ind w:right="0" w:rightChars="0"/>
        <w:jc w:val="left"/>
        <w:textAlignment w:val="baseline"/>
        <w:rPr>
          <w:rFonts w:hAnsi="宋体"/>
          <w:sz w:val="28"/>
          <w:szCs w:val="28"/>
        </w:rPr>
      </w:pPr>
    </w:p>
    <w:p w14:paraId="439F2A29">
      <w:pPr>
        <w:widowControl/>
        <w:numPr>
          <w:ilvl w:val="0"/>
          <w:numId w:val="6"/>
        </w:numPr>
        <w:spacing w:before="100" w:beforeAutospacing="1" w:line="450" w:lineRule="atLeast"/>
        <w:ind w:right="-105" w:rightChars="-50"/>
        <w:jc w:val="left"/>
        <w:textAlignment w:val="baseline"/>
        <w:rPr>
          <w:rFonts w:hAnsi="宋体"/>
          <w:sz w:val="28"/>
          <w:szCs w:val="28"/>
        </w:rPr>
      </w:pPr>
      <w:r>
        <w:rPr>
          <w:rFonts w:hint="eastAsia" w:hAnsi="宋体"/>
          <w:sz w:val="28"/>
          <w:szCs w:val="28"/>
        </w:rPr>
        <w:t>投标人为经销商的须提供</w:t>
      </w:r>
      <w:r>
        <w:rPr>
          <w:rFonts w:hint="eastAsia" w:hAnsi="宋体"/>
          <w:sz w:val="28"/>
          <w:szCs w:val="28"/>
          <w:lang w:val="en-US" w:eastAsia="zh-CN"/>
        </w:rPr>
        <w:t>有效</w:t>
      </w:r>
      <w:r>
        <w:rPr>
          <w:rFonts w:hint="eastAsia" w:hAnsi="宋体"/>
          <w:sz w:val="28"/>
          <w:szCs w:val="28"/>
        </w:rPr>
        <w:t>《食品经营许可证》</w:t>
      </w:r>
      <w:r>
        <w:rPr>
          <w:rFonts w:hint="eastAsia" w:hAnsi="宋体"/>
          <w:sz w:val="28"/>
          <w:szCs w:val="28"/>
          <w:lang w:val="en-US" w:eastAsia="zh-CN"/>
        </w:rPr>
        <w:t>或《预包装食品备案证》</w:t>
      </w:r>
      <w:r>
        <w:rPr>
          <w:rFonts w:hint="eastAsia" w:hAnsi="宋体"/>
          <w:sz w:val="28"/>
          <w:szCs w:val="28"/>
        </w:rPr>
        <w:t>及生产厂家《食品生产许可证》。</w:t>
      </w:r>
    </w:p>
    <w:p w14:paraId="079A8C43">
      <w:pPr>
        <w:widowControl/>
        <w:numPr>
          <w:ilvl w:val="0"/>
          <w:numId w:val="6"/>
        </w:numPr>
        <w:spacing w:before="100" w:beforeAutospacing="1" w:line="450" w:lineRule="atLeast"/>
        <w:ind w:left="0" w:leftChars="0" w:right="-105" w:rightChars="-50" w:firstLine="0" w:firstLineChars="0"/>
        <w:jc w:val="left"/>
        <w:textAlignment w:val="baseline"/>
        <w:rPr>
          <w:rFonts w:hAnsi="宋体"/>
          <w:sz w:val="28"/>
          <w:szCs w:val="28"/>
        </w:rPr>
      </w:pPr>
      <w:r>
        <w:rPr>
          <w:rFonts w:hint="eastAsia" w:hAnsi="宋体"/>
          <w:sz w:val="28"/>
          <w:szCs w:val="28"/>
        </w:rPr>
        <w:t>投标人为生产厂家的须提供</w:t>
      </w:r>
      <w:r>
        <w:rPr>
          <w:rFonts w:hint="eastAsia" w:hAnsi="宋体"/>
          <w:sz w:val="28"/>
          <w:szCs w:val="28"/>
          <w:lang w:val="en-US" w:eastAsia="zh-CN"/>
        </w:rPr>
        <w:t>有效</w:t>
      </w:r>
      <w:r>
        <w:rPr>
          <w:rFonts w:hint="eastAsia" w:hAnsi="宋体"/>
          <w:sz w:val="28"/>
          <w:szCs w:val="28"/>
        </w:rPr>
        <w:t>《食品生产许可证》。</w:t>
      </w:r>
    </w:p>
    <w:p w14:paraId="2DA14BD7">
      <w:pPr>
        <w:widowControl/>
        <w:numPr>
          <w:ilvl w:val="0"/>
          <w:numId w:val="5"/>
        </w:numPr>
        <w:spacing w:before="100" w:beforeAutospacing="1" w:line="450" w:lineRule="atLeast"/>
        <w:ind w:left="-105" w:leftChars="-50" w:right="-105" w:rightChars="-50" w:firstLine="0" w:firstLineChars="0"/>
        <w:jc w:val="left"/>
        <w:textAlignment w:val="baseline"/>
        <w:rPr>
          <w:rFonts w:hint="eastAsia" w:hAnsi="宋体"/>
          <w:sz w:val="28"/>
          <w:szCs w:val="28"/>
        </w:rPr>
      </w:pPr>
      <w:r>
        <w:rPr>
          <w:rFonts w:hint="eastAsia" w:hAnsi="宋体"/>
          <w:sz w:val="28"/>
          <w:szCs w:val="28"/>
        </w:rPr>
        <w:t>服务响应时间：</w:t>
      </w:r>
    </w:p>
    <w:p w14:paraId="41FF401D">
      <w:pPr>
        <w:widowControl/>
        <w:numPr>
          <w:ilvl w:val="0"/>
          <w:numId w:val="7"/>
        </w:numPr>
        <w:spacing w:before="100" w:beforeAutospacing="1" w:line="450" w:lineRule="atLeast"/>
        <w:ind w:leftChars="-50" w:right="-105" w:rightChars="-50"/>
        <w:jc w:val="left"/>
        <w:textAlignment w:val="baseline"/>
        <w:rPr>
          <w:rFonts w:hAnsi="宋体"/>
          <w:sz w:val="28"/>
          <w:szCs w:val="28"/>
        </w:rPr>
      </w:pPr>
      <w:r>
        <w:rPr>
          <w:rFonts w:hint="eastAsia" w:hAnsi="宋体"/>
          <w:sz w:val="28"/>
          <w:szCs w:val="28"/>
        </w:rPr>
        <w:t>中标人接到通知后48小时内将采购标的送到采购人指定地点。</w:t>
      </w:r>
    </w:p>
    <w:p w14:paraId="23C34DF1">
      <w:pPr>
        <w:pStyle w:val="18"/>
        <w:widowControl/>
        <w:numPr>
          <w:ilvl w:val="0"/>
          <w:numId w:val="7"/>
        </w:numPr>
        <w:spacing w:line="360" w:lineRule="auto"/>
        <w:ind w:left="-105" w:leftChars="-50" w:right="-105" w:rightChars="-50" w:firstLine="0" w:firstLineChars="0"/>
        <w:jc w:val="left"/>
        <w:textAlignment w:val="baseline"/>
        <w:rPr>
          <w:rFonts w:hAnsi="宋体"/>
          <w:sz w:val="28"/>
          <w:szCs w:val="28"/>
        </w:rPr>
      </w:pPr>
      <w:r>
        <w:rPr>
          <w:rFonts w:hint="eastAsia" w:hAnsi="宋体"/>
          <w:sz w:val="28"/>
          <w:szCs w:val="28"/>
        </w:rPr>
        <w:t>服务期限：以每批配送金额累计达到合同金额（</w:t>
      </w:r>
      <w:r>
        <w:rPr>
          <w:rFonts w:hint="eastAsia" w:hAnsi="宋体"/>
          <w:sz w:val="28"/>
          <w:szCs w:val="28"/>
          <w:lang w:val="en-US" w:eastAsia="zh-CN"/>
        </w:rPr>
        <w:t>460</w:t>
      </w:r>
      <w:r>
        <w:rPr>
          <w:rFonts w:hint="eastAsia" w:hAnsi="宋体"/>
          <w:sz w:val="28"/>
          <w:szCs w:val="28"/>
        </w:rPr>
        <w:t>万元）或服务期限不超过3年，先到为准，履约结束。</w:t>
      </w:r>
      <w:r>
        <w:rPr>
          <w:rFonts w:hint="eastAsia" w:ascii="宋体" w:hAnsi="宋体" w:cs="宋体"/>
          <w:color w:val="000000" w:themeColor="text1"/>
          <w:kern w:val="0"/>
          <w:sz w:val="28"/>
          <w:szCs w:val="28"/>
          <w14:textFill>
            <w14:solidFill>
              <w14:schemeClr w14:val="tx1"/>
            </w14:solidFill>
          </w14:textFill>
        </w:rPr>
        <w:t>中标人以本项目中标单价为依据签订</w:t>
      </w:r>
      <w:r>
        <w:rPr>
          <w:rFonts w:hint="eastAsia" w:hAnsi="宋体"/>
          <w:color w:val="000000" w:themeColor="text1"/>
          <w:sz w:val="28"/>
          <w:szCs w:val="28"/>
          <w14:textFill>
            <w14:solidFill>
              <w14:schemeClr w14:val="tx1"/>
            </w14:solidFill>
          </w14:textFill>
        </w:rPr>
        <w:t>合同，合同金额为</w:t>
      </w:r>
      <w:r>
        <w:rPr>
          <w:rFonts w:hint="eastAsia" w:hAnsi="宋体"/>
          <w:color w:val="000000" w:themeColor="text1"/>
          <w:sz w:val="28"/>
          <w:szCs w:val="28"/>
          <w:lang w:val="en-US" w:eastAsia="zh-CN"/>
          <w14:textFill>
            <w14:solidFill>
              <w14:schemeClr w14:val="tx1"/>
            </w14:solidFill>
          </w14:textFill>
        </w:rPr>
        <w:t>460</w:t>
      </w:r>
      <w:r>
        <w:rPr>
          <w:rFonts w:hint="eastAsia" w:hAnsi="宋体"/>
          <w:color w:val="000000" w:themeColor="text1"/>
          <w:sz w:val="28"/>
          <w:szCs w:val="28"/>
          <w14:textFill>
            <w14:solidFill>
              <w14:schemeClr w14:val="tx1"/>
            </w14:solidFill>
          </w14:textFill>
        </w:rPr>
        <w:t>万元。</w:t>
      </w:r>
    </w:p>
    <w:p w14:paraId="3787EF62">
      <w:pPr>
        <w:numPr>
          <w:ilvl w:val="0"/>
          <w:numId w:val="7"/>
        </w:numPr>
        <w:tabs>
          <w:tab w:val="left" w:pos="420"/>
          <w:tab w:val="left" w:pos="900"/>
        </w:tabs>
        <w:spacing w:before="100" w:beforeAutospacing="1" w:line="360" w:lineRule="auto"/>
        <w:ind w:left="-105" w:leftChars="-50" w:right="-105" w:rightChars="-50" w:firstLine="0" w:firstLineChars="0"/>
        <w:rPr>
          <w:rFonts w:hAnsi="宋体"/>
          <w:sz w:val="28"/>
          <w:szCs w:val="28"/>
        </w:rPr>
      </w:pPr>
      <w:r>
        <w:rPr>
          <w:rFonts w:hint="eastAsia" w:hAnsi="宋体"/>
          <w:sz w:val="28"/>
          <w:szCs w:val="28"/>
        </w:rPr>
        <w:t>中标人须每天对采购标的有需求的食堂进行配送。（配送车辆，配送费，配送人员和装卸人员由中标人自行负责）</w:t>
      </w:r>
    </w:p>
    <w:p w14:paraId="0144E89E">
      <w:pPr>
        <w:numPr>
          <w:ilvl w:val="0"/>
          <w:numId w:val="7"/>
        </w:numPr>
        <w:tabs>
          <w:tab w:val="left" w:pos="420"/>
          <w:tab w:val="left" w:pos="900"/>
        </w:tabs>
        <w:spacing w:before="100" w:beforeAutospacing="1" w:line="360" w:lineRule="auto"/>
        <w:ind w:left="-105" w:leftChars="-50" w:right="-105" w:rightChars="-50" w:firstLine="0" w:firstLineChars="0"/>
        <w:rPr>
          <w:rFonts w:hAnsi="宋体"/>
          <w:sz w:val="28"/>
          <w:szCs w:val="28"/>
        </w:rPr>
      </w:pPr>
      <w:r>
        <w:rPr>
          <w:rFonts w:hint="eastAsia" w:hAnsi="宋体"/>
          <w:sz w:val="28"/>
          <w:szCs w:val="28"/>
        </w:rPr>
        <w:t>运输车辆，运输器具应清洁、无污染，并有防尘、防雨设施。</w:t>
      </w:r>
    </w:p>
    <w:p w14:paraId="4DA73E69">
      <w:pPr>
        <w:numPr>
          <w:ilvl w:val="0"/>
          <w:numId w:val="7"/>
        </w:numPr>
        <w:tabs>
          <w:tab w:val="left" w:pos="420"/>
          <w:tab w:val="left" w:pos="900"/>
        </w:tabs>
        <w:spacing w:before="100" w:beforeAutospacing="1" w:line="360" w:lineRule="auto"/>
        <w:ind w:left="-105" w:leftChars="-50" w:right="-105" w:rightChars="-50" w:firstLine="0" w:firstLineChars="0"/>
        <w:rPr>
          <w:rFonts w:hAnsi="宋体"/>
          <w:sz w:val="28"/>
          <w:szCs w:val="28"/>
        </w:rPr>
      </w:pPr>
      <w:r>
        <w:rPr>
          <w:rFonts w:hint="eastAsia" w:hAnsi="宋体"/>
          <w:sz w:val="28"/>
          <w:szCs w:val="28"/>
        </w:rPr>
        <w:t>中标人应提供突发事件处置方案，避免因突发事件导致供货不及时，延误采购人使用。</w:t>
      </w:r>
    </w:p>
    <w:p w14:paraId="1DA0B46D">
      <w:pPr>
        <w:widowControl/>
        <w:numPr>
          <w:ilvl w:val="0"/>
          <w:numId w:val="7"/>
        </w:numPr>
        <w:tabs>
          <w:tab w:val="left" w:pos="420"/>
        </w:tabs>
        <w:adjustRightInd w:val="0"/>
        <w:spacing w:before="100" w:beforeAutospacing="1" w:line="450" w:lineRule="atLeast"/>
        <w:ind w:left="-105" w:leftChars="-50" w:right="-105" w:rightChars="-50" w:firstLine="0" w:firstLineChars="0"/>
        <w:jc w:val="left"/>
        <w:textAlignment w:val="baseline"/>
        <w:rPr>
          <w:rFonts w:ascii="宋体" w:hAnsi="宋体" w:cs="宋体"/>
          <w:color w:val="000000"/>
          <w:kern w:val="0"/>
          <w:sz w:val="28"/>
          <w:szCs w:val="28"/>
        </w:rPr>
      </w:pPr>
      <w:r>
        <w:rPr>
          <w:rFonts w:hint="eastAsia" w:ascii="宋体" w:hAnsi="宋体" w:cs="宋体"/>
          <w:color w:val="000000"/>
          <w:kern w:val="0"/>
          <w:sz w:val="28"/>
          <w:szCs w:val="28"/>
        </w:rPr>
        <w:t>中标人应针对本招标项目提供物流配送、车辆数量、人员安排等服务方案。</w:t>
      </w:r>
      <w:r>
        <w:rPr>
          <w:rFonts w:hint="eastAsia" w:asciiTheme="minorEastAsia" w:hAnsiTheme="minorEastAsia" w:cstheme="minorEastAsia"/>
          <w:color w:val="000000"/>
          <w:kern w:val="0"/>
          <w:sz w:val="28"/>
          <w:szCs w:val="28"/>
          <w:lang w:val="en-US" w:eastAsia="zh-CN"/>
        </w:rPr>
        <w:t>配送人员身心健康并持有有效健康证。</w:t>
      </w:r>
    </w:p>
    <w:p w14:paraId="14C4F69F">
      <w:pPr>
        <w:numPr>
          <w:ilvl w:val="0"/>
          <w:numId w:val="7"/>
        </w:numPr>
        <w:tabs>
          <w:tab w:val="left" w:pos="420"/>
          <w:tab w:val="left" w:pos="900"/>
        </w:tabs>
        <w:spacing w:before="100" w:beforeAutospacing="1" w:line="360" w:lineRule="auto"/>
        <w:ind w:left="-105" w:leftChars="-50" w:right="-105" w:rightChars="-50" w:firstLine="0" w:firstLineChars="0"/>
        <w:rPr>
          <w:rFonts w:ascii="宋体" w:hAnsi="宋体" w:cs="宋体"/>
          <w:sz w:val="28"/>
          <w:szCs w:val="28"/>
        </w:rPr>
      </w:pPr>
      <w:r>
        <w:rPr>
          <w:rFonts w:hint="eastAsia" w:ascii="宋体" w:hAnsi="宋体" w:cs="宋体"/>
          <w:sz w:val="28"/>
          <w:szCs w:val="28"/>
        </w:rPr>
        <w:t>中标人须具备针对本采购项目的仓库。</w:t>
      </w:r>
    </w:p>
    <w:p w14:paraId="2A9964C0">
      <w:pPr>
        <w:numPr>
          <w:ilvl w:val="0"/>
          <w:numId w:val="7"/>
        </w:numPr>
        <w:tabs>
          <w:tab w:val="left" w:pos="420"/>
          <w:tab w:val="left" w:pos="900"/>
        </w:tabs>
        <w:spacing w:before="100" w:beforeAutospacing="1" w:line="360" w:lineRule="auto"/>
        <w:ind w:left="-105" w:leftChars="-50" w:right="-105" w:rightChars="-50" w:firstLine="0" w:firstLineChars="0"/>
        <w:rPr>
          <w:rFonts w:ascii="宋体" w:hAnsi="宋体"/>
          <w:sz w:val="28"/>
          <w:szCs w:val="28"/>
        </w:rPr>
      </w:pPr>
      <w:r>
        <w:rPr>
          <w:rFonts w:hint="eastAsia" w:ascii="宋体" w:hAnsi="宋体"/>
          <w:sz w:val="28"/>
          <w:szCs w:val="28"/>
        </w:rPr>
        <w:t>投标人须提供所投产品的样品（两个品目），并封装。</w:t>
      </w:r>
    </w:p>
    <w:p w14:paraId="1941AA06">
      <w:pPr>
        <w:tabs>
          <w:tab w:val="left" w:pos="900"/>
        </w:tabs>
        <w:spacing w:before="100" w:beforeAutospacing="1" w:line="360" w:lineRule="auto"/>
        <w:ind w:left="-105" w:leftChars="-50" w:right="-105" w:rightChars="-50"/>
        <w:rPr>
          <w:rFonts w:ascii="宋体" w:hAnsi="宋体"/>
          <w:b/>
          <w:sz w:val="28"/>
          <w:szCs w:val="28"/>
        </w:rPr>
      </w:pPr>
      <w:r>
        <w:rPr>
          <w:rFonts w:hint="eastAsia" w:ascii="宋体" w:hAnsi="宋体"/>
          <w:b/>
          <w:sz w:val="28"/>
          <w:szCs w:val="28"/>
        </w:rPr>
        <w:t>七、</w:t>
      </w:r>
      <w:r>
        <w:rPr>
          <w:rFonts w:ascii="宋体" w:hAnsi="宋体"/>
          <w:b/>
          <w:sz w:val="28"/>
          <w:szCs w:val="28"/>
        </w:rPr>
        <w:t>采购标的验收标准</w:t>
      </w:r>
      <w:bookmarkEnd w:id="1"/>
      <w:bookmarkEnd w:id="2"/>
      <w:bookmarkEnd w:id="3"/>
    </w:p>
    <w:p w14:paraId="2FCCD10C">
      <w:pPr>
        <w:tabs>
          <w:tab w:val="left" w:pos="900"/>
        </w:tabs>
        <w:spacing w:before="100" w:beforeAutospacing="1" w:line="360" w:lineRule="auto"/>
        <w:ind w:left="-105" w:leftChars="-50" w:right="-105" w:rightChars="-50"/>
        <w:rPr>
          <w:rFonts w:ascii="宋体" w:hAnsi="宋体"/>
          <w:sz w:val="28"/>
          <w:szCs w:val="28"/>
        </w:rPr>
      </w:pPr>
      <w:r>
        <w:rPr>
          <w:rFonts w:hint="eastAsia" w:ascii="宋体" w:hAnsi="宋体"/>
          <w:color w:val="000000" w:themeColor="text1"/>
          <w:sz w:val="28"/>
          <w:szCs w:val="28"/>
          <w14:textFill>
            <w14:solidFill>
              <w14:schemeClr w14:val="tx1"/>
            </w14:solidFill>
          </w14:textFill>
        </w:rPr>
        <w:t>1.</w:t>
      </w:r>
      <w:r>
        <w:rPr>
          <w:rFonts w:hint="eastAsia" w:ascii="宋体" w:hAnsi="宋体"/>
          <w:color w:val="000000" w:themeColor="text1"/>
          <w:sz w:val="28"/>
          <w:szCs w:val="28"/>
          <w:lang w:val="en-US" w:eastAsia="zh-CN"/>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中标人须向采购人提供每</w:t>
      </w:r>
      <w:r>
        <w:rPr>
          <w:rFonts w:hint="eastAsia" w:ascii="宋体" w:hAnsi="宋体"/>
          <w:sz w:val="28"/>
          <w:szCs w:val="28"/>
        </w:rPr>
        <w:t xml:space="preserve">批次标的物的出厂报告，首批货物每半年出具有资质的第三方检测机构的检测报告，采购人可随时抽检，抽检费用由中标人承担。 </w:t>
      </w:r>
    </w:p>
    <w:p w14:paraId="4B2855D1">
      <w:pPr>
        <w:tabs>
          <w:tab w:val="left" w:pos="900"/>
        </w:tabs>
        <w:spacing w:before="100" w:beforeAutospacing="1" w:line="360" w:lineRule="auto"/>
        <w:ind w:left="-105" w:leftChars="-50" w:right="-105" w:rightChars="-50"/>
        <w:rPr>
          <w:rFonts w:ascii="宋体" w:hAnsi="宋体"/>
          <w:sz w:val="28"/>
          <w:szCs w:val="28"/>
        </w:rPr>
      </w:pPr>
      <w:r>
        <w:rPr>
          <w:rFonts w:hint="eastAsia" w:ascii="宋体" w:hAnsi="宋体"/>
          <w:color w:val="000000" w:themeColor="text1"/>
          <w:sz w:val="28"/>
          <w:szCs w:val="28"/>
          <w14:textFill>
            <w14:solidFill>
              <w14:schemeClr w14:val="tx1"/>
            </w14:solidFill>
          </w14:textFill>
        </w:rPr>
        <w:t>2.</w:t>
      </w:r>
      <w:r>
        <w:rPr>
          <w:rFonts w:hint="eastAsia" w:ascii="宋体" w:hAnsi="宋体"/>
          <w:color w:val="000000" w:themeColor="text1"/>
          <w:sz w:val="28"/>
          <w:szCs w:val="28"/>
          <w:lang w:val="en-US" w:eastAsia="zh-CN"/>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中标人每批货物为同一批次产品。</w:t>
      </w:r>
    </w:p>
    <w:p w14:paraId="32A95FDB">
      <w:pPr>
        <w:tabs>
          <w:tab w:val="left" w:pos="900"/>
        </w:tabs>
        <w:spacing w:before="100" w:beforeAutospacing="1" w:line="360" w:lineRule="auto"/>
        <w:ind w:left="-105" w:leftChars="-50" w:right="-105" w:rightChars="-50"/>
        <w:rPr>
          <w:rFonts w:ascii="宋体" w:hAnsi="宋体"/>
          <w:sz w:val="28"/>
          <w:szCs w:val="28"/>
        </w:rPr>
      </w:pPr>
      <w:r>
        <w:rPr>
          <w:rFonts w:hint="eastAsia" w:ascii="宋体" w:hAnsi="宋体"/>
          <w:sz w:val="28"/>
          <w:szCs w:val="28"/>
        </w:rPr>
        <w:t>3.</w:t>
      </w:r>
      <w:r>
        <w:rPr>
          <w:rFonts w:hint="eastAsia" w:ascii="宋体" w:hAnsi="宋体"/>
          <w:sz w:val="28"/>
          <w:szCs w:val="28"/>
          <w:lang w:val="en-US" w:eastAsia="zh-CN"/>
        </w:rPr>
        <w:t xml:space="preserve"> </w:t>
      </w:r>
      <w:r>
        <w:rPr>
          <w:rFonts w:hint="eastAsia" w:ascii="宋体" w:hAnsi="宋体"/>
          <w:sz w:val="28"/>
          <w:szCs w:val="28"/>
        </w:rPr>
        <w:t>采购标的品质和重量等相关方面未达到要求的，应无条件退回，所产生的一切费用由中标人承担，并按时按要求更换，若被退回次数达到三次，采购人有权解除合同。</w:t>
      </w:r>
    </w:p>
    <w:p w14:paraId="06363651">
      <w:pPr>
        <w:widowControl/>
        <w:spacing w:before="100" w:beforeAutospacing="1" w:line="440" w:lineRule="exact"/>
        <w:ind w:left="-105" w:leftChars="-50" w:right="-105" w:rightChars="-50"/>
        <w:jc w:val="left"/>
        <w:textAlignment w:val="baseline"/>
        <w:rPr>
          <w:rFonts w:ascii="宋体" w:hAnsi="宋体" w:cs="宋体"/>
          <w:b/>
          <w:color w:val="000000"/>
          <w:kern w:val="0"/>
          <w:sz w:val="28"/>
          <w:szCs w:val="28"/>
        </w:rPr>
      </w:pPr>
      <w:r>
        <w:rPr>
          <w:rFonts w:hint="eastAsia" w:ascii="宋体" w:hAnsi="宋体" w:cs="宋体"/>
          <w:b/>
          <w:color w:val="000000"/>
          <w:kern w:val="0"/>
          <w:sz w:val="28"/>
          <w:szCs w:val="28"/>
        </w:rPr>
        <w:t>八、</w:t>
      </w:r>
      <w:r>
        <w:rPr>
          <w:rFonts w:ascii="宋体" w:hAnsi="宋体" w:cs="宋体"/>
          <w:b/>
          <w:color w:val="000000"/>
          <w:kern w:val="0"/>
          <w:sz w:val="28"/>
          <w:szCs w:val="28"/>
        </w:rPr>
        <w:t>采购标的其他技术、服务等要求</w:t>
      </w:r>
    </w:p>
    <w:p w14:paraId="3B93203E">
      <w:pPr>
        <w:widowControl/>
        <w:adjustRightInd w:val="0"/>
        <w:spacing w:before="100" w:beforeAutospacing="1" w:line="450" w:lineRule="atLeast"/>
        <w:ind w:left="-105" w:leftChars="-50" w:right="-105" w:rightChars="-50"/>
        <w:jc w:val="left"/>
        <w:textAlignment w:val="baseline"/>
        <w:rPr>
          <w:rFonts w:ascii="宋体" w:hAnsi="宋体" w:cs="宋体"/>
          <w:sz w:val="28"/>
          <w:szCs w:val="28"/>
        </w:rPr>
      </w:pPr>
      <w:r>
        <w:rPr>
          <w:rFonts w:hint="eastAsia" w:ascii="宋体" w:hAnsi="宋体" w:cs="宋体"/>
          <w:sz w:val="28"/>
          <w:szCs w:val="28"/>
        </w:rPr>
        <w:t>1.</w:t>
      </w:r>
      <w:r>
        <w:rPr>
          <w:rFonts w:hint="eastAsia" w:ascii="宋体" w:hAnsi="宋体" w:cs="宋体"/>
          <w:sz w:val="28"/>
          <w:szCs w:val="28"/>
          <w:lang w:val="en-US" w:eastAsia="zh-CN"/>
        </w:rPr>
        <w:t xml:space="preserve"> </w:t>
      </w:r>
      <w:r>
        <w:rPr>
          <w:rFonts w:hint="eastAsia" w:ascii="宋体" w:hAnsi="宋体" w:cs="宋体"/>
          <w:sz w:val="28"/>
          <w:szCs w:val="28"/>
        </w:rPr>
        <w:t>付款方式：按月结算，中标人应于每月结账之日起</w:t>
      </w:r>
      <w:r>
        <w:rPr>
          <w:rFonts w:ascii="宋体" w:hAnsi="宋体" w:cs="宋体"/>
          <w:sz w:val="28"/>
          <w:szCs w:val="28"/>
        </w:rPr>
        <w:t>15</w:t>
      </w:r>
      <w:r>
        <w:rPr>
          <w:rFonts w:hint="eastAsia" w:ascii="宋体" w:hAnsi="宋体" w:cs="宋体"/>
          <w:sz w:val="28"/>
          <w:szCs w:val="28"/>
        </w:rPr>
        <w:t>个工作日内向采购人提交本月（指上月</w:t>
      </w:r>
      <w:r>
        <w:rPr>
          <w:rFonts w:ascii="宋体" w:hAnsi="宋体" w:cs="宋体"/>
          <w:sz w:val="28"/>
          <w:szCs w:val="28"/>
        </w:rPr>
        <w:t>26</w:t>
      </w:r>
      <w:r>
        <w:rPr>
          <w:rFonts w:hint="eastAsia" w:ascii="宋体" w:hAnsi="宋体" w:cs="宋体"/>
          <w:sz w:val="28"/>
          <w:szCs w:val="28"/>
        </w:rPr>
        <w:t>日至本月</w:t>
      </w:r>
      <w:r>
        <w:rPr>
          <w:rFonts w:ascii="宋体" w:hAnsi="宋体" w:cs="宋体"/>
          <w:sz w:val="28"/>
          <w:szCs w:val="28"/>
        </w:rPr>
        <w:t>25</w:t>
      </w:r>
      <w:r>
        <w:rPr>
          <w:rFonts w:hint="eastAsia" w:ascii="宋体" w:hAnsi="宋体" w:cs="宋体"/>
          <w:sz w:val="28"/>
          <w:szCs w:val="28"/>
        </w:rPr>
        <w:t>日）所供采购标的的结算资料，按采购人财务制度要求结算货款。如若中标人不按采购人要求按期提交结算资料，采购人将对中标人处以结算金额</w:t>
      </w:r>
      <w:r>
        <w:rPr>
          <w:rFonts w:ascii="宋体" w:hAnsi="宋体" w:cs="宋体"/>
          <w:sz w:val="28"/>
          <w:szCs w:val="28"/>
        </w:rPr>
        <w:t>1%</w:t>
      </w:r>
      <w:r>
        <w:rPr>
          <w:rFonts w:hint="eastAsia" w:ascii="宋体" w:hAnsi="宋体" w:cs="宋体"/>
          <w:sz w:val="28"/>
          <w:szCs w:val="28"/>
        </w:rPr>
        <w:t>的罚款。</w:t>
      </w:r>
    </w:p>
    <w:p w14:paraId="72E0A72E">
      <w:pPr>
        <w:widowControl/>
        <w:adjustRightInd w:val="0"/>
        <w:spacing w:before="100" w:beforeAutospacing="1" w:line="450" w:lineRule="atLeast"/>
        <w:ind w:left="-105" w:leftChars="-50" w:right="-105" w:rightChars="-50"/>
        <w:jc w:val="left"/>
        <w:textAlignment w:val="baseline"/>
        <w:rPr>
          <w:rFonts w:hint="eastAsia" w:ascii="宋体" w:hAnsi="宋体" w:cs="宋体"/>
          <w:sz w:val="28"/>
          <w:szCs w:val="28"/>
        </w:rPr>
      </w:pPr>
      <w:r>
        <w:rPr>
          <w:rFonts w:hint="eastAsia" w:ascii="宋体" w:hAnsi="宋体" w:cs="宋体"/>
          <w:sz w:val="28"/>
          <w:szCs w:val="28"/>
        </w:rPr>
        <w:t>2.</w:t>
      </w:r>
      <w:r>
        <w:rPr>
          <w:rFonts w:hint="eastAsia" w:ascii="宋体" w:hAnsi="宋体" w:cs="宋体"/>
          <w:sz w:val="28"/>
          <w:szCs w:val="28"/>
          <w:lang w:val="en-US" w:eastAsia="zh-CN"/>
        </w:rPr>
        <w:t xml:space="preserve"> </w:t>
      </w:r>
      <w:r>
        <w:rPr>
          <w:rFonts w:hint="eastAsia" w:ascii="宋体" w:hAnsi="宋体" w:cs="宋体"/>
          <w:sz w:val="28"/>
          <w:szCs w:val="28"/>
        </w:rPr>
        <w:t>中标人需缴纳履约保证金12万元整，如有以下情形之一，视为中标人违约，扣除相应履约保证金：</w:t>
      </w:r>
    </w:p>
    <w:p w14:paraId="7F632AD0">
      <w:pPr>
        <w:pStyle w:val="20"/>
        <w:widowControl/>
        <w:numPr>
          <w:ilvl w:val="0"/>
          <w:numId w:val="8"/>
        </w:numPr>
        <w:adjustRightInd w:val="0"/>
        <w:spacing w:before="100" w:beforeAutospacing="1" w:line="450" w:lineRule="atLeast"/>
        <w:ind w:left="-105" w:leftChars="-50" w:right="-105" w:rightChars="-50" w:firstLineChars="0"/>
        <w:jc w:val="left"/>
        <w:textAlignment w:val="baseline"/>
        <w:rPr>
          <w:rFonts w:ascii="宋体" w:hAnsi="宋体" w:cs="宋体"/>
          <w:sz w:val="28"/>
          <w:szCs w:val="28"/>
        </w:rPr>
      </w:pPr>
      <w:r>
        <w:rPr>
          <w:rFonts w:hint="eastAsia" w:ascii="宋体" w:hAnsi="宋体" w:cs="宋体"/>
          <w:color w:val="000000"/>
          <w:kern w:val="0"/>
          <w:sz w:val="28"/>
          <w:szCs w:val="28"/>
        </w:rPr>
        <w:t>采购标的</w:t>
      </w:r>
      <w:r>
        <w:rPr>
          <w:rFonts w:hint="eastAsia" w:ascii="宋体" w:hAnsi="宋体" w:cs="宋体"/>
          <w:sz w:val="28"/>
          <w:szCs w:val="28"/>
        </w:rPr>
        <w:t>出现食品安全事故</w:t>
      </w:r>
      <w:r>
        <w:rPr>
          <w:rFonts w:hint="eastAsia" w:eastAsia="宋体" w:asciiTheme="minorEastAsia" w:hAnsiTheme="minorEastAsia" w:cstheme="minorEastAsia"/>
          <w:sz w:val="28"/>
          <w:szCs w:val="28"/>
        </w:rPr>
        <w:t>（1</w:t>
      </w:r>
      <w:r>
        <w:rPr>
          <w:rFonts w:eastAsia="宋体" w:asciiTheme="minorEastAsia" w:hAnsiTheme="minorEastAsia" w:cstheme="minorEastAsia"/>
          <w:sz w:val="28"/>
          <w:szCs w:val="28"/>
        </w:rPr>
        <w:t>00%</w:t>
      </w:r>
      <w:r>
        <w:rPr>
          <w:rFonts w:hint="eastAsia" w:eastAsia="宋体" w:asciiTheme="minorEastAsia" w:hAnsiTheme="minorEastAsia" w:cstheme="minorEastAsia"/>
          <w:sz w:val="28"/>
          <w:szCs w:val="28"/>
        </w:rPr>
        <w:t>）。</w:t>
      </w:r>
    </w:p>
    <w:p w14:paraId="556B4AB5">
      <w:pPr>
        <w:pStyle w:val="20"/>
        <w:widowControl/>
        <w:numPr>
          <w:ilvl w:val="0"/>
          <w:numId w:val="8"/>
        </w:numPr>
        <w:adjustRightInd w:val="0"/>
        <w:spacing w:before="100" w:beforeAutospacing="1" w:line="450" w:lineRule="atLeast"/>
        <w:ind w:left="-105" w:leftChars="-50" w:right="-105" w:rightChars="-50" w:firstLineChars="0"/>
        <w:jc w:val="left"/>
        <w:textAlignment w:val="baseline"/>
        <w:rPr>
          <w:rFonts w:eastAsia="宋体" w:asciiTheme="minorEastAsia" w:hAnsiTheme="minorEastAsia" w:cstheme="minorEastAsia"/>
          <w:sz w:val="28"/>
          <w:szCs w:val="28"/>
        </w:rPr>
      </w:pPr>
      <w:r>
        <w:rPr>
          <w:rFonts w:hint="eastAsia" w:ascii="宋体" w:hAnsi="宋体" w:cs="宋体"/>
          <w:color w:val="000000"/>
          <w:kern w:val="0"/>
          <w:sz w:val="28"/>
          <w:szCs w:val="28"/>
        </w:rPr>
        <w:t>采购标的</w:t>
      </w:r>
      <w:r>
        <w:rPr>
          <w:rFonts w:hint="eastAsia" w:ascii="宋体" w:hAnsi="宋体" w:cs="宋体"/>
          <w:sz w:val="28"/>
          <w:szCs w:val="28"/>
        </w:rPr>
        <w:t>抽检不合格</w:t>
      </w:r>
      <w:r>
        <w:rPr>
          <w:rFonts w:hint="eastAsia" w:eastAsia="宋体" w:asciiTheme="minorEastAsia" w:hAnsiTheme="minorEastAsia" w:cstheme="minorEastAsia"/>
          <w:sz w:val="28"/>
          <w:szCs w:val="28"/>
        </w:rPr>
        <w:t>（每次5</w:t>
      </w:r>
      <w:r>
        <w:rPr>
          <w:rFonts w:eastAsia="宋体" w:asciiTheme="minorEastAsia" w:hAnsiTheme="minorEastAsia" w:cstheme="minorEastAsia"/>
          <w:sz w:val="28"/>
          <w:szCs w:val="28"/>
        </w:rPr>
        <w:t>0%</w:t>
      </w:r>
      <w:r>
        <w:rPr>
          <w:rFonts w:hint="eastAsia" w:eastAsia="宋体" w:asciiTheme="minorEastAsia" w:hAnsiTheme="minorEastAsia" w:cstheme="minorEastAsia"/>
          <w:sz w:val="28"/>
          <w:szCs w:val="28"/>
        </w:rPr>
        <w:t>）。</w:t>
      </w:r>
    </w:p>
    <w:p w14:paraId="7D04B9AC">
      <w:pPr>
        <w:pStyle w:val="20"/>
        <w:widowControl/>
        <w:numPr>
          <w:ilvl w:val="0"/>
          <w:numId w:val="8"/>
        </w:numPr>
        <w:adjustRightInd w:val="0"/>
        <w:spacing w:before="100" w:beforeAutospacing="1" w:line="450" w:lineRule="atLeast"/>
        <w:ind w:left="-105" w:leftChars="-50" w:right="-105" w:rightChars="-50" w:firstLineChars="0"/>
        <w:jc w:val="left"/>
        <w:textAlignment w:val="baseline"/>
        <w:rPr>
          <w:rFonts w:eastAsia="宋体" w:asciiTheme="minorEastAsia" w:hAnsiTheme="minorEastAsia" w:cstheme="minorEastAsia"/>
          <w:sz w:val="28"/>
          <w:szCs w:val="28"/>
        </w:rPr>
      </w:pPr>
      <w:r>
        <w:rPr>
          <w:rFonts w:hint="eastAsia" w:ascii="宋体" w:hAnsi="宋体" w:cs="宋体"/>
          <w:color w:val="000000"/>
          <w:kern w:val="0"/>
          <w:sz w:val="28"/>
          <w:szCs w:val="28"/>
        </w:rPr>
        <w:t>采购标的</w:t>
      </w:r>
      <w:r>
        <w:rPr>
          <w:rFonts w:hint="eastAsia" w:ascii="宋体" w:hAnsi="宋体" w:cs="宋体"/>
          <w:sz w:val="28"/>
          <w:szCs w:val="28"/>
        </w:rPr>
        <w:t>未按规定时间及数量送达采购人指定地点</w:t>
      </w:r>
      <w:r>
        <w:rPr>
          <w:rFonts w:hint="eastAsia" w:eastAsia="宋体" w:asciiTheme="minorEastAsia" w:hAnsiTheme="minorEastAsia" w:cstheme="minorEastAsia"/>
          <w:sz w:val="28"/>
          <w:szCs w:val="28"/>
        </w:rPr>
        <w:t>（每次1</w:t>
      </w:r>
      <w:r>
        <w:rPr>
          <w:rFonts w:eastAsia="宋体" w:asciiTheme="minorEastAsia" w:hAnsiTheme="minorEastAsia" w:cstheme="minorEastAsia"/>
          <w:sz w:val="28"/>
          <w:szCs w:val="28"/>
        </w:rPr>
        <w:t>0%</w:t>
      </w:r>
      <w:r>
        <w:rPr>
          <w:rFonts w:hint="eastAsia" w:eastAsia="宋体" w:asciiTheme="minorEastAsia" w:hAnsiTheme="minorEastAsia" w:cstheme="minorEastAsia"/>
          <w:sz w:val="28"/>
          <w:szCs w:val="28"/>
        </w:rPr>
        <w:t>）。</w:t>
      </w:r>
    </w:p>
    <w:p w14:paraId="55E06F64">
      <w:pPr>
        <w:pStyle w:val="20"/>
        <w:adjustRightInd w:val="0"/>
        <w:spacing w:before="100" w:beforeAutospacing="1" w:line="450" w:lineRule="atLeast"/>
        <w:ind w:left="0" w:leftChars="0" w:right="-105" w:rightChars="-50" w:firstLine="560" w:firstLineChars="200"/>
        <w:jc w:val="left"/>
        <w:rPr>
          <w:rFonts w:ascii="宋体" w:hAnsi="宋体" w:cs="宋体"/>
          <w:sz w:val="28"/>
          <w:szCs w:val="28"/>
        </w:rPr>
      </w:pPr>
      <w:r>
        <w:rPr>
          <w:rFonts w:hint="eastAsia" w:ascii="宋体" w:hAnsi="宋体" w:cs="宋体"/>
          <w:sz w:val="28"/>
          <w:szCs w:val="28"/>
        </w:rPr>
        <w:t>服务期满未出现上述有关履约保证金扣除的情形，采购人三个月内全额无息退还履约保证金。</w:t>
      </w:r>
    </w:p>
    <w:p w14:paraId="19C78331">
      <w:pPr>
        <w:widowControl/>
        <w:numPr>
          <w:ilvl w:val="0"/>
          <w:numId w:val="6"/>
        </w:numPr>
        <w:adjustRightInd w:val="0"/>
        <w:spacing w:before="100" w:beforeAutospacing="1" w:line="450" w:lineRule="atLeast"/>
        <w:ind w:left="0" w:leftChars="0" w:right="-105" w:rightChars="-50" w:firstLine="0" w:firstLineChars="0"/>
        <w:jc w:val="left"/>
        <w:textAlignment w:val="baseline"/>
        <w:rPr>
          <w:rFonts w:ascii="宋体" w:hAnsi="宋体" w:cs="宋体"/>
          <w:sz w:val="28"/>
          <w:szCs w:val="28"/>
        </w:rPr>
      </w:pPr>
      <w:r>
        <w:rPr>
          <w:rFonts w:hint="eastAsia" w:ascii="宋体" w:hAnsi="宋体" w:cs="宋体"/>
          <w:sz w:val="28"/>
          <w:szCs w:val="28"/>
        </w:rPr>
        <w:t>中标人应无条件接受采购人对采购标的的调换、退货要求。</w:t>
      </w:r>
    </w:p>
    <w:p w14:paraId="5EBE3555">
      <w:pPr>
        <w:widowControl/>
        <w:numPr>
          <w:ilvl w:val="0"/>
          <w:numId w:val="6"/>
        </w:numPr>
        <w:adjustRightInd w:val="0"/>
        <w:spacing w:before="100" w:beforeAutospacing="1" w:line="450" w:lineRule="atLeast"/>
        <w:ind w:left="0" w:leftChars="0" w:right="-105" w:rightChars="-50" w:firstLine="0" w:firstLineChars="0"/>
        <w:jc w:val="left"/>
        <w:textAlignment w:val="baseline"/>
        <w:rPr>
          <w:rFonts w:ascii="宋体" w:hAnsi="宋体" w:cs="宋体"/>
          <w:sz w:val="28"/>
          <w:szCs w:val="28"/>
        </w:rPr>
      </w:pPr>
      <w:r>
        <w:rPr>
          <w:rFonts w:hint="eastAsia" w:ascii="宋体" w:hAnsi="宋体" w:cs="宋体"/>
          <w:sz w:val="28"/>
          <w:szCs w:val="28"/>
        </w:rPr>
        <w:t>开标现场投标人需携带采购标的样品，样品的包装规格与中标后配送规格一致。</w:t>
      </w:r>
    </w:p>
    <w:p w14:paraId="68FA9E14">
      <w:pPr>
        <w:widowControl/>
        <w:adjustRightInd w:val="0"/>
        <w:spacing w:before="100" w:beforeAutospacing="1" w:line="480" w:lineRule="auto"/>
        <w:ind w:left="-105" w:leftChars="-50" w:right="-105" w:rightChars="-50"/>
        <w:jc w:val="left"/>
        <w:textAlignment w:val="baseline"/>
        <w:rPr>
          <w:rFonts w:ascii="宋体" w:hAnsi="宋体" w:cs="宋体"/>
          <w:sz w:val="28"/>
          <w:szCs w:val="28"/>
        </w:rPr>
      </w:pPr>
    </w:p>
    <w:sectPr>
      <w:headerReference r:id="rId3" w:type="default"/>
      <w:footerReference r:id="rId4" w:type="default"/>
      <w:pgSz w:w="11906" w:h="16838"/>
      <w:pgMar w:top="227" w:right="1800" w:bottom="68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7CB28">
    <w:pPr>
      <w:pStyle w:val="4"/>
      <w:jc w:val="center"/>
    </w:pPr>
    <w:r>
      <w:fldChar w:fldCharType="begin"/>
    </w:r>
    <w:r>
      <w:instrText xml:space="preserve">PAGE   \* MERGEFORMAT</w:instrText>
    </w:r>
    <w:r>
      <w:fldChar w:fldCharType="separate"/>
    </w:r>
    <w:r>
      <w:rPr>
        <w:lang w:val="zh-CN"/>
      </w:rPr>
      <w:t>3</w:t>
    </w:r>
    <w:r>
      <w:fldChar w:fldCharType="end"/>
    </w:r>
  </w:p>
  <w:p w14:paraId="4A6F4CEC">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8F669">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9F7929"/>
    <w:multiLevelType w:val="singleLevel"/>
    <w:tmpl w:val="AD9F7929"/>
    <w:lvl w:ilvl="0" w:tentative="0">
      <w:start w:val="1"/>
      <w:numFmt w:val="decimal"/>
      <w:suff w:val="space"/>
      <w:lvlText w:val="%1."/>
      <w:lvlJc w:val="left"/>
    </w:lvl>
  </w:abstractNum>
  <w:abstractNum w:abstractNumId="1">
    <w:nsid w:val="C00293C6"/>
    <w:multiLevelType w:val="singleLevel"/>
    <w:tmpl w:val="C00293C6"/>
    <w:lvl w:ilvl="0" w:tentative="0">
      <w:start w:val="1"/>
      <w:numFmt w:val="decimal"/>
      <w:suff w:val="space"/>
      <w:lvlText w:val="%1."/>
      <w:lvlJc w:val="left"/>
    </w:lvl>
  </w:abstractNum>
  <w:abstractNum w:abstractNumId="2">
    <w:nsid w:val="17B32EDE"/>
    <w:multiLevelType w:val="singleLevel"/>
    <w:tmpl w:val="17B32EDE"/>
    <w:lvl w:ilvl="0" w:tentative="0">
      <w:start w:val="1"/>
      <w:numFmt w:val="decimal"/>
      <w:suff w:val="space"/>
      <w:lvlText w:val="%1."/>
      <w:lvlJc w:val="left"/>
    </w:lvl>
  </w:abstractNum>
  <w:abstractNum w:abstractNumId="3">
    <w:nsid w:val="21EA8D2F"/>
    <w:multiLevelType w:val="singleLevel"/>
    <w:tmpl w:val="21EA8D2F"/>
    <w:lvl w:ilvl="0" w:tentative="0">
      <w:start w:val="6"/>
      <w:numFmt w:val="chineseCounting"/>
      <w:suff w:val="nothing"/>
      <w:lvlText w:val="%1、"/>
      <w:lvlJc w:val="left"/>
      <w:rPr>
        <w:rFonts w:hint="eastAsia"/>
      </w:rPr>
    </w:lvl>
  </w:abstractNum>
  <w:abstractNum w:abstractNumId="4">
    <w:nsid w:val="244702FB"/>
    <w:multiLevelType w:val="multilevel"/>
    <w:tmpl w:val="244702FB"/>
    <w:lvl w:ilvl="0" w:tentative="0">
      <w:start w:val="1"/>
      <w:numFmt w:val="decimal"/>
      <w:lvlText w:val="%1)"/>
      <w:lvlJc w:val="left"/>
      <w:pPr>
        <w:ind w:left="1020" w:hanging="420"/>
      </w:p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5">
    <w:nsid w:val="3A214FA3"/>
    <w:multiLevelType w:val="multilevel"/>
    <w:tmpl w:val="3A214FA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95E4C8B"/>
    <w:multiLevelType w:val="singleLevel"/>
    <w:tmpl w:val="595E4C8B"/>
    <w:lvl w:ilvl="0" w:tentative="0">
      <w:start w:val="1"/>
      <w:numFmt w:val="chineseCounting"/>
      <w:suff w:val="nothing"/>
      <w:lvlText w:val="（%1）"/>
      <w:lvlJc w:val="left"/>
      <w:rPr>
        <w:rFonts w:hint="eastAsia"/>
      </w:rPr>
    </w:lvl>
  </w:abstractNum>
  <w:abstractNum w:abstractNumId="7">
    <w:nsid w:val="7745688A"/>
    <w:multiLevelType w:val="multilevel"/>
    <w:tmpl w:val="7745688A"/>
    <w:lvl w:ilvl="0" w:tentative="0">
      <w:start w:val="1"/>
      <w:numFmt w:val="decimal"/>
      <w:lvlText w:val="%1."/>
      <w:lvlJc w:val="left"/>
      <w:pPr>
        <w:ind w:left="420" w:hanging="420"/>
      </w:pPr>
      <w:rPr>
        <w:rFonts w:hint="eastAsia"/>
        <w:color w:val="000000" w:themeColor="text1"/>
        <w14:textFill>
          <w14:solidFill>
            <w14:schemeClr w14:val="tx1"/>
          </w14:solidFill>
        </w14:textFil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5"/>
  </w:num>
  <w:num w:numId="3">
    <w:abstractNumId w:val="7"/>
  </w:num>
  <w:num w:numId="4">
    <w:abstractNumId w:val="3"/>
  </w:num>
  <w:num w:numId="5">
    <w:abstractNumId w:val="6"/>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4MTVkZGQyZjVjZjg0YWQzN2Q0MjQzOTdhNDI1YzQifQ=="/>
  </w:docVars>
  <w:rsids>
    <w:rsidRoot w:val="00A161FC"/>
    <w:rsid w:val="00002F30"/>
    <w:rsid w:val="00012220"/>
    <w:rsid w:val="00013B4C"/>
    <w:rsid w:val="00042AD0"/>
    <w:rsid w:val="00042F60"/>
    <w:rsid w:val="00066E01"/>
    <w:rsid w:val="0006756F"/>
    <w:rsid w:val="00067D6B"/>
    <w:rsid w:val="0007126D"/>
    <w:rsid w:val="000715C8"/>
    <w:rsid w:val="000737A1"/>
    <w:rsid w:val="00080838"/>
    <w:rsid w:val="00080B09"/>
    <w:rsid w:val="0008111F"/>
    <w:rsid w:val="00094296"/>
    <w:rsid w:val="000A52DD"/>
    <w:rsid w:val="000B00A4"/>
    <w:rsid w:val="000D4996"/>
    <w:rsid w:val="000E035F"/>
    <w:rsid w:val="000E06BB"/>
    <w:rsid w:val="000F7B74"/>
    <w:rsid w:val="00104067"/>
    <w:rsid w:val="00105428"/>
    <w:rsid w:val="001167D6"/>
    <w:rsid w:val="00126CC2"/>
    <w:rsid w:val="00130B09"/>
    <w:rsid w:val="00140AF0"/>
    <w:rsid w:val="001507CE"/>
    <w:rsid w:val="00151EE7"/>
    <w:rsid w:val="001559F6"/>
    <w:rsid w:val="00157212"/>
    <w:rsid w:val="00157667"/>
    <w:rsid w:val="00157E9E"/>
    <w:rsid w:val="001609FC"/>
    <w:rsid w:val="00174450"/>
    <w:rsid w:val="001767BB"/>
    <w:rsid w:val="0018461B"/>
    <w:rsid w:val="001A3120"/>
    <w:rsid w:val="001B01E7"/>
    <w:rsid w:val="001B712C"/>
    <w:rsid w:val="001B7EF9"/>
    <w:rsid w:val="001C1B78"/>
    <w:rsid w:val="001C41C3"/>
    <w:rsid w:val="001D01BE"/>
    <w:rsid w:val="001D573F"/>
    <w:rsid w:val="001E220C"/>
    <w:rsid w:val="001E2777"/>
    <w:rsid w:val="002147DF"/>
    <w:rsid w:val="0022650C"/>
    <w:rsid w:val="00232158"/>
    <w:rsid w:val="00234252"/>
    <w:rsid w:val="00237253"/>
    <w:rsid w:val="0024194E"/>
    <w:rsid w:val="00246A3B"/>
    <w:rsid w:val="0025261F"/>
    <w:rsid w:val="00283692"/>
    <w:rsid w:val="002863D7"/>
    <w:rsid w:val="002944E8"/>
    <w:rsid w:val="002A5F27"/>
    <w:rsid w:val="002B3A1B"/>
    <w:rsid w:val="002C0019"/>
    <w:rsid w:val="002C2E98"/>
    <w:rsid w:val="002C2F8F"/>
    <w:rsid w:val="002E18EF"/>
    <w:rsid w:val="002E2C74"/>
    <w:rsid w:val="002F2280"/>
    <w:rsid w:val="002F2E61"/>
    <w:rsid w:val="0030039A"/>
    <w:rsid w:val="003113D4"/>
    <w:rsid w:val="00321DE8"/>
    <w:rsid w:val="00336CE2"/>
    <w:rsid w:val="003403F2"/>
    <w:rsid w:val="00342FA3"/>
    <w:rsid w:val="00345D8D"/>
    <w:rsid w:val="003529C2"/>
    <w:rsid w:val="00355E0F"/>
    <w:rsid w:val="003621A2"/>
    <w:rsid w:val="0036352F"/>
    <w:rsid w:val="003649AF"/>
    <w:rsid w:val="0038447F"/>
    <w:rsid w:val="003A5A24"/>
    <w:rsid w:val="003B1181"/>
    <w:rsid w:val="003B2E94"/>
    <w:rsid w:val="003B6E23"/>
    <w:rsid w:val="003C188C"/>
    <w:rsid w:val="003E5A00"/>
    <w:rsid w:val="003F517E"/>
    <w:rsid w:val="0041080D"/>
    <w:rsid w:val="00431542"/>
    <w:rsid w:val="004328C3"/>
    <w:rsid w:val="00432F90"/>
    <w:rsid w:val="00433BEC"/>
    <w:rsid w:val="00434BC2"/>
    <w:rsid w:val="004377A3"/>
    <w:rsid w:val="00437F8D"/>
    <w:rsid w:val="0044065D"/>
    <w:rsid w:val="00453832"/>
    <w:rsid w:val="00454881"/>
    <w:rsid w:val="00474BBF"/>
    <w:rsid w:val="00482AC4"/>
    <w:rsid w:val="004951D7"/>
    <w:rsid w:val="004A0606"/>
    <w:rsid w:val="004A43F0"/>
    <w:rsid w:val="004C403B"/>
    <w:rsid w:val="004D56CC"/>
    <w:rsid w:val="004E24DF"/>
    <w:rsid w:val="004E4A2A"/>
    <w:rsid w:val="004E4B14"/>
    <w:rsid w:val="004F3191"/>
    <w:rsid w:val="004F4ED8"/>
    <w:rsid w:val="0050018B"/>
    <w:rsid w:val="00501176"/>
    <w:rsid w:val="00502DBB"/>
    <w:rsid w:val="00510891"/>
    <w:rsid w:val="0053111A"/>
    <w:rsid w:val="00533C94"/>
    <w:rsid w:val="00546165"/>
    <w:rsid w:val="00553D7F"/>
    <w:rsid w:val="00555885"/>
    <w:rsid w:val="00562C62"/>
    <w:rsid w:val="005633CE"/>
    <w:rsid w:val="00567094"/>
    <w:rsid w:val="00571ADE"/>
    <w:rsid w:val="00576A53"/>
    <w:rsid w:val="0057735B"/>
    <w:rsid w:val="005951EF"/>
    <w:rsid w:val="005B0DD2"/>
    <w:rsid w:val="005C2322"/>
    <w:rsid w:val="005D624A"/>
    <w:rsid w:val="005D67B1"/>
    <w:rsid w:val="005F1571"/>
    <w:rsid w:val="005F401F"/>
    <w:rsid w:val="00611202"/>
    <w:rsid w:val="00614F68"/>
    <w:rsid w:val="0062086D"/>
    <w:rsid w:val="00631304"/>
    <w:rsid w:val="00632885"/>
    <w:rsid w:val="00692759"/>
    <w:rsid w:val="006A5225"/>
    <w:rsid w:val="006B0378"/>
    <w:rsid w:val="006B3D3A"/>
    <w:rsid w:val="006C2918"/>
    <w:rsid w:val="006C782C"/>
    <w:rsid w:val="006D0A65"/>
    <w:rsid w:val="006F37EE"/>
    <w:rsid w:val="00705E6A"/>
    <w:rsid w:val="00710BC3"/>
    <w:rsid w:val="00710DBE"/>
    <w:rsid w:val="007212AC"/>
    <w:rsid w:val="007320B8"/>
    <w:rsid w:val="00743CC8"/>
    <w:rsid w:val="007479A0"/>
    <w:rsid w:val="007545AD"/>
    <w:rsid w:val="007554BB"/>
    <w:rsid w:val="00773CEB"/>
    <w:rsid w:val="007839AE"/>
    <w:rsid w:val="00791F03"/>
    <w:rsid w:val="007934B5"/>
    <w:rsid w:val="00797C87"/>
    <w:rsid w:val="007A5A39"/>
    <w:rsid w:val="007E67CD"/>
    <w:rsid w:val="007F4BD9"/>
    <w:rsid w:val="00800E12"/>
    <w:rsid w:val="008153D5"/>
    <w:rsid w:val="008238A7"/>
    <w:rsid w:val="00823CA9"/>
    <w:rsid w:val="0083439A"/>
    <w:rsid w:val="00835359"/>
    <w:rsid w:val="00836021"/>
    <w:rsid w:val="00840348"/>
    <w:rsid w:val="008403A0"/>
    <w:rsid w:val="00842112"/>
    <w:rsid w:val="00844F20"/>
    <w:rsid w:val="0084652E"/>
    <w:rsid w:val="00852340"/>
    <w:rsid w:val="0087552A"/>
    <w:rsid w:val="0089223E"/>
    <w:rsid w:val="0089621F"/>
    <w:rsid w:val="008A7315"/>
    <w:rsid w:val="008E130D"/>
    <w:rsid w:val="008E3768"/>
    <w:rsid w:val="008E48EE"/>
    <w:rsid w:val="00901401"/>
    <w:rsid w:val="0090416B"/>
    <w:rsid w:val="009052F6"/>
    <w:rsid w:val="00912486"/>
    <w:rsid w:val="00925E61"/>
    <w:rsid w:val="009275FF"/>
    <w:rsid w:val="00940884"/>
    <w:rsid w:val="009475F1"/>
    <w:rsid w:val="009669A8"/>
    <w:rsid w:val="0099177F"/>
    <w:rsid w:val="00995789"/>
    <w:rsid w:val="009A49B8"/>
    <w:rsid w:val="009B686D"/>
    <w:rsid w:val="009E7ECE"/>
    <w:rsid w:val="009F6CAB"/>
    <w:rsid w:val="009F7A2C"/>
    <w:rsid w:val="00A00798"/>
    <w:rsid w:val="00A047F0"/>
    <w:rsid w:val="00A1361F"/>
    <w:rsid w:val="00A161FC"/>
    <w:rsid w:val="00A16337"/>
    <w:rsid w:val="00A21244"/>
    <w:rsid w:val="00A3059D"/>
    <w:rsid w:val="00A403C5"/>
    <w:rsid w:val="00A64855"/>
    <w:rsid w:val="00A717A7"/>
    <w:rsid w:val="00A71F7B"/>
    <w:rsid w:val="00A765E9"/>
    <w:rsid w:val="00A8517F"/>
    <w:rsid w:val="00AA3035"/>
    <w:rsid w:val="00AA5B7F"/>
    <w:rsid w:val="00AA6FAC"/>
    <w:rsid w:val="00AC005D"/>
    <w:rsid w:val="00AD0235"/>
    <w:rsid w:val="00AD0257"/>
    <w:rsid w:val="00AD1270"/>
    <w:rsid w:val="00AE130A"/>
    <w:rsid w:val="00AF7468"/>
    <w:rsid w:val="00B0641B"/>
    <w:rsid w:val="00B06645"/>
    <w:rsid w:val="00B14EE5"/>
    <w:rsid w:val="00B2030D"/>
    <w:rsid w:val="00B25119"/>
    <w:rsid w:val="00B4481B"/>
    <w:rsid w:val="00B51579"/>
    <w:rsid w:val="00B569EE"/>
    <w:rsid w:val="00B60B80"/>
    <w:rsid w:val="00B61245"/>
    <w:rsid w:val="00B61D9E"/>
    <w:rsid w:val="00B61E39"/>
    <w:rsid w:val="00B72BD6"/>
    <w:rsid w:val="00B731EE"/>
    <w:rsid w:val="00B84845"/>
    <w:rsid w:val="00B91989"/>
    <w:rsid w:val="00BA7615"/>
    <w:rsid w:val="00BB71D3"/>
    <w:rsid w:val="00BC3D86"/>
    <w:rsid w:val="00BC6809"/>
    <w:rsid w:val="00BE5444"/>
    <w:rsid w:val="00BF0725"/>
    <w:rsid w:val="00BF4EA9"/>
    <w:rsid w:val="00BF63CC"/>
    <w:rsid w:val="00C15054"/>
    <w:rsid w:val="00C26F1D"/>
    <w:rsid w:val="00C37547"/>
    <w:rsid w:val="00C45FF4"/>
    <w:rsid w:val="00C63818"/>
    <w:rsid w:val="00C65144"/>
    <w:rsid w:val="00C708C5"/>
    <w:rsid w:val="00C81136"/>
    <w:rsid w:val="00C82348"/>
    <w:rsid w:val="00C82D68"/>
    <w:rsid w:val="00C86E18"/>
    <w:rsid w:val="00C87FE3"/>
    <w:rsid w:val="00CA30B6"/>
    <w:rsid w:val="00CC3B5C"/>
    <w:rsid w:val="00CD153F"/>
    <w:rsid w:val="00CD2230"/>
    <w:rsid w:val="00CE3409"/>
    <w:rsid w:val="00CE4A2E"/>
    <w:rsid w:val="00CF5AAC"/>
    <w:rsid w:val="00CF6EAC"/>
    <w:rsid w:val="00D0111A"/>
    <w:rsid w:val="00D01C91"/>
    <w:rsid w:val="00D06F4D"/>
    <w:rsid w:val="00D0788C"/>
    <w:rsid w:val="00D07BFA"/>
    <w:rsid w:val="00D14A9B"/>
    <w:rsid w:val="00D37638"/>
    <w:rsid w:val="00D42269"/>
    <w:rsid w:val="00D50D90"/>
    <w:rsid w:val="00D64779"/>
    <w:rsid w:val="00D66A80"/>
    <w:rsid w:val="00D74511"/>
    <w:rsid w:val="00D8093B"/>
    <w:rsid w:val="00D8431F"/>
    <w:rsid w:val="00D92792"/>
    <w:rsid w:val="00DA1025"/>
    <w:rsid w:val="00DB2B62"/>
    <w:rsid w:val="00DC1928"/>
    <w:rsid w:val="00DC4ADA"/>
    <w:rsid w:val="00DE0C10"/>
    <w:rsid w:val="00DF5062"/>
    <w:rsid w:val="00DF6590"/>
    <w:rsid w:val="00E0581E"/>
    <w:rsid w:val="00E1130A"/>
    <w:rsid w:val="00E1460F"/>
    <w:rsid w:val="00E14D7F"/>
    <w:rsid w:val="00E23A1F"/>
    <w:rsid w:val="00E40A19"/>
    <w:rsid w:val="00E4264C"/>
    <w:rsid w:val="00E5132E"/>
    <w:rsid w:val="00E60AF7"/>
    <w:rsid w:val="00E617B4"/>
    <w:rsid w:val="00E73399"/>
    <w:rsid w:val="00E7573D"/>
    <w:rsid w:val="00E8049A"/>
    <w:rsid w:val="00E821CF"/>
    <w:rsid w:val="00E84892"/>
    <w:rsid w:val="00E86CE3"/>
    <w:rsid w:val="00E931F1"/>
    <w:rsid w:val="00EA586B"/>
    <w:rsid w:val="00EB1445"/>
    <w:rsid w:val="00EB4E4E"/>
    <w:rsid w:val="00EC5771"/>
    <w:rsid w:val="00ED3638"/>
    <w:rsid w:val="00F35474"/>
    <w:rsid w:val="00F366B4"/>
    <w:rsid w:val="00F9724F"/>
    <w:rsid w:val="00F9789E"/>
    <w:rsid w:val="00FB00E1"/>
    <w:rsid w:val="00FB256A"/>
    <w:rsid w:val="00FC1111"/>
    <w:rsid w:val="00FC3BB8"/>
    <w:rsid w:val="00FE0B5D"/>
    <w:rsid w:val="00FE1B41"/>
    <w:rsid w:val="00FF21F2"/>
    <w:rsid w:val="00FF47AD"/>
    <w:rsid w:val="00FF549F"/>
    <w:rsid w:val="01A16E8E"/>
    <w:rsid w:val="031418F0"/>
    <w:rsid w:val="05145BD8"/>
    <w:rsid w:val="08C46E0A"/>
    <w:rsid w:val="0A000231"/>
    <w:rsid w:val="0F900551"/>
    <w:rsid w:val="11BC010C"/>
    <w:rsid w:val="12210BEC"/>
    <w:rsid w:val="130A23C8"/>
    <w:rsid w:val="170D06D9"/>
    <w:rsid w:val="17957C6D"/>
    <w:rsid w:val="17A15B9A"/>
    <w:rsid w:val="18483956"/>
    <w:rsid w:val="199C5D44"/>
    <w:rsid w:val="1EAE75D9"/>
    <w:rsid w:val="1FEA505C"/>
    <w:rsid w:val="22C61514"/>
    <w:rsid w:val="2A407808"/>
    <w:rsid w:val="2BE8140D"/>
    <w:rsid w:val="2E6B4A1E"/>
    <w:rsid w:val="2F3E40D2"/>
    <w:rsid w:val="3648449C"/>
    <w:rsid w:val="36E02ABB"/>
    <w:rsid w:val="37E1109A"/>
    <w:rsid w:val="39FC040D"/>
    <w:rsid w:val="3A3C2EFF"/>
    <w:rsid w:val="3E902325"/>
    <w:rsid w:val="3FEB49FF"/>
    <w:rsid w:val="41ED6C33"/>
    <w:rsid w:val="42B51AA1"/>
    <w:rsid w:val="48773972"/>
    <w:rsid w:val="496D6C31"/>
    <w:rsid w:val="4B897627"/>
    <w:rsid w:val="4DA87A77"/>
    <w:rsid w:val="50734CC5"/>
    <w:rsid w:val="529E1C09"/>
    <w:rsid w:val="55760C1C"/>
    <w:rsid w:val="57243206"/>
    <w:rsid w:val="591C0D83"/>
    <w:rsid w:val="5BAB6A1D"/>
    <w:rsid w:val="5CCF2D36"/>
    <w:rsid w:val="5D4F0D18"/>
    <w:rsid w:val="63807109"/>
    <w:rsid w:val="64356967"/>
    <w:rsid w:val="64542A70"/>
    <w:rsid w:val="65293EFC"/>
    <w:rsid w:val="69A13431"/>
    <w:rsid w:val="6A5F216E"/>
    <w:rsid w:val="6A7466A1"/>
    <w:rsid w:val="6B7B6F89"/>
    <w:rsid w:val="6C1D31AD"/>
    <w:rsid w:val="6EBC10DE"/>
    <w:rsid w:val="6F265009"/>
    <w:rsid w:val="6F7E4E45"/>
    <w:rsid w:val="745B77FF"/>
    <w:rsid w:val="78E421BD"/>
    <w:rsid w:val="79D16AD3"/>
    <w:rsid w:val="7CB47D2B"/>
    <w:rsid w:val="7CD73DE6"/>
    <w:rsid w:val="7E676533"/>
    <w:rsid w:val="7EEC07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1"/>
    <w:qFormat/>
    <w:uiPriority w:val="0"/>
    <w:rPr>
      <w:rFonts w:ascii="宋体" w:hAnsi="Courier New" w:cstheme="minorBidi"/>
      <w:szCs w:val="22"/>
    </w:rPr>
  </w:style>
  <w:style w:type="paragraph" w:styleId="3">
    <w:name w:val="Balloon Text"/>
    <w:basedOn w:val="1"/>
    <w:link w:val="19"/>
    <w:semiHidden/>
    <w:unhideWhenUsed/>
    <w:qFormat/>
    <w:uiPriority w:val="99"/>
    <w:rPr>
      <w:sz w:val="18"/>
      <w:szCs w:val="18"/>
    </w:rPr>
  </w:style>
  <w:style w:type="paragraph" w:styleId="4">
    <w:name w:val="footer"/>
    <w:basedOn w:val="1"/>
    <w:link w:val="12"/>
    <w:qFormat/>
    <w:uiPriority w:val="0"/>
    <w:pPr>
      <w:tabs>
        <w:tab w:val="center" w:pos="4153"/>
        <w:tab w:val="right" w:pos="8306"/>
      </w:tabs>
      <w:snapToGrid w:val="0"/>
      <w:jc w:val="left"/>
    </w:pPr>
    <w:rPr>
      <w:rFonts w:asciiTheme="minorHAnsi" w:hAnsiTheme="minorHAnsi" w:eastAsiaTheme="minorEastAsia" w:cstheme="minorBidi"/>
      <w:sz w:val="18"/>
      <w:szCs w:val="22"/>
    </w:rPr>
  </w:style>
  <w:style w:type="paragraph" w:styleId="5">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Calibri" w:hAnsi="宋体" w:cstheme="minorBidi"/>
      <w:szCs w:val="24"/>
    </w:rPr>
  </w:style>
  <w:style w:type="paragraph" w:styleId="7">
    <w:name w:val="Title"/>
    <w:basedOn w:val="1"/>
    <w:link w:val="13"/>
    <w:qFormat/>
    <w:uiPriority w:val="0"/>
    <w:pPr>
      <w:spacing w:before="240" w:after="60"/>
      <w:jc w:val="center"/>
      <w:outlineLvl w:val="0"/>
    </w:pPr>
    <w:rPr>
      <w:rFonts w:ascii="Arial" w:hAnsi="Arial" w:cs="Arial"/>
      <w:b/>
      <w:bCs/>
      <w:sz w:val="32"/>
      <w:szCs w:val="32"/>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纯文本 Char1"/>
    <w:link w:val="2"/>
    <w:qFormat/>
    <w:uiPriority w:val="0"/>
    <w:rPr>
      <w:rFonts w:ascii="宋体" w:hAnsi="Courier New" w:eastAsia="宋体"/>
    </w:rPr>
  </w:style>
  <w:style w:type="character" w:customStyle="1" w:styleId="12">
    <w:name w:val="页脚 Char1"/>
    <w:link w:val="4"/>
    <w:qFormat/>
    <w:uiPriority w:val="0"/>
    <w:rPr>
      <w:sz w:val="18"/>
    </w:rPr>
  </w:style>
  <w:style w:type="character" w:customStyle="1" w:styleId="13">
    <w:name w:val="标题 Char1"/>
    <w:link w:val="7"/>
    <w:qFormat/>
    <w:uiPriority w:val="0"/>
    <w:rPr>
      <w:rFonts w:ascii="Arial" w:hAnsi="Arial" w:eastAsia="宋体" w:cs="Arial"/>
      <w:b/>
      <w:bCs/>
      <w:sz w:val="32"/>
      <w:szCs w:val="32"/>
    </w:rPr>
  </w:style>
  <w:style w:type="character" w:customStyle="1" w:styleId="14">
    <w:name w:val="页脚 Char"/>
    <w:basedOn w:val="10"/>
    <w:semiHidden/>
    <w:qFormat/>
    <w:uiPriority w:val="99"/>
    <w:rPr>
      <w:rFonts w:ascii="Times New Roman" w:hAnsi="Times New Roman" w:eastAsia="宋体" w:cs="Times New Roman"/>
      <w:sz w:val="18"/>
      <w:szCs w:val="18"/>
    </w:rPr>
  </w:style>
  <w:style w:type="character" w:customStyle="1" w:styleId="15">
    <w:name w:val="标题 Char"/>
    <w:basedOn w:val="10"/>
    <w:qFormat/>
    <w:uiPriority w:val="10"/>
    <w:rPr>
      <w:rFonts w:eastAsia="宋体" w:asciiTheme="majorHAnsi" w:hAnsiTheme="majorHAnsi" w:cstheme="majorBidi"/>
      <w:b/>
      <w:bCs/>
      <w:sz w:val="32"/>
      <w:szCs w:val="32"/>
    </w:rPr>
  </w:style>
  <w:style w:type="character" w:customStyle="1" w:styleId="16">
    <w:name w:val="纯文本 Char"/>
    <w:basedOn w:val="10"/>
    <w:semiHidden/>
    <w:qFormat/>
    <w:uiPriority w:val="99"/>
    <w:rPr>
      <w:rFonts w:ascii="宋体" w:hAnsi="Courier New" w:eastAsia="宋体" w:cs="Courier New"/>
      <w:szCs w:val="21"/>
    </w:rPr>
  </w:style>
  <w:style w:type="character" w:customStyle="1" w:styleId="17">
    <w:name w:val="页眉 Char"/>
    <w:basedOn w:val="10"/>
    <w:link w:val="5"/>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批注框文本 Char"/>
    <w:basedOn w:val="10"/>
    <w:link w:val="3"/>
    <w:semiHidden/>
    <w:qFormat/>
    <w:uiPriority w:val="99"/>
    <w:rPr>
      <w:rFonts w:ascii="Times New Roman" w:hAnsi="Times New Roman" w:eastAsia="宋体" w:cs="Times New Roman"/>
      <w:sz w:val="18"/>
      <w:szCs w:val="18"/>
    </w:rPr>
  </w:style>
  <w:style w:type="paragraph" w:customStyle="1" w:styleId="20">
    <w:name w:val="列出段落1"/>
    <w:basedOn w:val="1"/>
    <w:unhideWhenUsed/>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85F5A-F32B-4B9D-B27D-55AC34FE1E9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2094</Words>
  <Characters>2189</Characters>
  <Lines>12</Lines>
  <Paragraphs>3</Paragraphs>
  <TotalTime>0</TotalTime>
  <ScaleCrop>false</ScaleCrop>
  <LinksUpToDate>false</LinksUpToDate>
  <CharactersWithSpaces>2216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2023-12-12T07:46:00Z</dcterms:created>
  <dc:creator>hst</dc:creator>
  <cp:lastModifiedBy>&amp;</cp:lastModifiedBy>
  <cp:lastPrinted>2023-11-01T03:01:00Z</cp:lastPrinted>
  <dcterms:modified xsi:type="dcterms:W3CDTF">2026-08-13T07:49:13Z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70DA2F72544C44E5BC7F2EA8526034EE_13</vt:lpwstr>
  </property>
  <property fmtid="{D5CDD505-2E9C-101B-9397-08002B2CF9AE}" pid="4" name="KSOTemplateDocerSaveRecord">
    <vt:lpwstr>eyJoZGlkIjoiMzBlMGJhMTNmMjk3OGQzZWVhOWQxYWMxZDU1MzMwNmIiLCJ1c2VySWQiOiI1MjI2MDIyMzMifQ==</vt:lpwstr>
  </property>
</Properties>
</file>