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4FF20">
      <w:pPr>
        <w:pStyle w:val="7"/>
        <w:adjustRightInd w:val="0"/>
        <w:snapToGrid w:val="0"/>
        <w:spacing w:before="0" w:after="0" w:line="360" w:lineRule="auto"/>
        <w:outlineLvl w:val="9"/>
        <w:rPr>
          <w:rFonts w:ascii="方正小标宋简体" w:hAnsi="宋体" w:eastAsia="方正小标宋简体"/>
          <w:b w:val="0"/>
          <w:bCs w:val="0"/>
          <w:sz w:val="36"/>
        </w:rPr>
      </w:pPr>
      <w:bookmarkStart w:id="0" w:name="_Toc38367762"/>
      <w:r>
        <w:rPr>
          <w:rFonts w:hint="eastAsia" w:ascii="方正小标宋简体" w:hAnsi="宋体" w:eastAsia="方正小标宋简体"/>
          <w:b w:val="0"/>
          <w:bCs w:val="0"/>
          <w:sz w:val="36"/>
        </w:rPr>
        <w:t>【继续教育学院兴庆校区定点酒店服务】采购需求</w:t>
      </w:r>
      <w:bookmarkEnd w:id="0"/>
    </w:p>
    <w:p w14:paraId="77C2D7A7">
      <w:pPr>
        <w:tabs>
          <w:tab w:val="left" w:pos="900"/>
        </w:tabs>
        <w:adjustRightInd w:val="0"/>
        <w:snapToGrid w:val="0"/>
        <w:spacing w:line="360" w:lineRule="auto"/>
        <w:ind w:firstLine="422" w:firstLineChars="200"/>
        <w:rPr>
          <w:b/>
          <w:szCs w:val="21"/>
        </w:rPr>
      </w:pPr>
      <w:bookmarkStart w:id="1" w:name="_Toc219271393"/>
      <w:bookmarkStart w:id="2" w:name="_Toc172360661"/>
      <w:bookmarkStart w:id="3" w:name="_Toc158978330"/>
      <w:r>
        <w:rPr>
          <w:rFonts w:hint="eastAsia" w:hAnsi="宋体"/>
          <w:b/>
          <w:szCs w:val="21"/>
        </w:rPr>
        <w:t>一、</w:t>
      </w:r>
      <w:r>
        <w:rPr>
          <w:rFonts w:hAnsi="宋体"/>
          <w:b/>
          <w:szCs w:val="21"/>
        </w:rPr>
        <w:t>采购</w:t>
      </w:r>
      <w:r>
        <w:rPr>
          <w:rFonts w:hint="eastAsia" w:hAnsi="宋体"/>
          <w:b/>
          <w:szCs w:val="21"/>
        </w:rPr>
        <w:t>标的</w:t>
      </w:r>
      <w:r>
        <w:rPr>
          <w:rFonts w:hAnsi="宋体"/>
          <w:b/>
          <w:szCs w:val="21"/>
        </w:rPr>
        <w:t>需实现的功能或者目标，以及为落实政府采购政策需满足的要求：</w:t>
      </w:r>
    </w:p>
    <w:p w14:paraId="08D81523">
      <w:pPr>
        <w:tabs>
          <w:tab w:val="left" w:pos="900"/>
        </w:tabs>
        <w:adjustRightInd w:val="0"/>
        <w:snapToGrid w:val="0"/>
        <w:spacing w:line="360" w:lineRule="auto"/>
        <w:ind w:firstLine="422" w:firstLineChars="200"/>
        <w:rPr>
          <w:b/>
          <w:szCs w:val="21"/>
        </w:rPr>
      </w:pPr>
      <w:r>
        <w:rPr>
          <w:rFonts w:hAnsi="宋体"/>
          <w:b/>
          <w:szCs w:val="21"/>
        </w:rPr>
        <w:t>（一）采购</w:t>
      </w:r>
      <w:r>
        <w:rPr>
          <w:rFonts w:hint="eastAsia" w:hAnsi="宋体"/>
          <w:b/>
          <w:szCs w:val="21"/>
        </w:rPr>
        <w:t>标的</w:t>
      </w:r>
      <w:r>
        <w:rPr>
          <w:rFonts w:hAnsi="宋体"/>
          <w:b/>
          <w:szCs w:val="21"/>
        </w:rPr>
        <w:t>需实现的功能或者目标</w:t>
      </w:r>
    </w:p>
    <w:p w14:paraId="3E2A566C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u w:val="single"/>
        </w:rPr>
        <w:t>本项目拟遴选符合具有住宿餐饮接待能力的酒店4家。若报名公司（用N代替）少于4家，则按照排名次序以N-1确定中标供应商的数量。根据继续教育学院近三年培训学员人数统计，大约为12000人次/年。</w:t>
      </w:r>
    </w:p>
    <w:p w14:paraId="7E45FA3A">
      <w:pPr>
        <w:tabs>
          <w:tab w:val="left" w:pos="900"/>
        </w:tabs>
        <w:adjustRightInd w:val="0"/>
        <w:snapToGrid w:val="0"/>
        <w:spacing w:line="360" w:lineRule="auto"/>
        <w:ind w:firstLine="422" w:firstLineChars="200"/>
        <w:rPr>
          <w:b/>
          <w:szCs w:val="21"/>
        </w:rPr>
      </w:pPr>
      <w:r>
        <w:rPr>
          <w:rFonts w:hAnsi="宋体"/>
          <w:b/>
          <w:szCs w:val="21"/>
        </w:rPr>
        <w:t>（二）政府采购政策</w:t>
      </w:r>
      <w:r>
        <w:rPr>
          <w:rFonts w:hint="eastAsia" w:hAnsi="宋体"/>
          <w:b/>
          <w:szCs w:val="21"/>
        </w:rPr>
        <w:t>落实</w:t>
      </w:r>
      <w:r>
        <w:rPr>
          <w:rFonts w:hAnsi="宋体"/>
          <w:b/>
          <w:szCs w:val="21"/>
        </w:rPr>
        <w:t>要求</w:t>
      </w:r>
    </w:p>
    <w:p w14:paraId="5D9D7DE0">
      <w:pPr>
        <w:tabs>
          <w:tab w:val="left" w:pos="900"/>
        </w:tabs>
        <w:adjustRightInd w:val="0"/>
        <w:snapToGrid w:val="0"/>
        <w:spacing w:line="360" w:lineRule="auto"/>
        <w:ind w:firstLine="420" w:firstLineChars="200"/>
        <w:rPr>
          <w:rFonts w:hAnsi="宋体"/>
          <w:szCs w:val="21"/>
        </w:rPr>
      </w:pPr>
      <w:r>
        <w:rPr>
          <w:rFonts w:hint="eastAsia" w:hAnsi="宋体"/>
          <w:szCs w:val="24"/>
        </w:rPr>
        <w:t>1</w:t>
      </w:r>
      <w:r>
        <w:rPr>
          <w:rFonts w:hAnsi="宋体"/>
          <w:szCs w:val="24"/>
        </w:rPr>
        <w:t xml:space="preserve">. </w:t>
      </w:r>
      <w:r>
        <w:rPr>
          <w:rFonts w:hint="eastAsia" w:hAnsi="宋体"/>
          <w:szCs w:val="24"/>
        </w:rPr>
        <w:t>中小企业扶持政策：</w:t>
      </w:r>
      <w:r>
        <w:rPr>
          <w:rFonts w:hAnsi="宋体"/>
          <w:szCs w:val="24"/>
        </w:rPr>
        <w:t>根据</w:t>
      </w:r>
      <w:r>
        <w:rPr>
          <w:rFonts w:hAnsi="宋体"/>
        </w:rPr>
        <w:t>《政府采购促进中小企业发展管理办法》</w:t>
      </w:r>
      <w:r>
        <w:rPr>
          <w:rFonts w:hint="eastAsia" w:hAnsi="宋体"/>
        </w:rPr>
        <w:t>（财库〔2</w:t>
      </w:r>
      <w:r>
        <w:rPr>
          <w:rFonts w:hAnsi="宋体"/>
        </w:rPr>
        <w:t>020</w:t>
      </w:r>
      <w:r>
        <w:rPr>
          <w:rFonts w:hint="eastAsia" w:hAnsi="宋体"/>
        </w:rPr>
        <w:t>〕4</w:t>
      </w:r>
      <w:r>
        <w:rPr>
          <w:rFonts w:hAnsi="宋体"/>
        </w:rPr>
        <w:t>6</w:t>
      </w:r>
      <w:r>
        <w:rPr>
          <w:rFonts w:hint="eastAsia" w:hAnsi="宋体"/>
        </w:rPr>
        <w:t>号）</w:t>
      </w:r>
      <w:r>
        <w:rPr>
          <w:rFonts w:hAnsi="宋体"/>
        </w:rPr>
        <w:t>规定，本项目</w:t>
      </w:r>
      <w:r>
        <w:rPr>
          <w:rFonts w:hint="eastAsia" w:hAnsi="宋体"/>
        </w:rPr>
        <w:t>采购标的</w:t>
      </w:r>
      <w:r>
        <w:rPr>
          <w:rFonts w:hAnsi="宋体"/>
        </w:rPr>
        <w:t>为</w:t>
      </w:r>
      <w:r>
        <w:rPr>
          <w:rFonts w:hint="eastAsia" w:hAnsi="宋体"/>
        </w:rPr>
        <w:t>中小</w:t>
      </w:r>
      <w:r>
        <w:rPr>
          <w:rFonts w:hAnsi="宋体"/>
        </w:rPr>
        <w:t>型企业</w:t>
      </w:r>
      <w:r>
        <w:rPr>
          <w:rFonts w:hint="eastAsia" w:hAnsi="宋体"/>
        </w:rPr>
        <w:t>制造、承建或承接</w:t>
      </w:r>
      <w:r>
        <w:rPr>
          <w:rFonts w:hAnsi="宋体"/>
          <w:szCs w:val="24"/>
        </w:rPr>
        <w:t>的，</w:t>
      </w:r>
      <w:r>
        <w:rPr>
          <w:rFonts w:hAnsi="宋体"/>
        </w:rPr>
        <w:t>投标人应</w:t>
      </w:r>
      <w:r>
        <w:rPr>
          <w:rFonts w:hint="eastAsia" w:hAnsi="宋体"/>
        </w:rPr>
        <w:t>提供办法规定的</w:t>
      </w:r>
      <w:r>
        <w:rPr>
          <w:rFonts w:hAnsi="宋体"/>
          <w:szCs w:val="21"/>
        </w:rPr>
        <w:t>《中小企业声明函》</w:t>
      </w:r>
      <w:r>
        <w:rPr>
          <w:rFonts w:hint="eastAsia" w:hAnsi="宋体"/>
          <w:szCs w:val="21"/>
        </w:rPr>
        <w:t>，否则不得享受相关中小企业扶持政策</w:t>
      </w:r>
      <w:r>
        <w:rPr>
          <w:rFonts w:hAnsi="宋体"/>
          <w:szCs w:val="24"/>
        </w:rPr>
        <w:t>。投标人应对提交的中小企业声明函的真实性负责，提交的中小企业声明函不真实的，应承担相应的法律责任</w:t>
      </w:r>
      <w:r>
        <w:rPr>
          <w:rFonts w:hAnsi="宋体"/>
          <w:szCs w:val="21"/>
        </w:rPr>
        <w:t>。</w:t>
      </w:r>
    </w:p>
    <w:p w14:paraId="10E82A49">
      <w:pPr>
        <w:tabs>
          <w:tab w:val="left" w:pos="900"/>
        </w:tabs>
        <w:adjustRightInd w:val="0"/>
        <w:snapToGrid w:val="0"/>
        <w:spacing w:line="360" w:lineRule="auto"/>
        <w:ind w:firstLine="420" w:firstLineChars="200"/>
        <w:rPr>
          <w:rFonts w:hAnsi="宋体"/>
          <w:szCs w:val="24"/>
        </w:rPr>
      </w:pPr>
      <w:r>
        <w:rPr>
          <w:rFonts w:hint="eastAsia" w:hAnsi="宋体"/>
          <w:szCs w:val="24"/>
        </w:rPr>
        <w:t>本项目</w:t>
      </w:r>
      <w:bookmarkStart w:id="4" w:name="OLE_LINK23"/>
      <w:r>
        <w:rPr>
          <w:rFonts w:hint="eastAsia" w:hAnsi="宋体"/>
          <w:szCs w:val="24"/>
        </w:rPr>
        <w:t>采购标的对应的《中小企业划型标准规定》所属行业</w:t>
      </w:r>
      <w:bookmarkEnd w:id="4"/>
      <w:r>
        <w:rPr>
          <w:rFonts w:hint="eastAsia" w:hAnsi="宋体"/>
          <w:szCs w:val="24"/>
        </w:rPr>
        <w:t>为：</w:t>
      </w:r>
      <w:r>
        <w:rPr>
          <w:rFonts w:hint="eastAsia" w:hAnsi="宋体"/>
          <w:szCs w:val="24"/>
          <w:u w:val="single"/>
        </w:rPr>
        <w:t xml:space="preserve"> </w:t>
      </w:r>
      <w:r>
        <w:rPr>
          <w:rFonts w:hAnsi="宋体"/>
          <w:szCs w:val="24"/>
          <w:u w:val="single"/>
        </w:rPr>
        <w:t xml:space="preserve"> </w:t>
      </w:r>
      <w:r>
        <w:rPr>
          <w:rFonts w:hint="eastAsia" w:hAnsi="宋体"/>
          <w:szCs w:val="24"/>
          <w:u w:val="single"/>
        </w:rPr>
        <w:t>住宿业</w:t>
      </w:r>
      <w:r>
        <w:rPr>
          <w:rFonts w:hAnsi="宋体"/>
          <w:szCs w:val="24"/>
          <w:u w:val="single"/>
        </w:rPr>
        <w:t xml:space="preserve">    </w:t>
      </w:r>
      <w:r>
        <w:rPr>
          <w:rFonts w:hint="eastAsia" w:hAnsi="宋体"/>
          <w:szCs w:val="24"/>
        </w:rPr>
        <w:t>。</w:t>
      </w:r>
    </w:p>
    <w:p w14:paraId="34515769">
      <w:pPr>
        <w:tabs>
          <w:tab w:val="left" w:pos="900"/>
        </w:tabs>
        <w:adjustRightInd w:val="0"/>
        <w:snapToGrid w:val="0"/>
        <w:spacing w:line="360" w:lineRule="auto"/>
        <w:ind w:firstLine="420" w:firstLineChars="200"/>
        <w:rPr>
          <w:rFonts w:hAnsi="宋体"/>
          <w:szCs w:val="24"/>
        </w:rPr>
      </w:pPr>
      <w:r>
        <w:rPr>
          <w:rFonts w:hAnsi="宋体"/>
          <w:szCs w:val="24"/>
        </w:rPr>
        <w:t xml:space="preserve">2. </w:t>
      </w:r>
      <w:r>
        <w:rPr>
          <w:rFonts w:hint="eastAsia" w:hAnsi="宋体"/>
          <w:szCs w:val="24"/>
        </w:rPr>
        <w:t>进口产品政策：本采购项目</w:t>
      </w:r>
      <w:r>
        <w:rPr>
          <w:rFonts w:hAnsi="宋体"/>
          <w:szCs w:val="24"/>
        </w:rPr>
        <w:t xml:space="preserve"> </w:t>
      </w:r>
      <w:r>
        <w:rPr>
          <w:rFonts w:hint="eastAsia" w:hAnsi="宋体"/>
          <w:szCs w:val="24"/>
        </w:rPr>
        <w:t>□允许</w:t>
      </w:r>
      <w:r>
        <w:rPr>
          <w:rFonts w:hAnsi="宋体"/>
          <w:szCs w:val="24"/>
        </w:rPr>
        <w:t xml:space="preserve"> </w:t>
      </w:r>
      <w:r>
        <w:rPr>
          <w:rFonts w:hint="eastAsia" w:hAnsi="宋体"/>
          <w:szCs w:val="24"/>
        </w:rPr>
        <w:t>☑不允许</w:t>
      </w:r>
      <w:r>
        <w:rPr>
          <w:rFonts w:hAnsi="宋体"/>
          <w:szCs w:val="24"/>
        </w:rPr>
        <w:t xml:space="preserve"> </w:t>
      </w:r>
      <w:r>
        <w:rPr>
          <w:rFonts w:hint="eastAsia" w:hAnsi="宋体"/>
          <w:szCs w:val="24"/>
        </w:rPr>
        <w:t>进口产品参加。（未进行勾选的，视为只接受本国产品参加）</w:t>
      </w:r>
    </w:p>
    <w:p w14:paraId="3A979E91">
      <w:pPr>
        <w:tabs>
          <w:tab w:val="left" w:pos="900"/>
        </w:tabs>
        <w:adjustRightInd w:val="0"/>
        <w:snapToGrid w:val="0"/>
        <w:spacing w:line="360" w:lineRule="auto"/>
        <w:ind w:firstLine="422" w:firstLineChars="200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二、</w:t>
      </w:r>
      <w:r>
        <w:rPr>
          <w:rFonts w:hAnsi="宋体"/>
          <w:b/>
          <w:szCs w:val="21"/>
        </w:rPr>
        <w:t>采购</w:t>
      </w:r>
      <w:r>
        <w:rPr>
          <w:rFonts w:hint="eastAsia" w:hAnsi="宋体"/>
          <w:b/>
          <w:szCs w:val="21"/>
        </w:rPr>
        <w:t>标的</w:t>
      </w:r>
      <w:r>
        <w:rPr>
          <w:rFonts w:hAnsi="宋体"/>
          <w:b/>
          <w:szCs w:val="21"/>
        </w:rPr>
        <w:t>需执行的国家相关标准、行业标准、地方标准或者其他标准、规范：</w:t>
      </w:r>
    </w:p>
    <w:p w14:paraId="3EB8C4AE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GB/16153—1996 饭店（餐厅）卫生标准；</w:t>
      </w:r>
    </w:p>
    <w:p w14:paraId="1CE61C46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GB5749 生活饮用水卫生标准；</w:t>
      </w:r>
    </w:p>
    <w:p w14:paraId="2CB58002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GB9663 旅店业卫生标准；</w:t>
      </w:r>
    </w:p>
    <w:p w14:paraId="2B5B1A6A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GB9665 公共浴室卫生标准；</w:t>
      </w:r>
    </w:p>
    <w:p w14:paraId="2AC8C861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GB/T10001.1 标志用公共信息图形符号第1部分：通用符号；</w:t>
      </w:r>
    </w:p>
    <w:p w14:paraId="4D759371">
      <w:pPr>
        <w:adjustRightInd w:val="0"/>
        <w:snapToGrid w:val="0"/>
        <w:spacing w:line="360" w:lineRule="auto"/>
        <w:ind w:firstLine="440" w:firstLineChars="2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GB/T10001.2 标志用公共信息图形符号第2部分：旅游设施与服务符号。</w:t>
      </w:r>
    </w:p>
    <w:p w14:paraId="5A8FCC1C">
      <w:pPr>
        <w:tabs>
          <w:tab w:val="left" w:pos="900"/>
        </w:tabs>
        <w:adjustRightInd w:val="0"/>
        <w:snapToGrid w:val="0"/>
        <w:spacing w:line="360" w:lineRule="auto"/>
        <w:ind w:firstLine="422" w:firstLineChars="200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三、采购标的概况</w:t>
      </w:r>
    </w:p>
    <w:p w14:paraId="599624B6">
      <w:pPr>
        <w:adjustRightInd w:val="0"/>
        <w:snapToGrid w:val="0"/>
        <w:spacing w:line="360" w:lineRule="auto"/>
        <w:ind w:firstLine="420" w:firstLineChars="200"/>
        <w:rPr>
          <w:rFonts w:hAnsi="宋体"/>
          <w:szCs w:val="21"/>
        </w:rPr>
      </w:pPr>
      <w:r>
        <w:rPr>
          <w:rFonts w:hint="eastAsia" w:ascii="宋体" w:hAnsi="宋体"/>
          <w:szCs w:val="21"/>
        </w:rPr>
        <w:t>（一）采购项目名称：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zCs w:val="21"/>
          <w:u w:val="single"/>
        </w:rPr>
        <w:t>继续教育学院兴庆校区定点酒店服务</w:t>
      </w:r>
      <w:r>
        <w:rPr>
          <w:rFonts w:ascii="宋体" w:hAnsi="宋体"/>
          <w:szCs w:val="21"/>
          <w:u w:val="single"/>
        </w:rPr>
        <w:t xml:space="preserve"> </w:t>
      </w:r>
    </w:p>
    <w:p w14:paraId="21D4EFB9">
      <w:pPr>
        <w:adjustRightInd w:val="0"/>
        <w:snapToGrid w:val="0"/>
        <w:spacing w:line="360" w:lineRule="auto"/>
        <w:ind w:firstLine="420" w:firstLineChars="200"/>
        <w:rPr>
          <w:rFonts w:ascii="宋体" w:hAnsi="宋体"/>
          <w:szCs w:val="21"/>
          <w:u w:val="single"/>
        </w:rPr>
      </w:pPr>
      <w:r>
        <w:rPr>
          <w:rFonts w:hint="eastAsia" w:hAnsi="宋体"/>
          <w:szCs w:val="21"/>
        </w:rPr>
        <w:t>（二）采购数量及计量单位：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zCs w:val="21"/>
          <w:u w:val="single"/>
        </w:rPr>
        <w:t xml:space="preserve"> 拟遴选4家酒店  </w:t>
      </w:r>
    </w:p>
    <w:p w14:paraId="1B92AE73">
      <w:pPr>
        <w:adjustRightInd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szCs w:val="21"/>
          <w:u w:val="single"/>
        </w:rPr>
      </w:pPr>
      <w:r>
        <w:rPr>
          <w:rFonts w:hint="eastAsia" w:hAnsi="宋体"/>
          <w:szCs w:val="21"/>
        </w:rPr>
        <w:t>（三）最高限价：</w:t>
      </w:r>
      <w:r>
        <w:rPr>
          <w:rFonts w:hint="eastAsia" w:ascii="仿宋" w:hAnsi="仿宋" w:eastAsia="仿宋" w:cs="仿宋"/>
          <w:szCs w:val="21"/>
        </w:rPr>
        <w:t>人民币</w:t>
      </w:r>
      <w:r>
        <w:rPr>
          <w:rFonts w:hint="eastAsia" w:ascii="仿宋" w:hAnsi="仿宋" w:eastAsia="仿宋" w:cs="仿宋"/>
          <w:szCs w:val="21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>500万</w:t>
      </w:r>
      <w:r>
        <w:rPr>
          <w:rFonts w:hint="eastAsia" w:ascii="仿宋" w:hAnsi="仿宋" w:eastAsia="仿宋" w:cs="仿宋"/>
          <w:szCs w:val="21"/>
          <w:u w:val="single"/>
        </w:rPr>
        <w:t xml:space="preserve">  </w:t>
      </w:r>
      <w:r>
        <w:rPr>
          <w:rFonts w:hint="eastAsia" w:ascii="仿宋" w:hAnsi="仿宋" w:eastAsia="仿宋" w:cs="仿宋"/>
          <w:szCs w:val="21"/>
        </w:rPr>
        <w:t>元（大写：</w:t>
      </w:r>
      <w:r>
        <w:rPr>
          <w:rFonts w:hint="eastAsia" w:ascii="仿宋" w:hAnsi="仿宋" w:eastAsia="仿宋" w:cs="仿宋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b/>
          <w:bCs/>
          <w:szCs w:val="21"/>
          <w:u w:val="single"/>
        </w:rPr>
        <w:t>伍佰万圆整</w:t>
      </w:r>
      <w:r>
        <w:rPr>
          <w:rFonts w:hint="eastAsia" w:ascii="仿宋" w:hAnsi="仿宋" w:eastAsia="仿宋" w:cs="仿宋"/>
          <w:szCs w:val="21"/>
          <w:u w:val="single"/>
        </w:rPr>
        <w:t xml:space="preserve">  </w:t>
      </w:r>
      <w:r>
        <w:rPr>
          <w:rFonts w:hint="eastAsia" w:ascii="仿宋" w:hAnsi="仿宋" w:eastAsia="仿宋" w:cs="仿宋"/>
          <w:szCs w:val="21"/>
        </w:rPr>
        <w:t>）</w:t>
      </w:r>
      <w:r>
        <w:rPr>
          <w:rFonts w:hint="eastAsia" w:ascii="仿宋" w:hAnsi="仿宋" w:eastAsia="仿宋" w:cs="仿宋"/>
          <w:szCs w:val="21"/>
          <w:u w:val="single"/>
        </w:rPr>
        <w:t>当实际采购金额达到合同上限或服务期满，任意一项条件满足时，合同终止。</w:t>
      </w:r>
    </w:p>
    <w:p w14:paraId="07AE17BE">
      <w:pPr>
        <w:adjustRightInd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  <w:u w:val="single"/>
        </w:rPr>
        <w:t>注：开标一览表的投标总价及系统填报均按</w:t>
      </w:r>
      <w:r>
        <w:rPr>
          <w:rFonts w:hint="eastAsia" w:ascii="仿宋" w:hAnsi="仿宋" w:eastAsia="仿宋" w:cs="仿宋"/>
          <w:b/>
          <w:bCs/>
          <w:szCs w:val="21"/>
          <w:u w:val="single"/>
        </w:rPr>
        <w:t>单价</w:t>
      </w:r>
      <w:r>
        <w:rPr>
          <w:rFonts w:hint="eastAsia" w:ascii="仿宋" w:hAnsi="仿宋" w:eastAsia="仿宋" w:cs="仿宋"/>
          <w:szCs w:val="21"/>
          <w:u w:val="single"/>
        </w:rPr>
        <w:t>报价。</w:t>
      </w:r>
    </w:p>
    <w:p w14:paraId="72B992CF">
      <w:pPr>
        <w:adjustRightInd w:val="0"/>
        <w:snapToGrid w:val="0"/>
        <w:spacing w:line="360" w:lineRule="auto"/>
        <w:ind w:firstLine="420" w:firstLineChars="200"/>
        <w:rPr>
          <w:szCs w:val="21"/>
        </w:rPr>
      </w:pPr>
      <w:r>
        <w:rPr>
          <w:rFonts w:hint="eastAsia" w:hAnsi="宋体"/>
          <w:szCs w:val="21"/>
        </w:rPr>
        <w:t>（四）</w:t>
      </w:r>
      <w:r>
        <w:rPr>
          <w:rFonts w:hAnsi="宋体"/>
          <w:szCs w:val="21"/>
        </w:rPr>
        <w:t>交付时间：</w:t>
      </w:r>
      <w:r>
        <w:rPr>
          <w:rFonts w:hint="eastAsia" w:ascii="仿宋" w:hAnsi="仿宋" w:eastAsia="仿宋" w:cs="仿宋"/>
        </w:rPr>
        <w:t>合同签订后</w:t>
      </w:r>
      <w:r>
        <w:rPr>
          <w:rFonts w:hint="eastAsia" w:ascii="仿宋" w:hAnsi="仿宋" w:eastAsia="仿宋" w:cs="仿宋"/>
          <w:u w:val="single"/>
        </w:rPr>
        <w:t xml:space="preserve"> </w:t>
      </w:r>
      <w:r>
        <w:rPr>
          <w:rFonts w:hint="eastAsia" w:ascii="仿宋" w:hAnsi="仿宋" w:eastAsia="仿宋" w:cs="仿宋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Cs w:val="21"/>
          <w:highlight w:val="none"/>
          <w:u w:val="single"/>
        </w:rPr>
        <w:t>1</w:t>
      </w:r>
      <w:r>
        <w:rPr>
          <w:rFonts w:hint="eastAsia" w:ascii="仿宋" w:hAnsi="仿宋" w:eastAsia="仿宋" w:cs="仿宋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u w:val="single"/>
        </w:rPr>
        <w:t xml:space="preserve">年 </w:t>
      </w:r>
      <w:r>
        <w:rPr>
          <w:rFonts w:hint="eastAsia" w:ascii="仿宋" w:hAnsi="仿宋" w:eastAsia="仿宋" w:cs="仿宋"/>
        </w:rPr>
        <w:t>内</w:t>
      </w:r>
    </w:p>
    <w:p w14:paraId="544209DB">
      <w:pPr>
        <w:tabs>
          <w:tab w:val="left" w:pos="420"/>
          <w:tab w:val="left" w:pos="900"/>
        </w:tabs>
        <w:adjustRightInd w:val="0"/>
        <w:snapToGri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hAnsi="宋体"/>
          <w:szCs w:val="21"/>
        </w:rPr>
        <w:t>（五）</w:t>
      </w:r>
      <w:r>
        <w:rPr>
          <w:rFonts w:hAnsi="宋体"/>
          <w:szCs w:val="21"/>
        </w:rPr>
        <w:t>交付地点：</w:t>
      </w:r>
      <w:r>
        <w:rPr>
          <w:rFonts w:hAnsi="宋体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zCs w:val="21"/>
          <w:u w:val="single"/>
        </w:rPr>
        <w:t xml:space="preserve">西安交通大学兴庆校区  </w:t>
      </w:r>
      <w:r>
        <w:rPr>
          <w:rFonts w:hAnsi="宋体"/>
          <w:szCs w:val="21"/>
          <w:u w:val="single"/>
        </w:rPr>
        <w:t xml:space="preserve"> </w:t>
      </w:r>
    </w:p>
    <w:p w14:paraId="179C3B80">
      <w:pPr>
        <w:tabs>
          <w:tab w:val="left" w:pos="900"/>
        </w:tabs>
        <w:adjustRightInd w:val="0"/>
        <w:snapToGrid w:val="0"/>
        <w:spacing w:line="360" w:lineRule="auto"/>
        <w:ind w:firstLine="420" w:firstLineChars="200"/>
        <w:rPr>
          <w:rFonts w:hAnsi="宋体"/>
          <w:szCs w:val="21"/>
        </w:rPr>
      </w:pPr>
      <w:r>
        <w:rPr>
          <w:rFonts w:hint="eastAsia" w:hAnsi="宋体"/>
          <w:szCs w:val="21"/>
        </w:rPr>
        <w:t>（六）付款进度安排：</w:t>
      </w:r>
      <w:r>
        <w:rPr>
          <w:rFonts w:hint="eastAsia" w:cs="宋体" w:asciiTheme="minorEastAsia" w:hAnsiTheme="minorEastAsia"/>
          <w:b/>
          <w:color w:val="000000"/>
          <w:kern w:val="0"/>
          <w:szCs w:val="21"/>
        </w:rPr>
        <w:t>☑</w:t>
      </w:r>
      <w:r>
        <w:rPr>
          <w:rFonts w:hint="eastAsia" w:hAnsi="宋体"/>
          <w:szCs w:val="21"/>
        </w:rPr>
        <w:t xml:space="preserve"> 按</w:t>
      </w:r>
      <w:r>
        <w:rPr>
          <w:rFonts w:hAnsi="宋体"/>
          <w:szCs w:val="21"/>
        </w:rPr>
        <w:t>采购文件</w:t>
      </w:r>
      <w:r>
        <w:rPr>
          <w:rFonts w:hint="eastAsia" w:hAnsi="宋体"/>
          <w:szCs w:val="21"/>
        </w:rPr>
        <w:t>要求。</w:t>
      </w:r>
    </w:p>
    <w:p w14:paraId="43912367">
      <w:pPr>
        <w:tabs>
          <w:tab w:val="left" w:pos="900"/>
        </w:tabs>
        <w:adjustRightInd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szCs w:val="21"/>
          <w:u w:val="single"/>
        </w:rPr>
      </w:pPr>
      <w:r>
        <w:rPr>
          <w:rFonts w:hint="eastAsia" w:ascii="仿宋" w:hAnsi="仿宋" w:eastAsia="仿宋" w:cs="仿宋"/>
          <w:szCs w:val="21"/>
          <w:u w:val="single"/>
        </w:rPr>
        <w:t>采购人按各酒店接待的“实际间数×间/夜价格”计算支付总额，按班次据实结算。</w:t>
      </w:r>
    </w:p>
    <w:p w14:paraId="3C999C16">
      <w:pPr>
        <w:widowControl/>
        <w:spacing w:line="450" w:lineRule="atLeast"/>
        <w:ind w:firstLine="422" w:firstLineChars="200"/>
        <w:jc w:val="left"/>
        <w:textAlignment w:val="baseline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hAnsi="宋体"/>
          <w:b/>
          <w:szCs w:val="21"/>
          <w:lang w:val="en-US" w:eastAsia="zh-CN"/>
        </w:rPr>
        <w:t>四、采购标的需满足的质量、安全、技术规格、物理特性等要求：</w:t>
      </w:r>
    </w:p>
    <w:p w14:paraId="1FACD520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1.住宿房间价格按标准间（含双早）、单人间和普通套房(含早餐)三种类型确定，以间/夜为单位计。</w:t>
      </w:r>
    </w:p>
    <w:p w14:paraId="74F0CC53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2.有会议室的酒店，按会议室规格报价。</w:t>
      </w:r>
    </w:p>
    <w:p w14:paraId="29AD0FB2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3.具有满足50人同时用餐的接待能力。</w:t>
      </w:r>
    </w:p>
    <w:p w14:paraId="2417C4C3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4.所有费用据实结算。</w:t>
      </w:r>
    </w:p>
    <w:p w14:paraId="7B849A33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5.报价：</w:t>
      </w:r>
      <w:r>
        <w:rPr>
          <w:rFonts w:hint="eastAsia" w:ascii="仿宋" w:hAnsi="仿宋" w:eastAsia="仿宋"/>
          <w:b/>
          <w:bCs/>
          <w:sz w:val="24"/>
          <w:szCs w:val="24"/>
        </w:rPr>
        <w:t>（淡季每间夜+旺季每间夜）/2</w:t>
      </w:r>
    </w:p>
    <w:p w14:paraId="1A89011C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淡季：每年11月1日至次年3月31日，最高限价350元/间/夜（含房费、早餐费），报价超出350元/间/夜则按照无效标处理。</w:t>
      </w:r>
    </w:p>
    <w:p w14:paraId="18D83BC8">
      <w:pPr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旺季：每年4月1日至10月31日，最高限价500元/间/夜（含房费、早餐费），报价超出500元/间/夜则按照无效标处理。</w:t>
      </w:r>
    </w:p>
    <w:p w14:paraId="1AE58A99">
      <w:pPr>
        <w:ind w:firstLine="422" w:firstLineChars="200"/>
        <w:rPr>
          <w:rFonts w:hAnsi="宋体"/>
          <w:b/>
          <w:bCs/>
          <w:szCs w:val="21"/>
        </w:rPr>
      </w:pPr>
    </w:p>
    <w:p w14:paraId="3C9B1A72">
      <w:pPr>
        <w:widowControl/>
        <w:spacing w:line="450" w:lineRule="atLeast"/>
        <w:ind w:firstLine="422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hAnsi="宋体"/>
          <w:b/>
          <w:bCs/>
          <w:szCs w:val="21"/>
        </w:rPr>
        <w:t>表1：</w:t>
      </w:r>
      <w:r>
        <w:rPr>
          <w:rFonts w:hint="eastAsia" w:ascii="仿宋" w:hAnsi="仿宋" w:eastAsia="仿宋"/>
          <w:sz w:val="24"/>
          <w:szCs w:val="24"/>
        </w:rPr>
        <w:t>此表作为最终评分表，本次采购的价格（含税）分淡、旺季，服务期内按协议价执行。</w:t>
      </w:r>
    </w:p>
    <w:p w14:paraId="718CAE22">
      <w:pPr>
        <w:widowControl/>
        <w:spacing w:line="450" w:lineRule="atLeast"/>
        <w:ind w:firstLine="562" w:firstLineChars="200"/>
        <w:jc w:val="left"/>
        <w:textAlignment w:val="baseline"/>
        <w:rPr>
          <w:rFonts w:ascii="仿宋" w:hAnsi="仿宋" w:eastAsia="仿宋"/>
          <w:b/>
          <w:sz w:val="28"/>
          <w:szCs w:val="24"/>
        </w:rPr>
      </w:pPr>
      <w:r>
        <w:rPr>
          <w:rFonts w:hint="eastAsia" w:ascii="仿宋" w:hAnsi="仿宋" w:eastAsia="仿宋"/>
          <w:b/>
          <w:sz w:val="28"/>
          <w:szCs w:val="24"/>
        </w:rPr>
        <w:t>投标报价=（</w:t>
      </w:r>
      <w:r>
        <w:rPr>
          <w:rFonts w:ascii="仿宋" w:hAnsi="仿宋" w:eastAsia="仿宋"/>
          <w:b/>
          <w:sz w:val="28"/>
          <w:szCs w:val="24"/>
        </w:rPr>
        <w:t>淡季</w:t>
      </w:r>
      <w:r>
        <w:rPr>
          <w:rFonts w:hint="eastAsia" w:ascii="仿宋" w:hAnsi="仿宋" w:eastAsia="仿宋"/>
          <w:b/>
          <w:sz w:val="28"/>
          <w:szCs w:val="24"/>
        </w:rPr>
        <w:t>每间夜+旺季每间夜）/2</w:t>
      </w:r>
    </w:p>
    <w:p w14:paraId="04EEAE03">
      <w:pPr>
        <w:ind w:firstLine="562" w:firstLineChars="200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定点酒店评分表</w:t>
      </w:r>
    </w:p>
    <w:tbl>
      <w:tblPr>
        <w:tblStyle w:val="10"/>
        <w:tblW w:w="978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985"/>
        <w:gridCol w:w="1701"/>
        <w:gridCol w:w="1701"/>
        <w:gridCol w:w="1560"/>
        <w:gridCol w:w="1134"/>
      </w:tblGrid>
      <w:tr w14:paraId="74733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02" w:type="dxa"/>
            <w:vAlign w:val="center"/>
          </w:tcPr>
          <w:p w14:paraId="18CB74A8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酒店名称</w:t>
            </w:r>
          </w:p>
        </w:tc>
        <w:tc>
          <w:tcPr>
            <w:tcW w:w="1985" w:type="dxa"/>
            <w:vAlign w:val="center"/>
          </w:tcPr>
          <w:p w14:paraId="481F659A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房间标准（m</w:t>
            </w:r>
            <w:r>
              <w:rPr>
                <w:rFonts w:ascii="Calibri" w:hAnsi="Calibri" w:eastAsia="仿宋" w:cs="Calibri"/>
                <w:b/>
                <w:kern w:val="0"/>
                <w:sz w:val="24"/>
                <w:szCs w:val="22"/>
              </w:rPr>
              <w:t>²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2"/>
              </w:rPr>
              <w:t>）</w:t>
            </w:r>
          </w:p>
        </w:tc>
        <w:tc>
          <w:tcPr>
            <w:tcW w:w="3402" w:type="dxa"/>
            <w:gridSpan w:val="2"/>
            <w:vAlign w:val="center"/>
          </w:tcPr>
          <w:p w14:paraId="2740EC99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投标报价（元）</w:t>
            </w:r>
          </w:p>
        </w:tc>
        <w:tc>
          <w:tcPr>
            <w:tcW w:w="1560" w:type="dxa"/>
            <w:vAlign w:val="center"/>
          </w:tcPr>
          <w:p w14:paraId="62E2F680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服务期限</w:t>
            </w:r>
          </w:p>
        </w:tc>
        <w:tc>
          <w:tcPr>
            <w:tcW w:w="1134" w:type="dxa"/>
            <w:vAlign w:val="center"/>
          </w:tcPr>
          <w:p w14:paraId="2CB48F1E">
            <w:pPr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备注</w:t>
            </w:r>
          </w:p>
        </w:tc>
      </w:tr>
      <w:tr w14:paraId="2DA96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702" w:type="dxa"/>
            <w:vMerge w:val="restart"/>
            <w:vAlign w:val="center"/>
          </w:tcPr>
          <w:p w14:paraId="1A56E5F6">
            <w:pPr>
              <w:widowControl/>
              <w:spacing w:line="450" w:lineRule="atLeast"/>
              <w:ind w:firstLine="723" w:firstLineChars="300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2DE4D6D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标准间</w:t>
            </w:r>
          </w:p>
        </w:tc>
        <w:tc>
          <w:tcPr>
            <w:tcW w:w="1701" w:type="dxa"/>
            <w:vAlign w:val="center"/>
          </w:tcPr>
          <w:p w14:paraId="552085B7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：间/夜</w:t>
            </w:r>
          </w:p>
        </w:tc>
        <w:tc>
          <w:tcPr>
            <w:tcW w:w="1701" w:type="dxa"/>
            <w:vMerge w:val="restart"/>
            <w:vAlign w:val="center"/>
          </w:tcPr>
          <w:p w14:paraId="54215A23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2A043003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达到合同金额上限或合同期限1年</w:t>
            </w:r>
          </w:p>
        </w:tc>
        <w:tc>
          <w:tcPr>
            <w:tcW w:w="1134" w:type="dxa"/>
            <w:vMerge w:val="restart"/>
            <w:vAlign w:val="center"/>
          </w:tcPr>
          <w:p w14:paraId="7B0A3FBC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含双早餐费</w:t>
            </w:r>
          </w:p>
        </w:tc>
      </w:tr>
      <w:tr w14:paraId="3A2C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702" w:type="dxa"/>
            <w:vMerge w:val="continue"/>
            <w:vAlign w:val="center"/>
          </w:tcPr>
          <w:p w14:paraId="2269E457">
            <w:pPr>
              <w:widowControl/>
              <w:spacing w:line="450" w:lineRule="atLeast"/>
              <w:ind w:firstLine="723" w:firstLineChars="300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yellow"/>
              </w:rPr>
            </w:pPr>
          </w:p>
        </w:tc>
        <w:tc>
          <w:tcPr>
            <w:tcW w:w="1985" w:type="dxa"/>
            <w:vMerge w:val="continue"/>
            <w:vAlign w:val="center"/>
          </w:tcPr>
          <w:p w14:paraId="1C04FA8F">
            <w:pPr>
              <w:widowControl/>
              <w:spacing w:line="450" w:lineRule="atLeast"/>
              <w:ind w:firstLine="482" w:firstLineChars="200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7211B5E3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yellow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旺季：间/夜</w:t>
            </w:r>
          </w:p>
        </w:tc>
        <w:tc>
          <w:tcPr>
            <w:tcW w:w="1701" w:type="dxa"/>
            <w:vMerge w:val="continue"/>
            <w:vAlign w:val="center"/>
          </w:tcPr>
          <w:p w14:paraId="674D9A5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yellow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4DAFABA7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yellow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5B602C6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yellow"/>
              </w:rPr>
            </w:pPr>
          </w:p>
        </w:tc>
      </w:tr>
    </w:tbl>
    <w:p w14:paraId="0627476D">
      <w:pPr>
        <w:widowControl/>
        <w:spacing w:line="450" w:lineRule="atLeast"/>
        <w:jc w:val="left"/>
        <w:textAlignment w:val="baseline"/>
        <w:rPr>
          <w:rFonts w:hint="eastAsia" w:ascii="仿宋" w:hAnsi="仿宋" w:eastAsia="仿宋"/>
          <w:b/>
          <w:sz w:val="32"/>
          <w:szCs w:val="28"/>
        </w:rPr>
      </w:pPr>
    </w:p>
    <w:p w14:paraId="6C1FD279">
      <w:pPr>
        <w:ind w:firstLine="422" w:firstLineChars="200"/>
        <w:rPr>
          <w:rFonts w:hAnsi="宋体"/>
          <w:szCs w:val="21"/>
        </w:rPr>
      </w:pPr>
      <w:r>
        <w:rPr>
          <w:rFonts w:hint="eastAsia" w:hAnsi="宋体"/>
          <w:b/>
          <w:bCs/>
          <w:szCs w:val="21"/>
        </w:rPr>
        <w:t>表2：</w:t>
      </w:r>
      <w:r>
        <w:rPr>
          <w:rFonts w:hint="eastAsia" w:ascii="仿宋" w:hAnsi="仿宋" w:eastAsia="仿宋"/>
          <w:sz w:val="24"/>
          <w:szCs w:val="24"/>
        </w:rPr>
        <w:t>此表只报价，不作为评分计算。本次采购的价格（含税）分淡、旺季，1年合同期内按协议价执行。正餐（中、晚餐）统一按自助餐或桌餐标准报价（按每人每餐每次报价）。</w:t>
      </w:r>
    </w:p>
    <w:p w14:paraId="120AB7F0">
      <w:pPr>
        <w:widowControl/>
        <w:spacing w:line="450" w:lineRule="atLeast"/>
        <w:ind w:firstLine="562" w:firstLineChars="200"/>
        <w:jc w:val="center"/>
        <w:textAlignment w:val="baseline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定点酒店报价表</w:t>
      </w:r>
    </w:p>
    <w:tbl>
      <w:tblPr>
        <w:tblStyle w:val="10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482"/>
        <w:gridCol w:w="1701"/>
        <w:gridCol w:w="2977"/>
        <w:gridCol w:w="1559"/>
      </w:tblGrid>
      <w:tr w14:paraId="70BEC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779" w:type="dxa"/>
            <w:vAlign w:val="center"/>
          </w:tcPr>
          <w:p w14:paraId="2F39E5F2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房间标准</w:t>
            </w:r>
          </w:p>
        </w:tc>
        <w:tc>
          <w:tcPr>
            <w:tcW w:w="1482" w:type="dxa"/>
            <w:vAlign w:val="center"/>
          </w:tcPr>
          <w:p w14:paraId="02117570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房间面积（m²)</w:t>
            </w:r>
          </w:p>
        </w:tc>
        <w:tc>
          <w:tcPr>
            <w:tcW w:w="1701" w:type="dxa"/>
            <w:vAlign w:val="center"/>
          </w:tcPr>
          <w:p w14:paraId="0460ED2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可提供</w:t>
            </w:r>
          </w:p>
          <w:p w14:paraId="39916F9F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房间数（间）</w:t>
            </w:r>
          </w:p>
        </w:tc>
        <w:tc>
          <w:tcPr>
            <w:tcW w:w="2977" w:type="dxa"/>
            <w:vAlign w:val="center"/>
          </w:tcPr>
          <w:p w14:paraId="77956055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报价</w:t>
            </w:r>
          </w:p>
          <w:p w14:paraId="4B79AF8B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（元/间/夜）</w:t>
            </w:r>
          </w:p>
        </w:tc>
        <w:tc>
          <w:tcPr>
            <w:tcW w:w="1559" w:type="dxa"/>
            <w:vAlign w:val="center"/>
          </w:tcPr>
          <w:p w14:paraId="4F17A4F7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备 注</w:t>
            </w:r>
          </w:p>
        </w:tc>
      </w:tr>
      <w:tr w14:paraId="0D67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restart"/>
            <w:vAlign w:val="center"/>
          </w:tcPr>
          <w:p w14:paraId="19FDD62E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标准间</w:t>
            </w:r>
          </w:p>
        </w:tc>
        <w:tc>
          <w:tcPr>
            <w:tcW w:w="1482" w:type="dxa"/>
            <w:vMerge w:val="restart"/>
          </w:tcPr>
          <w:p w14:paraId="285CC133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5CA7F45D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0C50496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restart"/>
            <w:vAlign w:val="center"/>
          </w:tcPr>
          <w:p w14:paraId="4221E175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含双早</w:t>
            </w:r>
          </w:p>
        </w:tc>
      </w:tr>
      <w:tr w14:paraId="4781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continue"/>
            <w:vAlign w:val="center"/>
          </w:tcPr>
          <w:p w14:paraId="5B8E4810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  <w:vMerge w:val="continue"/>
          </w:tcPr>
          <w:p w14:paraId="4A720A3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continue"/>
          </w:tcPr>
          <w:p w14:paraId="1F60A60C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A148E64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旺季：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65E04D44">
            <w:pPr>
              <w:widowControl/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21AB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restart"/>
            <w:vAlign w:val="center"/>
          </w:tcPr>
          <w:p w14:paraId="0045CEED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单人间</w:t>
            </w:r>
          </w:p>
        </w:tc>
        <w:tc>
          <w:tcPr>
            <w:tcW w:w="1482" w:type="dxa"/>
            <w:vMerge w:val="restart"/>
          </w:tcPr>
          <w:p w14:paraId="4D968692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74ED358A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D59B88A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restart"/>
          </w:tcPr>
          <w:p w14:paraId="61294C25">
            <w:pPr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  <w:p w14:paraId="74C5F8A2">
            <w:pPr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  <w:p w14:paraId="487C74EE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含早餐</w:t>
            </w:r>
          </w:p>
          <w:p w14:paraId="3CC9824D">
            <w:pPr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13F0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continue"/>
            <w:vAlign w:val="center"/>
          </w:tcPr>
          <w:p w14:paraId="7BBE1F66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  <w:vMerge w:val="continue"/>
          </w:tcPr>
          <w:p w14:paraId="400D6B6F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continue"/>
          </w:tcPr>
          <w:p w14:paraId="7B5829B4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BE1443C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旺季：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2DEBB9A6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0180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restart"/>
            <w:vAlign w:val="center"/>
          </w:tcPr>
          <w:p w14:paraId="3B58C7F7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red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套间</w:t>
            </w:r>
          </w:p>
        </w:tc>
        <w:tc>
          <w:tcPr>
            <w:tcW w:w="1482" w:type="dxa"/>
            <w:vMerge w:val="restart"/>
          </w:tcPr>
          <w:p w14:paraId="5C5FB6EB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53FCCF6D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CEBD573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13EBBFAC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79BC8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continue"/>
          </w:tcPr>
          <w:p w14:paraId="04F072DD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  <w:vMerge w:val="continue"/>
          </w:tcPr>
          <w:p w14:paraId="64DA34C5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continue"/>
          </w:tcPr>
          <w:p w14:paraId="14F68D56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C23CC75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旺季：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736870E2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58F85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restart"/>
            <w:vAlign w:val="center"/>
          </w:tcPr>
          <w:p w14:paraId="035A5BEC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标准间</w:t>
            </w:r>
          </w:p>
        </w:tc>
        <w:tc>
          <w:tcPr>
            <w:tcW w:w="1482" w:type="dxa"/>
            <w:vMerge w:val="restart"/>
          </w:tcPr>
          <w:p w14:paraId="3BDA1AF3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3CD6EC53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FD4888A">
            <w:pPr>
              <w:widowControl/>
              <w:spacing w:line="450" w:lineRule="atLeast"/>
              <w:jc w:val="both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restart"/>
            <w:vAlign w:val="center"/>
          </w:tcPr>
          <w:p w14:paraId="54D47512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不含双早</w:t>
            </w:r>
          </w:p>
        </w:tc>
      </w:tr>
      <w:tr w14:paraId="767CC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continue"/>
            <w:vAlign w:val="center"/>
          </w:tcPr>
          <w:p w14:paraId="7B4FD43E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  <w:vMerge w:val="continue"/>
          </w:tcPr>
          <w:p w14:paraId="61AE81AC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continue"/>
          </w:tcPr>
          <w:p w14:paraId="2F6E3F50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CC6BA76">
            <w:pPr>
              <w:widowControl/>
              <w:spacing w:line="450" w:lineRule="atLeast"/>
              <w:jc w:val="both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旺季：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  <w:vAlign w:val="center"/>
          </w:tcPr>
          <w:p w14:paraId="4485BE11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42AC7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restart"/>
            <w:shd w:val="clear" w:color="auto" w:fill="auto"/>
            <w:vAlign w:val="center"/>
          </w:tcPr>
          <w:p w14:paraId="17C2248B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单人间</w:t>
            </w:r>
          </w:p>
        </w:tc>
        <w:tc>
          <w:tcPr>
            <w:tcW w:w="1482" w:type="dxa"/>
            <w:vMerge w:val="restart"/>
          </w:tcPr>
          <w:p w14:paraId="49EDECE2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6E2A74E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B00F38A">
            <w:pPr>
              <w:widowControl/>
              <w:spacing w:line="450" w:lineRule="atLeast"/>
              <w:jc w:val="both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restart"/>
            <w:vAlign w:val="center"/>
          </w:tcPr>
          <w:p w14:paraId="562341C6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不含早餐</w:t>
            </w:r>
          </w:p>
        </w:tc>
      </w:tr>
      <w:tr w14:paraId="322EE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continue"/>
          </w:tcPr>
          <w:p w14:paraId="4C7462BD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  <w:vMerge w:val="continue"/>
          </w:tcPr>
          <w:p w14:paraId="5BD376E3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continue"/>
          </w:tcPr>
          <w:p w14:paraId="56570D71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52FCCED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旺季：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75A46EF6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70EE7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restart"/>
            <w:shd w:val="clear" w:color="auto" w:fill="auto"/>
            <w:vAlign w:val="center"/>
          </w:tcPr>
          <w:p w14:paraId="5541C77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  <w:highlight w:val="red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套间</w:t>
            </w:r>
          </w:p>
        </w:tc>
        <w:tc>
          <w:tcPr>
            <w:tcW w:w="1482" w:type="dxa"/>
            <w:vMerge w:val="restart"/>
          </w:tcPr>
          <w:p w14:paraId="0C5A5B4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6438AF1B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EBFD09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>淡季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62A1B832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409A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79" w:type="dxa"/>
            <w:vMerge w:val="continue"/>
          </w:tcPr>
          <w:p w14:paraId="5B7379D8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  <w:vMerge w:val="continue"/>
          </w:tcPr>
          <w:p w14:paraId="75A8B542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701" w:type="dxa"/>
            <w:vMerge w:val="continue"/>
          </w:tcPr>
          <w:p w14:paraId="5A096074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F6EABF2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旺季：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元/间/夜</w:t>
            </w:r>
          </w:p>
        </w:tc>
        <w:tc>
          <w:tcPr>
            <w:tcW w:w="1559" w:type="dxa"/>
            <w:vMerge w:val="continue"/>
          </w:tcPr>
          <w:p w14:paraId="01A9212F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35044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restart"/>
          </w:tcPr>
          <w:p w14:paraId="485612F7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  <w:p w14:paraId="6DB30774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会议室</w:t>
            </w:r>
          </w:p>
          <w:p w14:paraId="71EFA884">
            <w:pPr>
              <w:widowControl/>
              <w:spacing w:line="450" w:lineRule="atLeast"/>
              <w:ind w:firstLine="241" w:firstLineChars="1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</w:tcPr>
          <w:p w14:paraId="13A38027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大：   （㎡)</w:t>
            </w:r>
          </w:p>
        </w:tc>
        <w:tc>
          <w:tcPr>
            <w:tcW w:w="4678" w:type="dxa"/>
            <w:gridSpan w:val="2"/>
          </w:tcPr>
          <w:p w14:paraId="169AECE8">
            <w:pPr>
              <w:widowControl/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价格：</w:t>
            </w:r>
          </w:p>
        </w:tc>
        <w:tc>
          <w:tcPr>
            <w:tcW w:w="1559" w:type="dxa"/>
            <w:vMerge w:val="restart"/>
            <w:vAlign w:val="center"/>
          </w:tcPr>
          <w:p w14:paraId="5D962F59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只报价，不做评分。</w:t>
            </w:r>
          </w:p>
        </w:tc>
      </w:tr>
      <w:tr w14:paraId="4B6AF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continue"/>
          </w:tcPr>
          <w:p w14:paraId="652FFA97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</w:tcPr>
          <w:p w14:paraId="186C8EDF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中：   （㎡)</w:t>
            </w:r>
          </w:p>
        </w:tc>
        <w:tc>
          <w:tcPr>
            <w:tcW w:w="4678" w:type="dxa"/>
            <w:gridSpan w:val="2"/>
          </w:tcPr>
          <w:p w14:paraId="3B08B358">
            <w:pPr>
              <w:widowControl/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价格：</w:t>
            </w:r>
          </w:p>
        </w:tc>
        <w:tc>
          <w:tcPr>
            <w:tcW w:w="1559" w:type="dxa"/>
            <w:vMerge w:val="continue"/>
          </w:tcPr>
          <w:p w14:paraId="7AEADBEA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78D6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Merge w:val="continue"/>
          </w:tcPr>
          <w:p w14:paraId="5F5B2D58">
            <w:pPr>
              <w:widowControl/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  <w:tc>
          <w:tcPr>
            <w:tcW w:w="1482" w:type="dxa"/>
          </w:tcPr>
          <w:p w14:paraId="6C1A3D07">
            <w:pPr>
              <w:widowControl/>
              <w:spacing w:line="450" w:lineRule="atLeas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小：   （㎡)</w:t>
            </w:r>
          </w:p>
        </w:tc>
        <w:tc>
          <w:tcPr>
            <w:tcW w:w="4678" w:type="dxa"/>
            <w:gridSpan w:val="2"/>
          </w:tcPr>
          <w:p w14:paraId="2AC0985F">
            <w:pPr>
              <w:widowControl/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价格：</w:t>
            </w:r>
          </w:p>
        </w:tc>
        <w:tc>
          <w:tcPr>
            <w:tcW w:w="1559" w:type="dxa"/>
            <w:vMerge w:val="continue"/>
          </w:tcPr>
          <w:p w14:paraId="10FAA667">
            <w:pPr>
              <w:widowControl/>
              <w:spacing w:line="450" w:lineRule="atLeast"/>
              <w:ind w:firstLine="723" w:firstLineChars="300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</w:p>
        </w:tc>
      </w:tr>
      <w:tr w14:paraId="134E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79" w:type="dxa"/>
            <w:vAlign w:val="center"/>
          </w:tcPr>
          <w:p w14:paraId="5768EF91">
            <w:pPr>
              <w:spacing w:line="450" w:lineRule="atLeast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早餐</w:t>
            </w:r>
          </w:p>
        </w:tc>
        <w:tc>
          <w:tcPr>
            <w:tcW w:w="6160" w:type="dxa"/>
            <w:gridSpan w:val="3"/>
          </w:tcPr>
          <w:p w14:paraId="6DE14913">
            <w:pPr>
              <w:widowControl/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价格：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元/人</w:t>
            </w:r>
          </w:p>
        </w:tc>
        <w:tc>
          <w:tcPr>
            <w:tcW w:w="1559" w:type="dxa"/>
          </w:tcPr>
          <w:p w14:paraId="6773BC6F">
            <w:pPr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自助餐，只报价，不做评分。</w:t>
            </w:r>
          </w:p>
        </w:tc>
      </w:tr>
      <w:tr w14:paraId="1BD5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79" w:type="dxa"/>
            <w:vAlign w:val="center"/>
          </w:tcPr>
          <w:p w14:paraId="5ABE986C">
            <w:pPr>
              <w:spacing w:line="450" w:lineRule="atLeast"/>
              <w:ind w:firstLine="241" w:firstLineChars="100"/>
              <w:jc w:val="center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中/晚餐</w:t>
            </w:r>
          </w:p>
        </w:tc>
        <w:tc>
          <w:tcPr>
            <w:tcW w:w="6160" w:type="dxa"/>
            <w:gridSpan w:val="3"/>
          </w:tcPr>
          <w:p w14:paraId="77EA1CA7">
            <w:pPr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价格：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元/人</w:t>
            </w:r>
          </w:p>
          <w:p w14:paraId="5CEA4E1C">
            <w:pPr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 xml:space="preserve">或 </w:t>
            </w:r>
            <w:r>
              <w:rPr>
                <w:rFonts w:ascii="仿宋" w:hAnsi="仿宋" w:eastAsia="仿宋"/>
                <w:b/>
                <w:kern w:val="0"/>
                <w:sz w:val="24"/>
                <w:szCs w:val="22"/>
              </w:rPr>
              <w:t xml:space="preserve">       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元/桌</w:t>
            </w:r>
          </w:p>
        </w:tc>
        <w:tc>
          <w:tcPr>
            <w:tcW w:w="1559" w:type="dxa"/>
          </w:tcPr>
          <w:p w14:paraId="23C37113">
            <w:pPr>
              <w:spacing w:line="450" w:lineRule="atLeast"/>
              <w:jc w:val="left"/>
              <w:textAlignment w:val="baseline"/>
              <w:rPr>
                <w:rFonts w:ascii="仿宋" w:hAnsi="仿宋" w:eastAsia="仿宋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2"/>
              </w:rPr>
              <w:t>自助餐或桌餐，只报价，不做评分。桌餐请注明餐标</w:t>
            </w:r>
          </w:p>
        </w:tc>
      </w:tr>
    </w:tbl>
    <w:p w14:paraId="2CC8A1A5">
      <w:pPr>
        <w:tabs>
          <w:tab w:val="left" w:pos="900"/>
        </w:tabs>
        <w:adjustRightInd w:val="0"/>
        <w:snapToGrid w:val="0"/>
        <w:spacing w:line="360" w:lineRule="auto"/>
        <w:rPr>
          <w:rFonts w:hAnsi="宋体"/>
          <w:b/>
          <w:szCs w:val="21"/>
        </w:rPr>
      </w:pPr>
      <w:bookmarkStart w:id="5" w:name="_GoBack"/>
      <w:bookmarkEnd w:id="5"/>
    </w:p>
    <w:p w14:paraId="316275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22" w:firstLineChars="200"/>
        <w:jc w:val="left"/>
        <w:textAlignment w:val="baseline"/>
        <w:rPr>
          <w:rFonts w:hint="eastAsia" w:hAnsi="宋体"/>
          <w:b/>
          <w:szCs w:val="21"/>
          <w:lang w:val="en-US" w:eastAsia="zh-CN"/>
        </w:rPr>
      </w:pPr>
      <w:r>
        <w:rPr>
          <w:rFonts w:hint="eastAsia" w:hAnsi="宋体"/>
          <w:b/>
          <w:szCs w:val="21"/>
          <w:lang w:val="en-US" w:eastAsia="zh-CN"/>
        </w:rPr>
        <w:t>五、采购标的需满足的服务标准、期限、效率等要求</w:t>
      </w:r>
    </w:p>
    <w:p w14:paraId="374700B1">
      <w:pPr>
        <w:widowControl/>
        <w:spacing w:line="450" w:lineRule="atLeast"/>
        <w:ind w:firstLine="482" w:firstLineChars="200"/>
        <w:jc w:val="left"/>
        <w:textAlignment w:val="baseline"/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（一）资质要求</w:t>
      </w:r>
    </w:p>
    <w:p w14:paraId="3C133621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卫生许可证；食品经营许可证；消防安全合格证或消防安全检查意见书；特种设备使用标志（电梯）或电梯定期检验报告。</w:t>
      </w:r>
    </w:p>
    <w:p w14:paraId="56233412">
      <w:pPr>
        <w:widowControl/>
        <w:spacing w:line="450" w:lineRule="atLeast"/>
        <w:ind w:firstLine="482" w:firstLineChars="200"/>
        <w:jc w:val="left"/>
        <w:textAlignment w:val="baseline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（二）硬件设施要求</w:t>
      </w:r>
    </w:p>
    <w:p w14:paraId="5A86BE92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</w:t>
      </w:r>
      <w:r>
        <w:rPr>
          <w:rFonts w:hint="eastAsia" w:ascii="仿宋" w:hAnsi="仿宋" w:eastAsia="仿宋"/>
          <w:sz w:val="24"/>
          <w:szCs w:val="24"/>
          <w:highlight w:val="none"/>
        </w:rPr>
        <w:t>.酒店距离西安交通大学兴庆校区</w:t>
      </w:r>
      <w:r>
        <w:rPr>
          <w:rFonts w:ascii="仿宋" w:hAnsi="仿宋" w:eastAsia="仿宋"/>
          <w:sz w:val="24"/>
          <w:szCs w:val="24"/>
          <w:highlight w:val="none"/>
        </w:rPr>
        <w:t>3</w:t>
      </w:r>
      <w:r>
        <w:rPr>
          <w:rFonts w:hint="eastAsia" w:ascii="仿宋" w:hAnsi="仿宋" w:eastAsia="仿宋"/>
          <w:sz w:val="24"/>
          <w:szCs w:val="24"/>
          <w:highlight w:val="none"/>
        </w:rPr>
        <w:t xml:space="preserve">公里以内或与西安交通大学签订《教育培训合作协议》的定点酒店或被授予“党政机关会议定点场所”挂牌酒店； </w:t>
      </w:r>
    </w:p>
    <w:p w14:paraId="3DD8024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</w:t>
      </w:r>
      <w:r>
        <w:rPr>
          <w:rFonts w:ascii="仿宋" w:hAnsi="仿宋" w:eastAsia="仿宋"/>
          <w:sz w:val="24"/>
          <w:szCs w:val="24"/>
        </w:rPr>
        <w:t>.</w:t>
      </w:r>
      <w:r>
        <w:rPr>
          <w:rFonts w:hint="eastAsia" w:ascii="仿宋" w:hAnsi="仿宋" w:eastAsia="仿宋"/>
          <w:sz w:val="24"/>
          <w:szCs w:val="24"/>
        </w:rPr>
        <w:t>免费提供可临时停放大巴车的场地；</w:t>
      </w:r>
    </w:p>
    <w:p w14:paraId="00AA22DB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.住宿质量要求</w:t>
      </w:r>
    </w:p>
    <w:p w14:paraId="5F5034FD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（1）标准间面</w:t>
      </w:r>
      <w:r>
        <w:rPr>
          <w:rFonts w:hint="eastAsia" w:ascii="仿宋" w:hAnsi="仿宋" w:eastAsia="仿宋"/>
          <w:sz w:val="24"/>
          <w:szCs w:val="24"/>
          <w:highlight w:val="none"/>
        </w:rPr>
        <w:t>积不小于</w:t>
      </w:r>
      <w:r>
        <w:rPr>
          <w:rFonts w:hint="eastAsia" w:ascii="仿宋" w:hAnsi="仿宋" w:eastAsia="仿宋"/>
          <w:sz w:val="24"/>
          <w:szCs w:val="24"/>
        </w:rPr>
        <w:t>15平方米；</w:t>
      </w:r>
    </w:p>
    <w:p w14:paraId="17BDD220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（2）标准间床宽不小于1.2米；</w:t>
      </w:r>
    </w:p>
    <w:p w14:paraId="25BEC0E3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（3）室内必须有可打开通风的窗户；</w:t>
      </w:r>
    </w:p>
    <w:p w14:paraId="14079BBB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（4）装修良好、美观，有梳妆台或写字台、衣橱及衣架、座椅或简易沙发、床头柜、床头灯及行李架等配套家具；</w:t>
      </w:r>
    </w:p>
    <w:p w14:paraId="728F2093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（5）室内地毯或木地板等；</w:t>
      </w:r>
    </w:p>
    <w:p w14:paraId="459B5491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（6）卫生间装有抽水马桶、梳妆台(配备面盆、梳妆镜和盥洗用品、淋浴间；</w:t>
      </w:r>
    </w:p>
    <w:p w14:paraId="1334B3C0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（7）具有有效的防滑措施及排风系统；</w:t>
      </w:r>
    </w:p>
    <w:p w14:paraId="6155380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（8）24小时供应冷、热水；</w:t>
      </w:r>
    </w:p>
    <w:p w14:paraId="4B074DB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（9）有冷热空调系统、电话机、彩色电视机、宽带接入端口或免费Wifi服务、电源插座、遮光窗帘;客房每天清理1次，客用品和消耗品补充齐全，免费矿泉水2瓶/天;</w:t>
      </w:r>
    </w:p>
    <w:p w14:paraId="53A5361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（10）提供留言和叫醒服务。</w:t>
      </w:r>
    </w:p>
    <w:p w14:paraId="689E0913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.用餐质量要求</w:t>
      </w:r>
    </w:p>
    <w:p w14:paraId="466BF73F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（1）早餐保证三道热菜、小菜、蛋类、饮品等；</w:t>
      </w:r>
    </w:p>
    <w:p w14:paraId="1DB663A6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（2）正餐至少保证五道热菜（荤素搭配），三道凉菜（荤素搭配）、主食、饮品等。</w:t>
      </w:r>
    </w:p>
    <w:p w14:paraId="003EB712">
      <w:pPr>
        <w:widowControl/>
        <w:spacing w:line="450" w:lineRule="atLeast"/>
        <w:ind w:firstLine="482" w:firstLineChars="200"/>
        <w:jc w:val="left"/>
        <w:textAlignment w:val="baseline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（三）服务要求</w:t>
      </w:r>
    </w:p>
    <w:p w14:paraId="65F37C93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1.酒店必须优先满足学院学员入住，安排专人负责预定、结算、备餐、总协调等事宜；</w:t>
      </w:r>
    </w:p>
    <w:p w14:paraId="2F767624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2.酒店对入住学员信息负有保密职责，违约泄密经查实，终止服务并追究法律责任；</w:t>
      </w:r>
    </w:p>
    <w:p w14:paraId="1D373AB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3.酒店应提供学员满意的住宿餐饮服务，若发生学员投诉，经核实属于酒店责任的停止半年服务；</w:t>
      </w:r>
    </w:p>
    <w:p w14:paraId="50DA1E54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4.酒店配合学院提供报到接待、分发学习资料等相应服务；</w:t>
      </w:r>
      <w:r>
        <w:rPr>
          <w:rFonts w:ascii="仿宋" w:hAnsi="仿宋" w:eastAsia="仿宋"/>
          <w:sz w:val="24"/>
          <w:szCs w:val="24"/>
        </w:rPr>
        <w:t xml:space="preserve"> </w:t>
      </w:r>
    </w:p>
    <w:p w14:paraId="6311D4E2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5.酒店必须在开具发票的同时提供电子结算单，以便培训委托单位报销。</w:t>
      </w:r>
    </w:p>
    <w:p w14:paraId="3133B55C">
      <w:pPr>
        <w:widowControl/>
        <w:spacing w:line="450" w:lineRule="atLeast"/>
        <w:ind w:firstLine="482" w:firstLineChars="200"/>
        <w:jc w:val="left"/>
        <w:textAlignment w:val="baseline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（四）安全要求</w:t>
      </w:r>
    </w:p>
    <w:p w14:paraId="484AF216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1.住宿安全要求</w:t>
      </w:r>
    </w:p>
    <w:p w14:paraId="75F1D1E6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（1）客人入住手续规范，符合公安部门的登记住宿规定；</w:t>
      </w:r>
    </w:p>
    <w:p w14:paraId="3356410B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（2）客房内张贴或放置旅客住宿须知，有应急疏散图；</w:t>
      </w:r>
    </w:p>
    <w:p w14:paraId="50D8058C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（3）有24小时安保服务；</w:t>
      </w:r>
    </w:p>
    <w:p w14:paraId="3C80C32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（4）客房门窥镜、门锁、安全链牢固有效；</w:t>
      </w:r>
    </w:p>
    <w:p w14:paraId="1A566BE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（5）有应对火灾、爆炸、停水停电和自然灾害等突发事件的应急预案；</w:t>
      </w:r>
    </w:p>
    <w:p w14:paraId="0F59FBB8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（6）学员入住酒店期间，若发生人身财产等意外事件，酒店承担相应的经济赔偿及法律责任，若对学院造成不良影响，视情节轻重，扣除本班次结算金额的10%-30%作为赔偿金。</w:t>
      </w:r>
    </w:p>
    <w:p w14:paraId="275428BF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2.用餐安全要求</w:t>
      </w:r>
    </w:p>
    <w:p w14:paraId="315299E6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（1）外购食（饮）品和加工制作食（饮）品符合《中华人民共和国食品卫生法》规定，安全卫生；</w:t>
      </w:r>
    </w:p>
    <w:p w14:paraId="44019E1D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color w:val="FF0000"/>
          <w:sz w:val="24"/>
          <w:szCs w:val="24"/>
          <w:shd w:val="pct15" w:color="auto" w:fill="FFFFFF"/>
        </w:rPr>
      </w:pPr>
      <w:r>
        <w:rPr>
          <w:rFonts w:hint="eastAsia" w:ascii="仿宋" w:hAnsi="仿宋" w:eastAsia="仿宋"/>
          <w:sz w:val="24"/>
          <w:szCs w:val="24"/>
        </w:rPr>
        <w:t>（2）食品加工者需持有健康证；</w:t>
      </w:r>
    </w:p>
    <w:p w14:paraId="550B89F0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（3）食品原材料的采购、运输、存储符合《中华人民共和国食品卫生法》规定；</w:t>
      </w:r>
    </w:p>
    <w:p w14:paraId="1E0AE152">
      <w:pPr>
        <w:widowControl/>
        <w:spacing w:line="450" w:lineRule="atLeast"/>
        <w:ind w:firstLine="480" w:firstLineChars="200"/>
        <w:jc w:val="left"/>
        <w:textAlignment w:val="baseline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（4）餐具、饮具（含茶具）每日清洗、消毒；</w:t>
      </w:r>
    </w:p>
    <w:p w14:paraId="78575DA1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（5）食品安全应急处置预案。</w:t>
      </w:r>
    </w:p>
    <w:p w14:paraId="2EB4DA5D">
      <w:pPr>
        <w:widowControl/>
        <w:spacing w:line="450" w:lineRule="atLeast"/>
        <w:ind w:firstLine="422" w:firstLineChars="200"/>
        <w:jc w:val="left"/>
        <w:textAlignment w:val="baseline"/>
        <w:rPr>
          <w:rFonts w:hint="eastAsia" w:hAnsi="宋体"/>
          <w:b/>
          <w:szCs w:val="21"/>
          <w:lang w:val="en-US" w:eastAsia="zh-CN"/>
        </w:rPr>
      </w:pPr>
      <w:r>
        <w:rPr>
          <w:rFonts w:hint="eastAsia" w:hAnsi="宋体"/>
          <w:b/>
          <w:szCs w:val="21"/>
          <w:lang w:val="en-US" w:eastAsia="zh-CN"/>
        </w:rPr>
        <w:t>六、采购标的的履约验收标准</w:t>
      </w:r>
    </w:p>
    <w:p w14:paraId="704FA9D7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1.采购人</w:t>
      </w:r>
      <w:r>
        <w:rPr>
          <w:rFonts w:hint="eastAsia" w:ascii="仿宋" w:hAnsi="仿宋" w:eastAsia="仿宋"/>
          <w:sz w:val="24"/>
          <w:szCs w:val="24"/>
        </w:rPr>
        <w:t>根据项目特点对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中标人</w:t>
      </w:r>
      <w:r>
        <w:rPr>
          <w:rFonts w:hint="eastAsia" w:ascii="仿宋" w:hAnsi="仿宋" w:eastAsia="仿宋"/>
          <w:sz w:val="24"/>
          <w:szCs w:val="24"/>
        </w:rPr>
        <w:t>服务期内的服务履约实施情况进行考核，结合考核情况和服务效果进行验收。验收报告须经国资处备案。</w:t>
      </w:r>
    </w:p>
    <w:p w14:paraId="6FD91C5F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2.服务期满，中标人形成服务期的履约情况报告，采购人对照合同与采购文件，核查酒店接待服务、客房配套、食品安全、应急保障、投诉整改等履约情况，结合服务期内业务部门的履约评价及满意度综合评估，出具履约验收意见，形成</w:t>
      </w:r>
      <w:r>
        <w:rPr>
          <w:rFonts w:hint="eastAsia" w:ascii="仿宋" w:hAnsi="仿宋" w:eastAsia="仿宋"/>
          <w:sz w:val="24"/>
          <w:szCs w:val="24"/>
        </w:rPr>
        <w:t>《学校采购服务类项目验收报告》《服务类供应商履约情况评价表》。国资处可根据项目情况采用抽查等方式进行复核。</w:t>
      </w:r>
    </w:p>
    <w:p w14:paraId="13865B65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/>
          <w:sz w:val="24"/>
          <w:szCs w:val="24"/>
        </w:rPr>
        <w:t>除现场验收外，需提供的其他验收要求</w:t>
      </w:r>
    </w:p>
    <w:p w14:paraId="487F07EF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验收时是否需提供第三方检测报告</w:t>
      </w:r>
      <w:r>
        <w:rPr>
          <w:rFonts w:hint="eastAsia" w:ascii="仿宋" w:hAnsi="仿宋" w:eastAsia="仿宋"/>
          <w:sz w:val="24"/>
          <w:szCs w:val="24"/>
        </w:rPr>
        <w:tab/>
      </w:r>
    </w:p>
    <w:p w14:paraId="038E2CBC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□是 </w:t>
      </w:r>
      <w:r>
        <w:rPr>
          <w:rFonts w:hint="eastAsia" w:ascii="仿宋" w:hAnsi="仿宋" w:eastAsia="仿宋"/>
          <w:sz w:val="24"/>
          <w:szCs w:val="24"/>
          <w:lang w:eastAsia="zh-CN"/>
        </w:rPr>
        <w:t>☑</w:t>
      </w:r>
      <w:r>
        <w:rPr>
          <w:rFonts w:hint="eastAsia" w:ascii="仿宋" w:hAnsi="仿宋" w:eastAsia="仿宋"/>
          <w:sz w:val="24"/>
          <w:szCs w:val="24"/>
        </w:rPr>
        <w:t>否</w:t>
      </w:r>
    </w:p>
    <w:p w14:paraId="0B3ED972">
      <w:pPr>
        <w:widowControl/>
        <w:spacing w:line="450" w:lineRule="atLeast"/>
        <w:ind w:firstLine="480" w:firstLineChars="200"/>
        <w:jc w:val="left"/>
        <w:textAlignment w:val="baseline"/>
        <w:rPr>
          <w:rFonts w:hint="eastAsia" w:ascii="仿宋" w:hAnsi="仿宋" w:eastAsia="仿宋"/>
          <w:sz w:val="24"/>
          <w:szCs w:val="24"/>
        </w:rPr>
      </w:pPr>
    </w:p>
    <w:bookmarkEnd w:id="1"/>
    <w:bookmarkEnd w:id="2"/>
    <w:bookmarkEnd w:id="3"/>
    <w:p w14:paraId="793C7502">
      <w:pPr>
        <w:tabs>
          <w:tab w:val="left" w:pos="900"/>
        </w:tabs>
        <w:adjustRightInd w:val="0"/>
        <w:snapToGrid w:val="0"/>
        <w:spacing w:line="360" w:lineRule="auto"/>
        <w:rPr>
          <w:rFonts w:hAnsi="宋体"/>
          <w:b/>
          <w:szCs w:val="21"/>
        </w:rPr>
      </w:pPr>
    </w:p>
    <w:sectPr>
      <w:footerReference r:id="rId3" w:type="default"/>
      <w:pgSz w:w="11906" w:h="16838"/>
      <w:pgMar w:top="1871" w:right="1418" w:bottom="1588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34912B-CD22-4303-9DF4-950F5DCEDB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3D63FF0-D07F-4962-8D51-BE411608295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F50D2530-7BA1-4541-A426-0D3FB9E6CF2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07F358D-FB32-4065-93D2-9745E3D3A4F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C1B7B27-C99E-4B52-A3D4-37C2E2172C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DA28B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1FC"/>
    <w:rsid w:val="00000ADB"/>
    <w:rsid w:val="000045B7"/>
    <w:rsid w:val="0000609F"/>
    <w:rsid w:val="00012B28"/>
    <w:rsid w:val="000170BA"/>
    <w:rsid w:val="00017928"/>
    <w:rsid w:val="00017C9A"/>
    <w:rsid w:val="00020392"/>
    <w:rsid w:val="000345B6"/>
    <w:rsid w:val="00037EB6"/>
    <w:rsid w:val="0004707F"/>
    <w:rsid w:val="000578DF"/>
    <w:rsid w:val="00060610"/>
    <w:rsid w:val="00063B9E"/>
    <w:rsid w:val="000816A4"/>
    <w:rsid w:val="00090056"/>
    <w:rsid w:val="00092B2E"/>
    <w:rsid w:val="00094C16"/>
    <w:rsid w:val="000A209A"/>
    <w:rsid w:val="000A21C5"/>
    <w:rsid w:val="000A57A8"/>
    <w:rsid w:val="000B5F74"/>
    <w:rsid w:val="000C588B"/>
    <w:rsid w:val="000C5FD7"/>
    <w:rsid w:val="000D1438"/>
    <w:rsid w:val="000E50F5"/>
    <w:rsid w:val="000F1FA8"/>
    <w:rsid w:val="000F2A29"/>
    <w:rsid w:val="00102045"/>
    <w:rsid w:val="00105428"/>
    <w:rsid w:val="001118D9"/>
    <w:rsid w:val="0011348A"/>
    <w:rsid w:val="00121267"/>
    <w:rsid w:val="001218F7"/>
    <w:rsid w:val="00121B7F"/>
    <w:rsid w:val="001262EF"/>
    <w:rsid w:val="0012727F"/>
    <w:rsid w:val="0013226A"/>
    <w:rsid w:val="00134751"/>
    <w:rsid w:val="00140AF0"/>
    <w:rsid w:val="00140C41"/>
    <w:rsid w:val="00141299"/>
    <w:rsid w:val="0014178C"/>
    <w:rsid w:val="001507CE"/>
    <w:rsid w:val="00150952"/>
    <w:rsid w:val="00150BB2"/>
    <w:rsid w:val="0015496B"/>
    <w:rsid w:val="00157667"/>
    <w:rsid w:val="001609FC"/>
    <w:rsid w:val="00162A76"/>
    <w:rsid w:val="00163196"/>
    <w:rsid w:val="00176534"/>
    <w:rsid w:val="00177BD4"/>
    <w:rsid w:val="0018461B"/>
    <w:rsid w:val="00192B6A"/>
    <w:rsid w:val="001B03C0"/>
    <w:rsid w:val="001B0A84"/>
    <w:rsid w:val="001B1B91"/>
    <w:rsid w:val="001B38ED"/>
    <w:rsid w:val="001B712C"/>
    <w:rsid w:val="001C0880"/>
    <w:rsid w:val="001C19BA"/>
    <w:rsid w:val="001C3356"/>
    <w:rsid w:val="001C3D78"/>
    <w:rsid w:val="001C41C3"/>
    <w:rsid w:val="001C5915"/>
    <w:rsid w:val="001C7C84"/>
    <w:rsid w:val="001E0980"/>
    <w:rsid w:val="001E1FDF"/>
    <w:rsid w:val="001E5B8B"/>
    <w:rsid w:val="001E6AB1"/>
    <w:rsid w:val="001F2F73"/>
    <w:rsid w:val="0021026B"/>
    <w:rsid w:val="00214F3E"/>
    <w:rsid w:val="002204EA"/>
    <w:rsid w:val="002262A0"/>
    <w:rsid w:val="00230B96"/>
    <w:rsid w:val="00233C66"/>
    <w:rsid w:val="00237253"/>
    <w:rsid w:val="002440C5"/>
    <w:rsid w:val="00244594"/>
    <w:rsid w:val="00244A77"/>
    <w:rsid w:val="00245208"/>
    <w:rsid w:val="002501FD"/>
    <w:rsid w:val="002529C7"/>
    <w:rsid w:val="00255503"/>
    <w:rsid w:val="00255550"/>
    <w:rsid w:val="002569F5"/>
    <w:rsid w:val="00264031"/>
    <w:rsid w:val="0027521E"/>
    <w:rsid w:val="00277679"/>
    <w:rsid w:val="00280353"/>
    <w:rsid w:val="002815C8"/>
    <w:rsid w:val="002878EA"/>
    <w:rsid w:val="00290359"/>
    <w:rsid w:val="00293B6E"/>
    <w:rsid w:val="00297819"/>
    <w:rsid w:val="002A4902"/>
    <w:rsid w:val="002A6571"/>
    <w:rsid w:val="002B287A"/>
    <w:rsid w:val="002B3A1B"/>
    <w:rsid w:val="002C0CC3"/>
    <w:rsid w:val="002C1D63"/>
    <w:rsid w:val="002C7863"/>
    <w:rsid w:val="002D06B9"/>
    <w:rsid w:val="002D68DE"/>
    <w:rsid w:val="002D7991"/>
    <w:rsid w:val="002D7EBC"/>
    <w:rsid w:val="002E1EFE"/>
    <w:rsid w:val="002F0BEB"/>
    <w:rsid w:val="00300CA8"/>
    <w:rsid w:val="003027D7"/>
    <w:rsid w:val="00303423"/>
    <w:rsid w:val="00305D95"/>
    <w:rsid w:val="00306DA8"/>
    <w:rsid w:val="003078A0"/>
    <w:rsid w:val="00310E17"/>
    <w:rsid w:val="003113D4"/>
    <w:rsid w:val="00311594"/>
    <w:rsid w:val="0031502A"/>
    <w:rsid w:val="00323357"/>
    <w:rsid w:val="003243F0"/>
    <w:rsid w:val="00327213"/>
    <w:rsid w:val="0033313D"/>
    <w:rsid w:val="003458D7"/>
    <w:rsid w:val="00345D8D"/>
    <w:rsid w:val="00351AB0"/>
    <w:rsid w:val="00353168"/>
    <w:rsid w:val="00353C03"/>
    <w:rsid w:val="00353EC3"/>
    <w:rsid w:val="00361390"/>
    <w:rsid w:val="0036352F"/>
    <w:rsid w:val="003649AF"/>
    <w:rsid w:val="00365116"/>
    <w:rsid w:val="003711D8"/>
    <w:rsid w:val="00371949"/>
    <w:rsid w:val="00375975"/>
    <w:rsid w:val="0037638F"/>
    <w:rsid w:val="00381C4A"/>
    <w:rsid w:val="00390F4C"/>
    <w:rsid w:val="003A243E"/>
    <w:rsid w:val="003B1B61"/>
    <w:rsid w:val="003B4712"/>
    <w:rsid w:val="003C207F"/>
    <w:rsid w:val="003C277F"/>
    <w:rsid w:val="003D06DB"/>
    <w:rsid w:val="003D4AEF"/>
    <w:rsid w:val="003E4113"/>
    <w:rsid w:val="003E4FDA"/>
    <w:rsid w:val="003E5394"/>
    <w:rsid w:val="003E675E"/>
    <w:rsid w:val="003F1D71"/>
    <w:rsid w:val="003F341A"/>
    <w:rsid w:val="003F37A4"/>
    <w:rsid w:val="003F4F91"/>
    <w:rsid w:val="003F5577"/>
    <w:rsid w:val="003F57FA"/>
    <w:rsid w:val="003F7CB0"/>
    <w:rsid w:val="003F7E54"/>
    <w:rsid w:val="00400968"/>
    <w:rsid w:val="00406295"/>
    <w:rsid w:val="00410B1E"/>
    <w:rsid w:val="004151CD"/>
    <w:rsid w:val="00415A37"/>
    <w:rsid w:val="00426CB3"/>
    <w:rsid w:val="00436B73"/>
    <w:rsid w:val="004374DA"/>
    <w:rsid w:val="00440EDB"/>
    <w:rsid w:val="00442A4D"/>
    <w:rsid w:val="00453832"/>
    <w:rsid w:val="00455ED6"/>
    <w:rsid w:val="004712B7"/>
    <w:rsid w:val="0048154C"/>
    <w:rsid w:val="00481EE9"/>
    <w:rsid w:val="00490D0E"/>
    <w:rsid w:val="00491E5A"/>
    <w:rsid w:val="00492DD3"/>
    <w:rsid w:val="004951D7"/>
    <w:rsid w:val="00495B30"/>
    <w:rsid w:val="004A43F0"/>
    <w:rsid w:val="004A69FE"/>
    <w:rsid w:val="004B3DFE"/>
    <w:rsid w:val="004C0EDE"/>
    <w:rsid w:val="004C6E57"/>
    <w:rsid w:val="004D47EE"/>
    <w:rsid w:val="004D7FAC"/>
    <w:rsid w:val="004E36C2"/>
    <w:rsid w:val="004E4B14"/>
    <w:rsid w:val="004F27FB"/>
    <w:rsid w:val="00501176"/>
    <w:rsid w:val="00501E8E"/>
    <w:rsid w:val="0051081D"/>
    <w:rsid w:val="00510891"/>
    <w:rsid w:val="0051141F"/>
    <w:rsid w:val="00524AB7"/>
    <w:rsid w:val="0052535A"/>
    <w:rsid w:val="005307ED"/>
    <w:rsid w:val="0053111A"/>
    <w:rsid w:val="00537D96"/>
    <w:rsid w:val="00544653"/>
    <w:rsid w:val="00545874"/>
    <w:rsid w:val="00551F52"/>
    <w:rsid w:val="00555D36"/>
    <w:rsid w:val="00557A2C"/>
    <w:rsid w:val="00557F71"/>
    <w:rsid w:val="00562C62"/>
    <w:rsid w:val="00562FB7"/>
    <w:rsid w:val="005633CE"/>
    <w:rsid w:val="00571ADE"/>
    <w:rsid w:val="00572CCF"/>
    <w:rsid w:val="005732C7"/>
    <w:rsid w:val="005737B7"/>
    <w:rsid w:val="00575012"/>
    <w:rsid w:val="005774B1"/>
    <w:rsid w:val="00582A16"/>
    <w:rsid w:val="005853E9"/>
    <w:rsid w:val="00585AD7"/>
    <w:rsid w:val="00586153"/>
    <w:rsid w:val="0059304A"/>
    <w:rsid w:val="005951EF"/>
    <w:rsid w:val="005B02D0"/>
    <w:rsid w:val="005B0AC7"/>
    <w:rsid w:val="005B317C"/>
    <w:rsid w:val="005B5B9E"/>
    <w:rsid w:val="005B62C9"/>
    <w:rsid w:val="005B698D"/>
    <w:rsid w:val="005B6A13"/>
    <w:rsid w:val="005C3DA0"/>
    <w:rsid w:val="005D1A12"/>
    <w:rsid w:val="005E0008"/>
    <w:rsid w:val="005E373A"/>
    <w:rsid w:val="005E6A0A"/>
    <w:rsid w:val="005E7748"/>
    <w:rsid w:val="005E7C85"/>
    <w:rsid w:val="005F06FA"/>
    <w:rsid w:val="005F1571"/>
    <w:rsid w:val="005F26A4"/>
    <w:rsid w:val="005F271F"/>
    <w:rsid w:val="005F3727"/>
    <w:rsid w:val="005F401F"/>
    <w:rsid w:val="0060360E"/>
    <w:rsid w:val="00605B14"/>
    <w:rsid w:val="00611202"/>
    <w:rsid w:val="00611E61"/>
    <w:rsid w:val="006139E7"/>
    <w:rsid w:val="00620197"/>
    <w:rsid w:val="00620652"/>
    <w:rsid w:val="006237BE"/>
    <w:rsid w:val="00634FF1"/>
    <w:rsid w:val="00636F27"/>
    <w:rsid w:val="00640733"/>
    <w:rsid w:val="00642B2A"/>
    <w:rsid w:val="0064334B"/>
    <w:rsid w:val="00643D51"/>
    <w:rsid w:val="006538FB"/>
    <w:rsid w:val="006706FD"/>
    <w:rsid w:val="006772FA"/>
    <w:rsid w:val="00681FDD"/>
    <w:rsid w:val="006873DB"/>
    <w:rsid w:val="006878E9"/>
    <w:rsid w:val="006A6A2F"/>
    <w:rsid w:val="006C2706"/>
    <w:rsid w:val="006C2918"/>
    <w:rsid w:val="006C4154"/>
    <w:rsid w:val="006C511C"/>
    <w:rsid w:val="006C687D"/>
    <w:rsid w:val="006C782C"/>
    <w:rsid w:val="006D095D"/>
    <w:rsid w:val="006D2C2D"/>
    <w:rsid w:val="006D3A11"/>
    <w:rsid w:val="006E1E8B"/>
    <w:rsid w:val="006E330A"/>
    <w:rsid w:val="006F3B7B"/>
    <w:rsid w:val="006F5B28"/>
    <w:rsid w:val="006F5E53"/>
    <w:rsid w:val="006F7061"/>
    <w:rsid w:val="007011DF"/>
    <w:rsid w:val="00703AC6"/>
    <w:rsid w:val="00710AA5"/>
    <w:rsid w:val="00711E56"/>
    <w:rsid w:val="007132C5"/>
    <w:rsid w:val="00715B3F"/>
    <w:rsid w:val="0071642D"/>
    <w:rsid w:val="00717C94"/>
    <w:rsid w:val="00721306"/>
    <w:rsid w:val="007234E0"/>
    <w:rsid w:val="00725D8A"/>
    <w:rsid w:val="00727C0A"/>
    <w:rsid w:val="00730287"/>
    <w:rsid w:val="007369E1"/>
    <w:rsid w:val="0074203F"/>
    <w:rsid w:val="007435CD"/>
    <w:rsid w:val="007437CA"/>
    <w:rsid w:val="00746CF7"/>
    <w:rsid w:val="007554BB"/>
    <w:rsid w:val="00755FDD"/>
    <w:rsid w:val="0075752D"/>
    <w:rsid w:val="00760039"/>
    <w:rsid w:val="00763273"/>
    <w:rsid w:val="0076501A"/>
    <w:rsid w:val="00770F4F"/>
    <w:rsid w:val="007803AD"/>
    <w:rsid w:val="007839AE"/>
    <w:rsid w:val="00785146"/>
    <w:rsid w:val="00791CD0"/>
    <w:rsid w:val="007A059E"/>
    <w:rsid w:val="007A41C0"/>
    <w:rsid w:val="007A5A82"/>
    <w:rsid w:val="007A5DE1"/>
    <w:rsid w:val="007A7B4C"/>
    <w:rsid w:val="007B0025"/>
    <w:rsid w:val="007B0FEB"/>
    <w:rsid w:val="007B4412"/>
    <w:rsid w:val="007C7E7D"/>
    <w:rsid w:val="007D270D"/>
    <w:rsid w:val="007D2C32"/>
    <w:rsid w:val="007D423E"/>
    <w:rsid w:val="007D4F3E"/>
    <w:rsid w:val="007D72DA"/>
    <w:rsid w:val="007D7B8D"/>
    <w:rsid w:val="007E1C48"/>
    <w:rsid w:val="007E62AE"/>
    <w:rsid w:val="007E73EB"/>
    <w:rsid w:val="007F1338"/>
    <w:rsid w:val="007F2546"/>
    <w:rsid w:val="007F4BD9"/>
    <w:rsid w:val="007F4C10"/>
    <w:rsid w:val="007F5C59"/>
    <w:rsid w:val="00800E12"/>
    <w:rsid w:val="00801053"/>
    <w:rsid w:val="0080610F"/>
    <w:rsid w:val="00810968"/>
    <w:rsid w:val="00811918"/>
    <w:rsid w:val="008153D5"/>
    <w:rsid w:val="00823CA9"/>
    <w:rsid w:val="00824562"/>
    <w:rsid w:val="00825F4C"/>
    <w:rsid w:val="00831869"/>
    <w:rsid w:val="00833A4F"/>
    <w:rsid w:val="00834FF0"/>
    <w:rsid w:val="0083650B"/>
    <w:rsid w:val="008403A0"/>
    <w:rsid w:val="0084652E"/>
    <w:rsid w:val="00846FC6"/>
    <w:rsid w:val="00847A0B"/>
    <w:rsid w:val="00860344"/>
    <w:rsid w:val="00860346"/>
    <w:rsid w:val="008627C7"/>
    <w:rsid w:val="008635D7"/>
    <w:rsid w:val="00870113"/>
    <w:rsid w:val="00873F09"/>
    <w:rsid w:val="008775E2"/>
    <w:rsid w:val="00881F75"/>
    <w:rsid w:val="008875CA"/>
    <w:rsid w:val="0089621F"/>
    <w:rsid w:val="008A7248"/>
    <w:rsid w:val="008B21EB"/>
    <w:rsid w:val="008B5DBC"/>
    <w:rsid w:val="008C0BE7"/>
    <w:rsid w:val="008C49D1"/>
    <w:rsid w:val="008C7368"/>
    <w:rsid w:val="008D094B"/>
    <w:rsid w:val="008D11A7"/>
    <w:rsid w:val="008D17DD"/>
    <w:rsid w:val="008D4186"/>
    <w:rsid w:val="008D5F08"/>
    <w:rsid w:val="008E111B"/>
    <w:rsid w:val="008E38CF"/>
    <w:rsid w:val="008E5DAA"/>
    <w:rsid w:val="008E5F1D"/>
    <w:rsid w:val="008E6FAC"/>
    <w:rsid w:val="008F2ED3"/>
    <w:rsid w:val="008F3C13"/>
    <w:rsid w:val="008F6AEC"/>
    <w:rsid w:val="00902581"/>
    <w:rsid w:val="00912013"/>
    <w:rsid w:val="00915D65"/>
    <w:rsid w:val="00925E61"/>
    <w:rsid w:val="0092649F"/>
    <w:rsid w:val="0093090F"/>
    <w:rsid w:val="00946EF5"/>
    <w:rsid w:val="0095685D"/>
    <w:rsid w:val="0095718B"/>
    <w:rsid w:val="009604BB"/>
    <w:rsid w:val="009618B7"/>
    <w:rsid w:val="00962CDE"/>
    <w:rsid w:val="0099177F"/>
    <w:rsid w:val="00992532"/>
    <w:rsid w:val="00995789"/>
    <w:rsid w:val="009A7391"/>
    <w:rsid w:val="009B2EF0"/>
    <w:rsid w:val="009B3732"/>
    <w:rsid w:val="009B4C25"/>
    <w:rsid w:val="009B628C"/>
    <w:rsid w:val="009C2163"/>
    <w:rsid w:val="009C257D"/>
    <w:rsid w:val="009C3957"/>
    <w:rsid w:val="009C5FCD"/>
    <w:rsid w:val="009D18B6"/>
    <w:rsid w:val="009D2D9F"/>
    <w:rsid w:val="009D33C2"/>
    <w:rsid w:val="009D3518"/>
    <w:rsid w:val="009E0F69"/>
    <w:rsid w:val="009F0011"/>
    <w:rsid w:val="009F206D"/>
    <w:rsid w:val="009F3B77"/>
    <w:rsid w:val="009F66DE"/>
    <w:rsid w:val="009F6CAB"/>
    <w:rsid w:val="009F7A2C"/>
    <w:rsid w:val="00A01710"/>
    <w:rsid w:val="00A047F0"/>
    <w:rsid w:val="00A14ED7"/>
    <w:rsid w:val="00A161FC"/>
    <w:rsid w:val="00A2430D"/>
    <w:rsid w:val="00A30C68"/>
    <w:rsid w:val="00A322A2"/>
    <w:rsid w:val="00A4094F"/>
    <w:rsid w:val="00A500A4"/>
    <w:rsid w:val="00A61746"/>
    <w:rsid w:val="00A63300"/>
    <w:rsid w:val="00A701AE"/>
    <w:rsid w:val="00A7512D"/>
    <w:rsid w:val="00A75C48"/>
    <w:rsid w:val="00A75D88"/>
    <w:rsid w:val="00A765E9"/>
    <w:rsid w:val="00A76D9E"/>
    <w:rsid w:val="00A865ED"/>
    <w:rsid w:val="00A86C18"/>
    <w:rsid w:val="00A93FD2"/>
    <w:rsid w:val="00AA1A80"/>
    <w:rsid w:val="00AA2AC3"/>
    <w:rsid w:val="00AB4712"/>
    <w:rsid w:val="00AB48E9"/>
    <w:rsid w:val="00AC005D"/>
    <w:rsid w:val="00AC2EB1"/>
    <w:rsid w:val="00AC6F95"/>
    <w:rsid w:val="00AD4C30"/>
    <w:rsid w:val="00AD6EAD"/>
    <w:rsid w:val="00AE18CF"/>
    <w:rsid w:val="00AE1AFA"/>
    <w:rsid w:val="00AE67A6"/>
    <w:rsid w:val="00AF7468"/>
    <w:rsid w:val="00B015CE"/>
    <w:rsid w:val="00B01FBC"/>
    <w:rsid w:val="00B03658"/>
    <w:rsid w:val="00B04427"/>
    <w:rsid w:val="00B0779B"/>
    <w:rsid w:val="00B149B5"/>
    <w:rsid w:val="00B151BE"/>
    <w:rsid w:val="00B209E9"/>
    <w:rsid w:val="00B236CB"/>
    <w:rsid w:val="00B30D51"/>
    <w:rsid w:val="00B33451"/>
    <w:rsid w:val="00B33F63"/>
    <w:rsid w:val="00B35632"/>
    <w:rsid w:val="00B43698"/>
    <w:rsid w:val="00B4481B"/>
    <w:rsid w:val="00B4710C"/>
    <w:rsid w:val="00B47D50"/>
    <w:rsid w:val="00B7018C"/>
    <w:rsid w:val="00B7019E"/>
    <w:rsid w:val="00B7185F"/>
    <w:rsid w:val="00B72BD6"/>
    <w:rsid w:val="00B869C6"/>
    <w:rsid w:val="00B87CB4"/>
    <w:rsid w:val="00B91989"/>
    <w:rsid w:val="00B94A57"/>
    <w:rsid w:val="00B97895"/>
    <w:rsid w:val="00BA115A"/>
    <w:rsid w:val="00BA1466"/>
    <w:rsid w:val="00BA15B5"/>
    <w:rsid w:val="00BA359E"/>
    <w:rsid w:val="00BA6CF4"/>
    <w:rsid w:val="00BB03C1"/>
    <w:rsid w:val="00BB2053"/>
    <w:rsid w:val="00BB469B"/>
    <w:rsid w:val="00BB7A38"/>
    <w:rsid w:val="00BC04A3"/>
    <w:rsid w:val="00BC3D86"/>
    <w:rsid w:val="00BC7870"/>
    <w:rsid w:val="00BD0727"/>
    <w:rsid w:val="00BD11BC"/>
    <w:rsid w:val="00BD305E"/>
    <w:rsid w:val="00BE04B2"/>
    <w:rsid w:val="00BE12E8"/>
    <w:rsid w:val="00BE1EF1"/>
    <w:rsid w:val="00BE5444"/>
    <w:rsid w:val="00BF1C8F"/>
    <w:rsid w:val="00BF7E50"/>
    <w:rsid w:val="00C1098B"/>
    <w:rsid w:val="00C10C07"/>
    <w:rsid w:val="00C10F61"/>
    <w:rsid w:val="00C15054"/>
    <w:rsid w:val="00C163BC"/>
    <w:rsid w:val="00C23258"/>
    <w:rsid w:val="00C27434"/>
    <w:rsid w:val="00C32ADD"/>
    <w:rsid w:val="00C34505"/>
    <w:rsid w:val="00C35B3B"/>
    <w:rsid w:val="00C36A51"/>
    <w:rsid w:val="00C459CE"/>
    <w:rsid w:val="00C479F8"/>
    <w:rsid w:val="00C51CEE"/>
    <w:rsid w:val="00C53AA9"/>
    <w:rsid w:val="00C56D21"/>
    <w:rsid w:val="00C63818"/>
    <w:rsid w:val="00C643DA"/>
    <w:rsid w:val="00C74982"/>
    <w:rsid w:val="00C82348"/>
    <w:rsid w:val="00C92D3F"/>
    <w:rsid w:val="00C950B9"/>
    <w:rsid w:val="00C95481"/>
    <w:rsid w:val="00CA1559"/>
    <w:rsid w:val="00CA1D32"/>
    <w:rsid w:val="00CC44C8"/>
    <w:rsid w:val="00CD1229"/>
    <w:rsid w:val="00CD153F"/>
    <w:rsid w:val="00CD2230"/>
    <w:rsid w:val="00CD50E0"/>
    <w:rsid w:val="00CD5C95"/>
    <w:rsid w:val="00CE0FFF"/>
    <w:rsid w:val="00CE546B"/>
    <w:rsid w:val="00CF3F57"/>
    <w:rsid w:val="00CF5863"/>
    <w:rsid w:val="00CF7DC8"/>
    <w:rsid w:val="00D04B4C"/>
    <w:rsid w:val="00D07E51"/>
    <w:rsid w:val="00D12F04"/>
    <w:rsid w:val="00D156F3"/>
    <w:rsid w:val="00D17B51"/>
    <w:rsid w:val="00D21F75"/>
    <w:rsid w:val="00D22E33"/>
    <w:rsid w:val="00D324D9"/>
    <w:rsid w:val="00D333CD"/>
    <w:rsid w:val="00D36298"/>
    <w:rsid w:val="00D41788"/>
    <w:rsid w:val="00D44196"/>
    <w:rsid w:val="00D449F2"/>
    <w:rsid w:val="00D44E67"/>
    <w:rsid w:val="00D45ED1"/>
    <w:rsid w:val="00D512BD"/>
    <w:rsid w:val="00D532CD"/>
    <w:rsid w:val="00D55A25"/>
    <w:rsid w:val="00D56E82"/>
    <w:rsid w:val="00D6619A"/>
    <w:rsid w:val="00D7490B"/>
    <w:rsid w:val="00D76AA8"/>
    <w:rsid w:val="00D8060D"/>
    <w:rsid w:val="00D81319"/>
    <w:rsid w:val="00D8247A"/>
    <w:rsid w:val="00D82B79"/>
    <w:rsid w:val="00D87F17"/>
    <w:rsid w:val="00D94396"/>
    <w:rsid w:val="00D97FEA"/>
    <w:rsid w:val="00DA1B3C"/>
    <w:rsid w:val="00DA2BF3"/>
    <w:rsid w:val="00DA57C1"/>
    <w:rsid w:val="00DB1D64"/>
    <w:rsid w:val="00DB6ED1"/>
    <w:rsid w:val="00DC1928"/>
    <w:rsid w:val="00DD1742"/>
    <w:rsid w:val="00DD2AD3"/>
    <w:rsid w:val="00DE15E5"/>
    <w:rsid w:val="00DF1EA0"/>
    <w:rsid w:val="00DF245C"/>
    <w:rsid w:val="00DF5062"/>
    <w:rsid w:val="00DF65CB"/>
    <w:rsid w:val="00E023CC"/>
    <w:rsid w:val="00E02FC1"/>
    <w:rsid w:val="00E0462B"/>
    <w:rsid w:val="00E0581E"/>
    <w:rsid w:val="00E07247"/>
    <w:rsid w:val="00E10251"/>
    <w:rsid w:val="00E1130A"/>
    <w:rsid w:val="00E14E80"/>
    <w:rsid w:val="00E17608"/>
    <w:rsid w:val="00E22081"/>
    <w:rsid w:val="00E26107"/>
    <w:rsid w:val="00E34A5B"/>
    <w:rsid w:val="00E36D46"/>
    <w:rsid w:val="00E4264C"/>
    <w:rsid w:val="00E458B0"/>
    <w:rsid w:val="00E501AE"/>
    <w:rsid w:val="00E506CD"/>
    <w:rsid w:val="00E512A8"/>
    <w:rsid w:val="00E538A0"/>
    <w:rsid w:val="00E57E43"/>
    <w:rsid w:val="00E65CE7"/>
    <w:rsid w:val="00E6628A"/>
    <w:rsid w:val="00E71DB9"/>
    <w:rsid w:val="00E72D7F"/>
    <w:rsid w:val="00E72F6F"/>
    <w:rsid w:val="00E73399"/>
    <w:rsid w:val="00E744D3"/>
    <w:rsid w:val="00E74CB1"/>
    <w:rsid w:val="00E75230"/>
    <w:rsid w:val="00E7573D"/>
    <w:rsid w:val="00E821CF"/>
    <w:rsid w:val="00E822B6"/>
    <w:rsid w:val="00E83E2F"/>
    <w:rsid w:val="00E85911"/>
    <w:rsid w:val="00E85E97"/>
    <w:rsid w:val="00E8749A"/>
    <w:rsid w:val="00E90A5E"/>
    <w:rsid w:val="00E93031"/>
    <w:rsid w:val="00E931F1"/>
    <w:rsid w:val="00E972E0"/>
    <w:rsid w:val="00EA4358"/>
    <w:rsid w:val="00EA4482"/>
    <w:rsid w:val="00EA5BB2"/>
    <w:rsid w:val="00EA67C5"/>
    <w:rsid w:val="00EA7524"/>
    <w:rsid w:val="00EB42C3"/>
    <w:rsid w:val="00EB5304"/>
    <w:rsid w:val="00ED27A4"/>
    <w:rsid w:val="00ED37B7"/>
    <w:rsid w:val="00ED5154"/>
    <w:rsid w:val="00EE2CE9"/>
    <w:rsid w:val="00EE39D9"/>
    <w:rsid w:val="00EF2087"/>
    <w:rsid w:val="00EF4FBA"/>
    <w:rsid w:val="00F02423"/>
    <w:rsid w:val="00F072C1"/>
    <w:rsid w:val="00F07693"/>
    <w:rsid w:val="00F10369"/>
    <w:rsid w:val="00F13265"/>
    <w:rsid w:val="00F14B96"/>
    <w:rsid w:val="00F1681C"/>
    <w:rsid w:val="00F17DEA"/>
    <w:rsid w:val="00F223B3"/>
    <w:rsid w:val="00F33F13"/>
    <w:rsid w:val="00F35137"/>
    <w:rsid w:val="00F43286"/>
    <w:rsid w:val="00F438F3"/>
    <w:rsid w:val="00F57DCD"/>
    <w:rsid w:val="00F63AEB"/>
    <w:rsid w:val="00F65DFE"/>
    <w:rsid w:val="00F72305"/>
    <w:rsid w:val="00F7623C"/>
    <w:rsid w:val="00F77F3E"/>
    <w:rsid w:val="00F8648C"/>
    <w:rsid w:val="00F908A8"/>
    <w:rsid w:val="00F93AA6"/>
    <w:rsid w:val="00F94194"/>
    <w:rsid w:val="00F959C8"/>
    <w:rsid w:val="00F9750C"/>
    <w:rsid w:val="00F9789E"/>
    <w:rsid w:val="00FA4B00"/>
    <w:rsid w:val="00FA67D4"/>
    <w:rsid w:val="00FB00E1"/>
    <w:rsid w:val="00FB12A5"/>
    <w:rsid w:val="00FB1587"/>
    <w:rsid w:val="00FB322D"/>
    <w:rsid w:val="00FB42CB"/>
    <w:rsid w:val="00FB43C6"/>
    <w:rsid w:val="00FB5401"/>
    <w:rsid w:val="00FC1111"/>
    <w:rsid w:val="00FC194B"/>
    <w:rsid w:val="00FC3BB8"/>
    <w:rsid w:val="00FD6CA8"/>
    <w:rsid w:val="00FE1B41"/>
    <w:rsid w:val="00FF21F2"/>
    <w:rsid w:val="00FF339E"/>
    <w:rsid w:val="00FF40F9"/>
    <w:rsid w:val="00FF47AD"/>
    <w:rsid w:val="00FF6875"/>
    <w:rsid w:val="00FF698C"/>
    <w:rsid w:val="06E323F8"/>
    <w:rsid w:val="1B73418B"/>
    <w:rsid w:val="1BC72B84"/>
    <w:rsid w:val="25DC4098"/>
    <w:rsid w:val="4FAF6015"/>
    <w:rsid w:val="66ED3EE2"/>
    <w:rsid w:val="70F65110"/>
    <w:rsid w:val="7DB3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3">
    <w:name w:val="Plain Text"/>
    <w:basedOn w:val="1"/>
    <w:link w:val="16"/>
    <w:qFormat/>
    <w:uiPriority w:val="0"/>
    <w:rPr>
      <w:rFonts w:ascii="宋体" w:hAnsi="Courier New" w:cstheme="minorBidi"/>
      <w:szCs w:val="22"/>
    </w:rPr>
  </w:style>
  <w:style w:type="paragraph" w:styleId="4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6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link w:val="18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">
    <w:name w:val="annotation subject"/>
    <w:basedOn w:val="2"/>
    <w:next w:val="2"/>
    <w:link w:val="27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纯文本 字符"/>
    <w:link w:val="3"/>
    <w:qFormat/>
    <w:uiPriority w:val="0"/>
    <w:rPr>
      <w:rFonts w:ascii="宋体" w:hAnsi="Courier New" w:eastAsia="宋体"/>
    </w:rPr>
  </w:style>
  <w:style w:type="character" w:customStyle="1" w:styleId="17">
    <w:name w:val="页脚 字符"/>
    <w:link w:val="5"/>
    <w:qFormat/>
    <w:uiPriority w:val="0"/>
    <w:rPr>
      <w:sz w:val="18"/>
    </w:rPr>
  </w:style>
  <w:style w:type="character" w:customStyle="1" w:styleId="18">
    <w:name w:val="标题 字符"/>
    <w:link w:val="7"/>
    <w:qFormat/>
    <w:uiPriority w:val="0"/>
    <w:rPr>
      <w:rFonts w:ascii="Arial" w:hAnsi="Arial" w:eastAsia="宋体" w:cs="Arial"/>
      <w:b/>
      <w:bCs/>
      <w:sz w:val="32"/>
      <w:szCs w:val="32"/>
    </w:rPr>
  </w:style>
  <w:style w:type="character" w:customStyle="1" w:styleId="19">
    <w:name w:val="页脚 Char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标题 Char"/>
    <w:basedOn w:val="11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纯文本 Char"/>
    <w:basedOn w:val="11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2">
    <w:name w:val="页眉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批注框文本 字符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26">
    <w:name w:val="批注文字 字符"/>
    <w:basedOn w:val="11"/>
    <w:link w:val="2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character" w:customStyle="1" w:styleId="27">
    <w:name w:val="批注主题 字符"/>
    <w:basedOn w:val="26"/>
    <w:link w:val="8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</w:rPr>
  </w:style>
  <w:style w:type="paragraph" w:customStyle="1" w:styleId="28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2512</Words>
  <Characters>2620</Characters>
  <Lines>21</Lines>
  <Paragraphs>5</Paragraphs>
  <TotalTime>34</TotalTime>
  <ScaleCrop>false</ScaleCrop>
  <LinksUpToDate>false</LinksUpToDate>
  <CharactersWithSpaces>2764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2021-03-17T07:37:00Z</dcterms:created>
  <dc:creator>User</dc:creator>
  <cp:lastModifiedBy>L</cp:lastModifiedBy>
  <cp:lastPrinted>2026-10-14T03:11:00Z</cp:lastPrinted>
  <dcterms:modified xsi:type="dcterms:W3CDTF">2026-10-16T03:22:20Z</dcterms:modified>
  <cp:revision>709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FD47254428C546C79753499200788EBF</vt:lpwstr>
  </property>
  <property fmtid="{D5CDD505-2E9C-101B-9397-08002B2CF9AE}" pid="4" name="KSOTemplateDocerSaveRecord">
    <vt:lpwstr>eyJoZGlkIjoiMDA2N2M5YTIwOThmOTM2M2JmNWVjZmVhMjg3OTFhNjEiLCJ1c2VySWQiOiIyMjIwOTI2ODQifQ==</vt:lpwstr>
  </property>
</Properties>
</file>