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9311D">
      <w:pPr>
        <w:spacing w:before="240" w:after="60"/>
        <w:jc w:val="center"/>
        <w:outlineLvl w:val="0"/>
        <w:rPr>
          <w:rFonts w:ascii="Times New Roman" w:hAnsi="Times New Roman" w:eastAsia="宋体" w:cs="Times New Roman"/>
          <w:b/>
          <w:bCs/>
          <w:sz w:val="36"/>
          <w:szCs w:val="32"/>
        </w:rPr>
      </w:pPr>
      <w:bookmarkStart w:id="0" w:name="_Toc38367762"/>
      <w:bookmarkStart w:id="1" w:name="OLE_LINK1"/>
      <w:r>
        <w:rPr>
          <w:rFonts w:ascii="Times New Roman" w:hAnsi="Times New Roman" w:eastAsia="宋体" w:cs="Times New Roman"/>
          <w:b/>
          <w:bCs/>
          <w:sz w:val="36"/>
          <w:szCs w:val="32"/>
        </w:rPr>
        <w:t>反光电子能谱仪</w:t>
      </w:r>
      <w:r>
        <w:rPr>
          <w:rFonts w:hint="eastAsia" w:ascii="Times New Roman" w:hAnsi="Times New Roman" w:eastAsia="宋体" w:cs="Times New Roman"/>
          <w:b/>
          <w:bCs/>
          <w:sz w:val="36"/>
          <w:szCs w:val="32"/>
        </w:rPr>
        <w:t>标段一</w:t>
      </w:r>
      <w:r>
        <w:rPr>
          <w:rFonts w:ascii="Times New Roman" w:hAnsi="Times New Roman" w:eastAsia="宋体" w:cs="Times New Roman"/>
          <w:b/>
          <w:bCs/>
          <w:sz w:val="36"/>
          <w:szCs w:val="32"/>
        </w:rPr>
        <w:t>采购需求</w:t>
      </w:r>
      <w:bookmarkEnd w:id="0"/>
    </w:p>
    <w:bookmarkEnd w:id="1"/>
    <w:p w14:paraId="181E116F">
      <w:pPr>
        <w:tabs>
          <w:tab w:val="left" w:pos="900"/>
        </w:tabs>
        <w:spacing w:before="156" w:beforeLines="50" w:line="360" w:lineRule="auto"/>
        <w:rPr>
          <w:rFonts w:ascii="Times New Roman" w:hAnsi="Times New Roman" w:eastAsia="宋体" w:cs="Times New Roman"/>
          <w:b/>
          <w:szCs w:val="21"/>
        </w:rPr>
      </w:pPr>
      <w:bookmarkStart w:id="2" w:name="_Toc172360661"/>
      <w:bookmarkStart w:id="3" w:name="_Toc158978330"/>
      <w:bookmarkStart w:id="4" w:name="_Toc219271393"/>
      <w:r>
        <w:rPr>
          <w:rFonts w:ascii="Times New Roman" w:hAnsi="Times New Roman" w:eastAsia="宋体" w:cs="Times New Roman"/>
          <w:b/>
          <w:szCs w:val="21"/>
        </w:rPr>
        <w:t>一、采购标的需实现的功能或者目标，以及为落实政府采购政策需满足的要求：</w:t>
      </w:r>
    </w:p>
    <w:p w14:paraId="548F9861">
      <w:pPr>
        <w:tabs>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（一）采购标的需实现的功能或者目标</w:t>
      </w:r>
      <w:bookmarkStart w:id="8" w:name="_GoBack"/>
      <w:bookmarkEnd w:id="8"/>
    </w:p>
    <w:p w14:paraId="23D59EE7">
      <w:pPr>
        <w:autoSpaceDE w:val="0"/>
        <w:autoSpaceDN w:val="0"/>
        <w:adjustRightInd w:val="0"/>
        <w:spacing w:before="5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本项目</w:t>
      </w:r>
      <w:r>
        <w:rPr>
          <w:rFonts w:hint="eastAsia" w:ascii="Times New Roman" w:hAnsi="Times New Roman" w:eastAsia="宋体" w:cs="Times New Roman"/>
          <w:szCs w:val="21"/>
        </w:rPr>
        <w:t>为反光电子能谱仪标段一，</w:t>
      </w:r>
      <w:r>
        <w:rPr>
          <w:rFonts w:ascii="Times New Roman" w:hAnsi="Times New Roman" w:eastAsia="宋体" w:cs="Times New Roman"/>
          <w:szCs w:val="21"/>
        </w:rPr>
        <w:t>采购</w:t>
      </w:r>
      <w:r>
        <w:rPr>
          <w:rFonts w:hint="eastAsia" w:ascii="Times New Roman" w:hAnsi="Times New Roman" w:eastAsia="宋体" w:cs="Times New Roman"/>
          <w:szCs w:val="21"/>
        </w:rPr>
        <w:t>单色化电子枪1</w:t>
      </w:r>
      <w:r>
        <w:rPr>
          <w:rFonts w:ascii="Times New Roman" w:hAnsi="Times New Roman" w:eastAsia="宋体" w:cs="Times New Roman"/>
          <w:szCs w:val="21"/>
        </w:rPr>
        <w:t>套，</w:t>
      </w:r>
      <w:r>
        <w:rPr>
          <w:rFonts w:hint="eastAsia" w:ascii="Times New Roman" w:hAnsi="Times New Roman" w:eastAsia="宋体" w:cs="Times New Roman"/>
          <w:szCs w:val="21"/>
        </w:rPr>
        <w:t>主要作为反光电子能谱仪激发源，</w:t>
      </w:r>
      <w:r>
        <w:rPr>
          <w:rFonts w:ascii="Times New Roman" w:hAnsi="Times New Roman" w:eastAsia="宋体" w:cs="Times New Roman"/>
          <w:szCs w:val="21"/>
        </w:rPr>
        <w:t>探测材料表面及界面处费米能级以上的未占据电子态</w:t>
      </w:r>
      <w:r>
        <w:rPr>
          <w:rFonts w:hint="eastAsia" w:ascii="Times New Roman" w:hAnsi="Times New Roman" w:eastAsia="宋体" w:cs="Times New Roman"/>
          <w:szCs w:val="21"/>
        </w:rPr>
        <w:t>，</w:t>
      </w:r>
      <w:r>
        <w:rPr>
          <w:rFonts w:ascii="Times New Roman" w:hAnsi="Times New Roman" w:eastAsia="宋体" w:cs="Times New Roman"/>
          <w:szCs w:val="21"/>
        </w:rPr>
        <w:t>研究半导体物理、有机光电子学以及异质结能级排列</w:t>
      </w:r>
      <w:r>
        <w:rPr>
          <w:rFonts w:hint="eastAsia" w:ascii="Times New Roman" w:hAnsi="Times New Roman" w:eastAsia="宋体" w:cs="Times New Roman"/>
          <w:szCs w:val="21"/>
        </w:rPr>
        <w:t>等材料表界面电子结构，</w:t>
      </w:r>
      <w:r>
        <w:rPr>
          <w:rFonts w:ascii="Times New Roman" w:hAnsi="Times New Roman" w:eastAsia="宋体" w:cs="Times New Roman"/>
          <w:color w:val="000000"/>
          <w:szCs w:val="21"/>
        </w:rPr>
        <w:t>最高限价</w:t>
      </w:r>
      <w:r>
        <w:rPr>
          <w:rFonts w:hint="eastAsia" w:ascii="Times New Roman" w:hAnsi="Times New Roman" w:eastAsia="宋体" w:cs="Times New Roman"/>
          <w:color w:val="000000"/>
          <w:szCs w:val="21"/>
        </w:rPr>
        <w:t>85</w:t>
      </w:r>
      <w:r>
        <w:rPr>
          <w:rFonts w:ascii="Times New Roman" w:hAnsi="Times New Roman" w:eastAsia="宋体" w:cs="Times New Roman"/>
          <w:color w:val="000000"/>
          <w:szCs w:val="21"/>
        </w:rPr>
        <w:t>万元（人民币）。</w:t>
      </w:r>
    </w:p>
    <w:p w14:paraId="71A7DDD8">
      <w:pPr>
        <w:autoSpaceDE w:val="0"/>
        <w:autoSpaceDN w:val="0"/>
        <w:adjustRightInd w:val="0"/>
        <w:spacing w:before="50" w:line="360" w:lineRule="auto"/>
        <w:rPr>
          <w:rFonts w:ascii="Times New Roman" w:hAnsi="Times New Roman" w:eastAsia="宋体" w:cs="Times New Roman"/>
          <w:b/>
          <w:szCs w:val="21"/>
        </w:rPr>
      </w:pPr>
      <w:r>
        <w:rPr>
          <w:rFonts w:ascii="Times New Roman" w:hAnsi="Times New Roman" w:eastAsia="宋体" w:cs="Times New Roman"/>
          <w:b/>
          <w:szCs w:val="21"/>
        </w:rPr>
        <w:t>（二）为落实政府采购政策需满足的要求</w:t>
      </w:r>
    </w:p>
    <w:p w14:paraId="4FF68AC0">
      <w:pPr>
        <w:tabs>
          <w:tab w:val="left" w:pos="900"/>
        </w:tabs>
        <w:spacing w:line="360" w:lineRule="auto"/>
        <w:ind w:left="420"/>
        <w:rPr>
          <w:rFonts w:ascii="Times New Roman" w:hAnsi="Times New Roman" w:eastAsia="宋体" w:cs="Times New Roman"/>
          <w:szCs w:val="21"/>
        </w:rPr>
      </w:pPr>
      <w:r>
        <w:rPr>
          <w:rFonts w:ascii="Times New Roman" w:hAnsi="Times New Roman" w:eastAsia="宋体" w:cs="Times New Roman"/>
          <w:szCs w:val="24"/>
        </w:rPr>
        <w:t>1.根据</w:t>
      </w:r>
      <w:r>
        <w:rPr>
          <w:rFonts w:ascii="Times New Roman" w:hAnsi="Times New Roman" w:eastAsia="宋体" w:cs="Times New Roman"/>
          <w:szCs w:val="20"/>
        </w:rPr>
        <w:t>《政府采购促进中小企业发展管理办法》（财库【2020】46号）规定，本项目采购标的为中小型企业制造、承建或承接</w:t>
      </w:r>
      <w:r>
        <w:rPr>
          <w:rFonts w:ascii="Times New Roman" w:hAnsi="Times New Roman" w:eastAsia="宋体" w:cs="Times New Roman"/>
          <w:szCs w:val="24"/>
        </w:rPr>
        <w:t>的，</w:t>
      </w:r>
      <w:r>
        <w:rPr>
          <w:rFonts w:ascii="Times New Roman" w:hAnsi="Times New Roman" w:eastAsia="宋体" w:cs="Times New Roman"/>
          <w:szCs w:val="20"/>
        </w:rPr>
        <w:t>投标人应提供办法规定的</w:t>
      </w:r>
      <w:r>
        <w:rPr>
          <w:rFonts w:ascii="Times New Roman" w:hAnsi="Times New Roman" w:eastAsia="宋体" w:cs="Times New Roman"/>
          <w:szCs w:val="21"/>
        </w:rPr>
        <w:t>《中小企业声明函》，否则不得享受相关中小企业扶持政策</w:t>
      </w:r>
      <w:r>
        <w:rPr>
          <w:rFonts w:ascii="Times New Roman" w:hAnsi="Times New Roman" w:eastAsia="宋体" w:cs="Times New Roman"/>
          <w:szCs w:val="24"/>
        </w:rPr>
        <w:t>。投标人应对提交的中小企业声明函的真实性负责，提交的中小企业声明函不真实的，应承担相应的法律责任</w:t>
      </w:r>
      <w:r>
        <w:rPr>
          <w:rFonts w:ascii="Times New Roman" w:hAnsi="Times New Roman" w:eastAsia="宋体" w:cs="Times New Roman"/>
          <w:szCs w:val="21"/>
        </w:rPr>
        <w:t>。</w:t>
      </w:r>
    </w:p>
    <w:p w14:paraId="4035B527">
      <w:pPr>
        <w:tabs>
          <w:tab w:val="left" w:pos="900"/>
        </w:tabs>
        <w:spacing w:line="360" w:lineRule="auto"/>
        <w:ind w:left="420"/>
        <w:rPr>
          <w:rFonts w:ascii="Times New Roman" w:hAnsi="Times New Roman" w:eastAsia="宋体" w:cs="Times New Roman"/>
          <w:color w:val="FF0000"/>
          <w:szCs w:val="24"/>
        </w:rPr>
      </w:pPr>
      <w:r>
        <w:rPr>
          <w:rFonts w:ascii="Times New Roman" w:hAnsi="Times New Roman" w:eastAsia="宋体" w:cs="Times New Roman"/>
          <w:szCs w:val="24"/>
        </w:rPr>
        <w:t>本项目采购标的对应的《中小企业划型标准规定》所属行业为：</w:t>
      </w:r>
      <w:r>
        <w:rPr>
          <w:rFonts w:ascii="Times New Roman" w:hAnsi="Times New Roman" w:eastAsia="宋体" w:cs="Times New Roman"/>
          <w:szCs w:val="24"/>
          <w:u w:val="single"/>
        </w:rPr>
        <w:t xml:space="preserve">  工业  </w:t>
      </w:r>
      <w:r>
        <w:rPr>
          <w:rFonts w:ascii="Times New Roman" w:hAnsi="Times New Roman" w:eastAsia="宋体" w:cs="Times New Roman"/>
          <w:szCs w:val="24"/>
        </w:rPr>
        <w:t>。</w:t>
      </w:r>
    </w:p>
    <w:p w14:paraId="677364FE">
      <w:pPr>
        <w:tabs>
          <w:tab w:val="left" w:pos="900"/>
        </w:tabs>
        <w:spacing w:line="360" w:lineRule="auto"/>
        <w:ind w:left="420"/>
        <w:rPr>
          <w:rFonts w:ascii="Times New Roman" w:hAnsi="Times New Roman" w:eastAsia="宋体" w:cs="Times New Roman"/>
          <w:b/>
          <w:color w:val="000000"/>
          <w:kern w:val="0"/>
          <w:sz w:val="20"/>
          <w:szCs w:val="21"/>
        </w:rPr>
      </w:pPr>
      <w:r>
        <w:rPr>
          <w:rFonts w:ascii="Times New Roman" w:hAnsi="Times New Roman" w:eastAsia="宋体" w:cs="Times New Roman"/>
          <w:szCs w:val="24"/>
        </w:rPr>
        <w:t>2.</w:t>
      </w:r>
      <w:r>
        <w:rPr>
          <w:rFonts w:ascii="Times New Roman" w:hAnsi="Times New Roman" w:eastAsia="宋体" w:cs="Times New Roman"/>
          <w:color w:val="000000"/>
          <w:kern w:val="0"/>
          <w:sz w:val="20"/>
          <w:szCs w:val="21"/>
        </w:rPr>
        <w:t xml:space="preserve"> </w:t>
      </w:r>
      <w:r>
        <w:rPr>
          <w:rFonts w:ascii="Times New Roman" w:hAnsi="Times New Roman" w:eastAsia="宋体" w:cs="Times New Roman"/>
          <w:b/>
          <w:color w:val="000000"/>
          <w:kern w:val="0"/>
          <w:sz w:val="20"/>
          <w:szCs w:val="21"/>
        </w:rPr>
        <w:sym w:font="Wingdings 2" w:char="F052"/>
      </w:r>
      <w:r>
        <w:rPr>
          <w:rFonts w:ascii="Times New Roman" w:hAnsi="Times New Roman" w:eastAsia="宋体" w:cs="Times New Roman"/>
          <w:b/>
          <w:color w:val="000000"/>
          <w:kern w:val="0"/>
          <w:sz w:val="20"/>
          <w:szCs w:val="21"/>
        </w:rPr>
        <w:t xml:space="preserve"> 本采购项目允许进口产品参加。</w:t>
      </w:r>
    </w:p>
    <w:p w14:paraId="50F65D95">
      <w:pPr>
        <w:tabs>
          <w:tab w:val="left" w:pos="900"/>
        </w:tabs>
        <w:spacing w:line="360" w:lineRule="auto"/>
        <w:ind w:left="420" w:firstLine="201" w:firstLineChars="100"/>
        <w:rPr>
          <w:rFonts w:ascii="Times New Roman" w:hAnsi="Times New Roman" w:eastAsia="宋体" w:cs="Times New Roman"/>
          <w:b/>
          <w:color w:val="000000"/>
          <w:kern w:val="0"/>
          <w:sz w:val="20"/>
          <w:szCs w:val="21"/>
        </w:rPr>
      </w:pPr>
      <w:r>
        <w:rPr>
          <w:rFonts w:ascii="Times New Roman" w:hAnsi="Times New Roman" w:eastAsia="宋体" w:cs="Times New Roman"/>
          <w:b/>
          <w:color w:val="000000"/>
          <w:kern w:val="0"/>
          <w:sz w:val="20"/>
          <w:szCs w:val="21"/>
        </w:rPr>
        <w:t>（说明：请项目单位根据采购实际情况在“□”中打勾（</w:t>
      </w:r>
      <w:r>
        <w:rPr>
          <w:rFonts w:ascii="Times New Roman" w:hAnsi="Times New Roman" w:eastAsia="宋体" w:cs="Times New Roman"/>
          <w:b/>
          <w:color w:val="000000"/>
          <w:kern w:val="0"/>
          <w:sz w:val="24"/>
          <w:szCs w:val="24"/>
        </w:rPr>
        <w:sym w:font="Wingdings 2" w:char="F052"/>
      </w:r>
      <w:r>
        <w:rPr>
          <w:rFonts w:ascii="Times New Roman" w:hAnsi="Times New Roman" w:eastAsia="宋体" w:cs="Times New Roman"/>
          <w:b/>
          <w:color w:val="000000"/>
          <w:kern w:val="0"/>
          <w:sz w:val="24"/>
          <w:szCs w:val="24"/>
        </w:rPr>
        <w:t>）</w:t>
      </w:r>
      <w:r>
        <w:rPr>
          <w:rFonts w:ascii="Times New Roman" w:hAnsi="Times New Roman" w:eastAsia="宋体" w:cs="Times New Roman"/>
          <w:b/>
          <w:color w:val="000000"/>
          <w:kern w:val="0"/>
          <w:sz w:val="20"/>
          <w:szCs w:val="21"/>
        </w:rPr>
        <w:t>。未进行勾选的，视为只接受本国产品参加）</w:t>
      </w:r>
    </w:p>
    <w:p w14:paraId="1670F9E5">
      <w:pPr>
        <w:tabs>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二、采购标的需执行的国家相关标准、行业标准、地方标准或者其他标准、规范：</w:t>
      </w:r>
    </w:p>
    <w:p w14:paraId="072F74BA">
      <w:pPr>
        <w:tabs>
          <w:tab w:val="left" w:pos="900"/>
        </w:tabs>
        <w:spacing w:before="156" w:beforeLines="5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29DAF54">
      <w:pPr>
        <w:tabs>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三、采购标的概况</w:t>
      </w:r>
    </w:p>
    <w:p w14:paraId="365C065A">
      <w:pPr>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（一）采购项目名称：</w:t>
      </w:r>
      <w:r>
        <w:rPr>
          <w:rFonts w:ascii="Times New Roman" w:hAnsi="Times New Roman" w:eastAsia="宋体" w:cs="Times New Roman"/>
          <w:szCs w:val="21"/>
          <w:u w:val="single"/>
        </w:rPr>
        <w:t xml:space="preserve"> </w:t>
      </w:r>
      <w:r>
        <w:rPr>
          <w:rFonts w:hint="eastAsia" w:ascii="Times New Roman" w:hAnsi="Times New Roman" w:eastAsia="宋体" w:cs="Times New Roman"/>
          <w:szCs w:val="21"/>
          <w:u w:val="single"/>
        </w:rPr>
        <w:t>单色化电子枪</w:t>
      </w:r>
      <w:r>
        <w:rPr>
          <w:rFonts w:ascii="Times New Roman" w:hAnsi="Times New Roman" w:eastAsia="宋体" w:cs="Times New Roman"/>
          <w:szCs w:val="21"/>
          <w:u w:val="single"/>
        </w:rPr>
        <w:t xml:space="preserve"> </w:t>
      </w:r>
      <w:r>
        <w:rPr>
          <w:rFonts w:ascii="Times New Roman" w:hAnsi="Times New Roman" w:eastAsia="宋体" w:cs="Times New Roman"/>
          <w:szCs w:val="21"/>
        </w:rPr>
        <w:t xml:space="preserve">   </w:t>
      </w:r>
    </w:p>
    <w:p w14:paraId="036C8690">
      <w:pPr>
        <w:spacing w:before="156" w:beforeLines="50" w:line="360" w:lineRule="auto"/>
        <w:rPr>
          <w:rFonts w:ascii="Times New Roman" w:hAnsi="Times New Roman" w:eastAsia="宋体" w:cs="Times New Roman"/>
          <w:szCs w:val="21"/>
          <w:u w:val="single"/>
        </w:rPr>
      </w:pPr>
      <w:r>
        <w:rPr>
          <w:rFonts w:ascii="Times New Roman" w:hAnsi="Times New Roman" w:eastAsia="宋体" w:cs="Times New Roman"/>
          <w:szCs w:val="21"/>
        </w:rPr>
        <w:t>（二）采购数量及计量单位：</w:t>
      </w:r>
      <w:r>
        <w:rPr>
          <w:rFonts w:ascii="Times New Roman" w:hAnsi="Times New Roman" w:eastAsia="宋体" w:cs="Times New Roman"/>
          <w:szCs w:val="21"/>
          <w:u w:val="single"/>
        </w:rPr>
        <w:t xml:space="preserve">    1套    </w:t>
      </w:r>
    </w:p>
    <w:p w14:paraId="7572E9F2">
      <w:pPr>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（三）最高限价：人民币</w:t>
      </w:r>
      <w:r>
        <w:rPr>
          <w:rFonts w:ascii="Times New Roman" w:hAnsi="Times New Roman" w:eastAsia="宋体" w:cs="Times New Roman"/>
          <w:szCs w:val="21"/>
          <w:u w:val="single"/>
        </w:rPr>
        <w:t xml:space="preserve">  </w:t>
      </w:r>
      <w:r>
        <w:rPr>
          <w:rFonts w:ascii="Times New Roman" w:hAnsi="Times New Roman" w:eastAsia="宋体" w:cs="Times New Roman"/>
          <w:color w:val="EE0000"/>
          <w:szCs w:val="21"/>
          <w:u w:val="single"/>
        </w:rPr>
        <w:t xml:space="preserve"> </w:t>
      </w:r>
      <w:r>
        <w:rPr>
          <w:rFonts w:ascii="Times New Roman" w:hAnsi="Times New Roman" w:eastAsia="宋体" w:cs="Times New Roman"/>
          <w:szCs w:val="21"/>
          <w:u w:val="single"/>
        </w:rPr>
        <w:t xml:space="preserve">85万   </w:t>
      </w:r>
      <w:r>
        <w:rPr>
          <w:rFonts w:ascii="Times New Roman" w:hAnsi="Times New Roman" w:eastAsia="宋体" w:cs="Times New Roman"/>
          <w:szCs w:val="21"/>
        </w:rPr>
        <w:t xml:space="preserve"> 元。</w:t>
      </w:r>
    </w:p>
    <w:p w14:paraId="5485EC7D">
      <w:pPr>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（四）交付时间：</w:t>
      </w:r>
      <w:r>
        <w:rPr>
          <w:rFonts w:ascii="Times New Roman" w:hAnsi="Times New Roman" w:eastAsia="宋体" w:cs="Times New Roman"/>
          <w:szCs w:val="20"/>
        </w:rPr>
        <w:t>合同签订后</w:t>
      </w:r>
      <w:r>
        <w:rPr>
          <w:rFonts w:ascii="Times New Roman" w:hAnsi="Times New Roman" w:eastAsia="宋体" w:cs="Times New Roman"/>
          <w:szCs w:val="20"/>
          <w:u w:val="single"/>
        </w:rPr>
        <w:t xml:space="preserve">   210  </w:t>
      </w:r>
      <w:r>
        <w:rPr>
          <w:rFonts w:ascii="Times New Roman" w:hAnsi="Times New Roman" w:eastAsia="宋体" w:cs="Times New Roman"/>
          <w:szCs w:val="20"/>
        </w:rPr>
        <w:t>天内。</w:t>
      </w:r>
    </w:p>
    <w:p w14:paraId="30CE4FC0">
      <w:pPr>
        <w:tabs>
          <w:tab w:val="left" w:pos="900"/>
        </w:tabs>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（五）交付地点：</w:t>
      </w:r>
      <w:r>
        <w:rPr>
          <w:rFonts w:ascii="Times New Roman" w:hAnsi="Times New Roman" w:eastAsia="宋体" w:cs="Times New Roman"/>
          <w:szCs w:val="21"/>
          <w:u w:val="single"/>
        </w:rPr>
        <w:t xml:space="preserve">  西安交通大学创新港校区   </w:t>
      </w:r>
      <w:r>
        <w:rPr>
          <w:rFonts w:ascii="Times New Roman" w:hAnsi="Times New Roman" w:eastAsia="宋体" w:cs="Times New Roman"/>
          <w:szCs w:val="21"/>
        </w:rPr>
        <w:t>。</w:t>
      </w:r>
    </w:p>
    <w:p w14:paraId="3B0E5250">
      <w:pPr>
        <w:tabs>
          <w:tab w:val="left" w:pos="900"/>
        </w:tabs>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（六）付款</w:t>
      </w:r>
      <w:r>
        <w:rPr>
          <w:rFonts w:hint="eastAsia" w:ascii="Times New Roman" w:hAnsi="Times New Roman" w:eastAsia="宋体" w:cs="Times New Roman"/>
          <w:szCs w:val="21"/>
        </w:rPr>
        <w:t>方式</w:t>
      </w:r>
      <w:r>
        <w:rPr>
          <w:rFonts w:ascii="Times New Roman" w:hAnsi="Times New Roman" w:eastAsia="宋体" w:cs="Times New Roman"/>
          <w:szCs w:val="21"/>
        </w:rPr>
        <w:t>：</w:t>
      </w:r>
      <w:r>
        <w:rPr>
          <w:rFonts w:ascii="Times New Roman" w:hAnsi="Times New Roman" w:eastAsia="宋体" w:cs="Times New Roman"/>
          <w:szCs w:val="21"/>
          <w:u w:val="single"/>
        </w:rPr>
        <w:t xml:space="preserve">  </w:t>
      </w:r>
      <w:r>
        <w:rPr>
          <w:rFonts w:hint="eastAsia" w:ascii="Times New Roman" w:hAnsi="Times New Roman" w:eastAsia="宋体" w:cs="Times New Roman"/>
          <w:szCs w:val="21"/>
          <w:u w:val="single"/>
        </w:rPr>
        <w:t>内贸部分：验收合格</w:t>
      </w:r>
      <w:r>
        <w:rPr>
          <w:rFonts w:ascii="Times New Roman" w:hAnsi="Times New Roman" w:eastAsia="宋体" w:cs="Times New Roman"/>
          <w:szCs w:val="21"/>
          <w:u w:val="single"/>
        </w:rPr>
        <w:t>后支付全款</w:t>
      </w:r>
      <w:r>
        <w:rPr>
          <w:rFonts w:hint="eastAsia" w:ascii="Times New Roman" w:hAnsi="Times New Roman" w:eastAsia="宋体" w:cs="Times New Roman"/>
          <w:szCs w:val="21"/>
          <w:u w:val="single"/>
        </w:rPr>
        <w:t>；外贸部分：开具1</w:t>
      </w:r>
      <w:r>
        <w:rPr>
          <w:rFonts w:ascii="Times New Roman" w:hAnsi="Times New Roman" w:eastAsia="宋体" w:cs="Times New Roman"/>
          <w:szCs w:val="21"/>
          <w:u w:val="single"/>
        </w:rPr>
        <w:t>00%</w:t>
      </w:r>
      <w:r>
        <w:rPr>
          <w:rFonts w:hint="eastAsia" w:ascii="Times New Roman" w:hAnsi="Times New Roman" w:eastAsia="宋体" w:cs="Times New Roman"/>
          <w:szCs w:val="21"/>
          <w:u w:val="single"/>
        </w:rPr>
        <w:t>不可撤销信用证，见开箱单解付9</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，验收合格后付尾款</w:t>
      </w:r>
      <w:r>
        <w:rPr>
          <w:rFonts w:ascii="Times New Roman" w:hAnsi="Times New Roman" w:eastAsia="宋体" w:cs="Times New Roman"/>
          <w:szCs w:val="21"/>
          <w:u w:val="single"/>
        </w:rPr>
        <w:t xml:space="preserve">    </w:t>
      </w:r>
      <w:r>
        <w:rPr>
          <w:rFonts w:ascii="Times New Roman" w:hAnsi="Times New Roman" w:eastAsia="宋体" w:cs="Times New Roman"/>
          <w:szCs w:val="21"/>
        </w:rPr>
        <w:t>。</w:t>
      </w:r>
    </w:p>
    <w:p w14:paraId="2F788DDF">
      <w:pPr>
        <w:tabs>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四、采购标的需满足的质量、安全、技术规格、物理特性等要求：</w:t>
      </w:r>
    </w:p>
    <w:p w14:paraId="0C35EC67">
      <w:pPr>
        <w:tabs>
          <w:tab w:val="left" w:pos="900"/>
        </w:tabs>
        <w:spacing w:before="156" w:beforeLines="50" w:line="360" w:lineRule="auto"/>
        <w:rPr>
          <w:rFonts w:ascii="Times New Roman" w:hAnsi="Times New Roman" w:eastAsia="宋体" w:cs="Times New Roman"/>
          <w:b/>
          <w:szCs w:val="21"/>
        </w:rPr>
      </w:pPr>
      <w:r>
        <w:rPr>
          <w:rFonts w:hint="eastAsia" w:ascii="Times New Roman" w:hAnsi="Times New Roman" w:eastAsia="宋体" w:cs="Times New Roman"/>
          <w:b/>
          <w:szCs w:val="21"/>
        </w:rPr>
        <w:t>注：“*”项为重点关注指标，不作废标项处理；</w:t>
      </w:r>
    </w:p>
    <w:p w14:paraId="574067BF">
      <w:pPr>
        <w:pStyle w:val="13"/>
        <w:numPr>
          <w:ilvl w:val="0"/>
          <w:numId w:val="1"/>
        </w:numPr>
        <w:tabs>
          <w:tab w:val="left" w:pos="900"/>
        </w:tabs>
        <w:spacing w:before="156" w:beforeLines="50" w:line="360" w:lineRule="auto"/>
        <w:ind w:firstLineChars="0"/>
        <w:rPr>
          <w:rFonts w:ascii="Times New Roman" w:hAnsi="Times New Roman" w:eastAsia="宋体" w:cs="Times New Roman"/>
          <w:b/>
          <w:color w:val="000000"/>
          <w:szCs w:val="21"/>
        </w:rPr>
      </w:pPr>
      <w:r>
        <w:rPr>
          <w:rFonts w:hint="eastAsia" w:ascii="Times New Roman" w:hAnsi="Times New Roman" w:eastAsia="宋体" w:cs="Times New Roman"/>
          <w:b/>
          <w:color w:val="000000"/>
          <w:szCs w:val="21"/>
        </w:rPr>
        <w:t>主要配置</w:t>
      </w:r>
    </w:p>
    <w:p w14:paraId="6B5F86D5">
      <w:pPr>
        <w:spacing w:line="480" w:lineRule="auto"/>
        <w:jc w:val="center"/>
        <w:rPr>
          <w:rFonts w:ascii="宋体" w:hAnsi="宋体" w:eastAsia="宋体"/>
          <w:bCs/>
          <w:color w:val="000000" w:themeColor="text1"/>
          <w:szCs w:val="21"/>
          <w14:textFill>
            <w14:solidFill>
              <w14:schemeClr w14:val="tx1"/>
            </w14:solidFill>
          </w14:textFill>
        </w:rPr>
      </w:pPr>
      <w:r>
        <w:rPr>
          <w:rFonts w:ascii="宋体" w:hAnsi="宋体" w:eastAsia="宋体"/>
          <w:bCs/>
          <w:color w:val="000000" w:themeColor="text1"/>
          <w:szCs w:val="21"/>
          <w14:textFill>
            <w14:solidFill>
              <w14:schemeClr w14:val="tx1"/>
            </w14:solidFill>
          </w14:textFill>
        </w:rPr>
        <w:t xml:space="preserve">表1 </w:t>
      </w:r>
      <w:r>
        <w:rPr>
          <w:rFonts w:hint="eastAsia" w:ascii="宋体" w:hAnsi="宋体" w:eastAsia="宋体"/>
          <w:bCs/>
          <w:color w:val="000000" w:themeColor="text1"/>
          <w:szCs w:val="21"/>
          <w14:textFill>
            <w14:solidFill>
              <w14:schemeClr w14:val="tx1"/>
            </w14:solidFill>
          </w14:textFill>
        </w:rPr>
        <w:t>单色化电子枪主要</w:t>
      </w:r>
      <w:r>
        <w:rPr>
          <w:rFonts w:ascii="宋体" w:hAnsi="宋体" w:eastAsia="宋体"/>
          <w:bCs/>
          <w:color w:val="000000" w:themeColor="text1"/>
          <w:szCs w:val="21"/>
          <w14:textFill>
            <w14:solidFill>
              <w14:schemeClr w14:val="tx1"/>
            </w14:solidFill>
          </w14:textFill>
        </w:rPr>
        <w:t>配置</w:t>
      </w:r>
      <w:r>
        <w:rPr>
          <w:rFonts w:hint="eastAsia" w:ascii="宋体" w:hAnsi="宋体" w:eastAsia="宋体"/>
          <w:bCs/>
          <w:color w:val="000000" w:themeColor="text1"/>
          <w:szCs w:val="21"/>
          <w14:textFill>
            <w14:solidFill>
              <w14:schemeClr w14:val="tx1"/>
            </w14:solidFill>
          </w14:textFill>
        </w:rPr>
        <w:t>清单</w:t>
      </w:r>
    </w:p>
    <w:tbl>
      <w:tblPr>
        <w:tblStyle w:val="5"/>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6"/>
        <w:gridCol w:w="5245"/>
      </w:tblGrid>
      <w:tr w14:paraId="5295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6" w:type="dxa"/>
            <w:vAlign w:val="center"/>
          </w:tcPr>
          <w:p w14:paraId="4AC48AD2">
            <w:pPr>
              <w:jc w:val="center"/>
              <w:rPr>
                <w:rFonts w:ascii="宋体" w:hAnsi="宋体" w:eastAsia="宋体"/>
                <w:bCs/>
                <w:color w:val="000000" w:themeColor="text1"/>
                <w:kern w:val="0"/>
                <w:sz w:val="18"/>
                <w:szCs w:val="18"/>
                <w14:textFill>
                  <w14:solidFill>
                    <w14:schemeClr w14:val="tx1"/>
                  </w14:solidFill>
                </w14:textFill>
              </w:rPr>
            </w:pPr>
            <w:r>
              <w:rPr>
                <w:rFonts w:ascii="宋体" w:hAnsi="宋体" w:eastAsia="宋体"/>
                <w:b/>
                <w:bCs/>
                <w:color w:val="000000" w:themeColor="text1"/>
                <w:kern w:val="0"/>
                <w:sz w:val="18"/>
                <w:szCs w:val="18"/>
                <w14:textFill>
                  <w14:solidFill>
                    <w14:schemeClr w14:val="tx1"/>
                  </w14:solidFill>
                </w14:textFill>
              </w:rPr>
              <w:t>名称</w:t>
            </w:r>
          </w:p>
        </w:tc>
        <w:tc>
          <w:tcPr>
            <w:tcW w:w="5245" w:type="dxa"/>
          </w:tcPr>
          <w:p w14:paraId="710E746D">
            <w:pPr>
              <w:jc w:val="center"/>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主要功能</w:t>
            </w:r>
          </w:p>
        </w:tc>
      </w:tr>
      <w:tr w14:paraId="618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48A2BF7F">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1）阴极</w:t>
            </w:r>
          </w:p>
        </w:tc>
        <w:tc>
          <w:tcPr>
            <w:tcW w:w="5245" w:type="dxa"/>
          </w:tcPr>
          <w:p w14:paraId="269948CD">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电子激发源</w:t>
            </w:r>
          </w:p>
        </w:tc>
      </w:tr>
      <w:tr w14:paraId="2C81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1CA55F97">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2）单色器</w:t>
            </w:r>
          </w:p>
        </w:tc>
        <w:tc>
          <w:tcPr>
            <w:tcW w:w="5245" w:type="dxa"/>
          </w:tcPr>
          <w:p w14:paraId="0F50DED4">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能够实现不同动能电子筛选，降低出射电子能散</w:t>
            </w:r>
          </w:p>
        </w:tc>
      </w:tr>
      <w:tr w14:paraId="4BEB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7033BCAD">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3）电子能量传输透镜</w:t>
            </w:r>
          </w:p>
        </w:tc>
        <w:tc>
          <w:tcPr>
            <w:tcW w:w="5245" w:type="dxa"/>
          </w:tcPr>
          <w:p w14:paraId="0BDA2C8A">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实现出射电子能量调节与束流聚焦</w:t>
            </w:r>
          </w:p>
        </w:tc>
      </w:tr>
      <w:tr w14:paraId="27A4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220DDD58">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4）磁屏蔽罩</w:t>
            </w:r>
          </w:p>
        </w:tc>
        <w:tc>
          <w:tcPr>
            <w:tcW w:w="5245" w:type="dxa"/>
          </w:tcPr>
          <w:p w14:paraId="08F12EFF">
            <w:pPr>
              <w:tabs>
                <w:tab w:val="left" w:pos="900"/>
              </w:tabs>
              <w:spacing w:line="360" w:lineRule="auto"/>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降低外部磁场对电子束轨迹的影响</w:t>
            </w:r>
          </w:p>
        </w:tc>
      </w:tr>
      <w:tr w14:paraId="7C1D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065C751C">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5）控制模块及软件</w:t>
            </w:r>
          </w:p>
        </w:tc>
        <w:tc>
          <w:tcPr>
            <w:tcW w:w="5245" w:type="dxa"/>
          </w:tcPr>
          <w:p w14:paraId="2405586A">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实现电子枪供电与不同参数控制,包括电压数字控制和电流读出功能</w:t>
            </w:r>
          </w:p>
        </w:tc>
      </w:tr>
      <w:tr w14:paraId="1741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67C34E11">
            <w:pPr>
              <w:jc w:val="left"/>
              <w:rPr>
                <w:rFonts w:ascii="宋体" w:hAnsi="宋体" w:eastAsia="宋体"/>
                <w:b/>
                <w:bCs/>
                <w:color w:val="000000" w:themeColor="text1"/>
                <w:kern w:val="0"/>
                <w:sz w:val="18"/>
                <w:szCs w:val="18"/>
                <w14:textFill>
                  <w14:solidFill>
                    <w14:schemeClr w14:val="tx1"/>
                  </w14:solidFill>
                </w14:textFill>
              </w:rPr>
            </w:pPr>
            <w:r>
              <w:rPr>
                <w:rFonts w:hint="eastAsia" w:ascii="宋体" w:hAnsi="宋体" w:eastAsia="宋体"/>
                <w:b/>
                <w:bCs/>
                <w:color w:val="000000" w:themeColor="text1"/>
                <w:kern w:val="0"/>
                <w:sz w:val="18"/>
                <w:szCs w:val="18"/>
                <w14:textFill>
                  <w14:solidFill>
                    <w14:schemeClr w14:val="tx1"/>
                  </w14:solidFill>
                </w14:textFill>
              </w:rPr>
              <w:t>6）集成电源</w:t>
            </w:r>
          </w:p>
        </w:tc>
        <w:tc>
          <w:tcPr>
            <w:tcW w:w="5245" w:type="dxa"/>
          </w:tcPr>
          <w:p w14:paraId="4A96D39E">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bCs/>
                <w:color w:val="000000" w:themeColor="text1"/>
                <w:kern w:val="0"/>
                <w:sz w:val="18"/>
                <w:szCs w:val="18"/>
                <w14:textFill>
                  <w14:solidFill>
                    <w14:schemeClr w14:val="tx1"/>
                  </w14:solidFill>
                </w14:textFill>
              </w:rPr>
              <w:t>为电子枪供电，调节不同电压，并配有降噪滤波器与接口设备</w:t>
            </w:r>
          </w:p>
        </w:tc>
      </w:tr>
      <w:tr w14:paraId="48D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vAlign w:val="center"/>
          </w:tcPr>
          <w:p w14:paraId="032E85DA">
            <w:pPr>
              <w:jc w:val="left"/>
              <w:rPr>
                <w:rFonts w:ascii="宋体" w:hAnsi="宋体" w:eastAsia="宋体"/>
                <w:b/>
                <w:bCs/>
                <w:color w:val="000000" w:themeColor="text1"/>
                <w:kern w:val="0"/>
                <w:sz w:val="18"/>
                <w:szCs w:val="18"/>
                <w14:textFill>
                  <w14:solidFill>
                    <w14:schemeClr w14:val="tx1"/>
                  </w14:solidFill>
                </w14:textFill>
              </w:rPr>
            </w:pPr>
            <w:r>
              <w:rPr>
                <w:rFonts w:ascii="宋体" w:hAnsi="宋体" w:eastAsia="宋体" w:cs="Times New Roman"/>
                <w:b/>
                <w:bCs/>
                <w:color w:val="000000"/>
                <w:sz w:val="18"/>
                <w:szCs w:val="18"/>
              </w:rPr>
              <w:t>7</w:t>
            </w:r>
            <w:r>
              <w:rPr>
                <w:rFonts w:hint="eastAsia" w:ascii="宋体" w:hAnsi="宋体" w:eastAsia="宋体" w:cs="Times New Roman"/>
                <w:b/>
                <w:bCs/>
                <w:color w:val="000000"/>
                <w:sz w:val="18"/>
                <w:szCs w:val="18"/>
              </w:rPr>
              <w:t>）配套备件</w:t>
            </w:r>
          </w:p>
        </w:tc>
        <w:tc>
          <w:tcPr>
            <w:tcW w:w="5245" w:type="dxa"/>
          </w:tcPr>
          <w:p w14:paraId="2AD1ACAD">
            <w:pPr>
              <w:jc w:val="left"/>
              <w:rPr>
                <w:rFonts w:ascii="宋体" w:hAnsi="宋体" w:eastAsia="宋体"/>
                <w:bCs/>
                <w:color w:val="000000" w:themeColor="text1"/>
                <w:kern w:val="0"/>
                <w:sz w:val="18"/>
                <w:szCs w:val="18"/>
                <w14:textFill>
                  <w14:solidFill>
                    <w14:schemeClr w14:val="tx1"/>
                  </w14:solidFill>
                </w14:textFill>
              </w:rPr>
            </w:pPr>
            <w:r>
              <w:rPr>
                <w:rFonts w:hint="eastAsia" w:ascii="宋体" w:hAnsi="宋体" w:eastAsia="宋体" w:cs="Times New Roman"/>
                <w:color w:val="000000"/>
                <w:sz w:val="18"/>
                <w:szCs w:val="18"/>
              </w:rPr>
              <w:t>提供必要的耗材及易损件不少于</w:t>
            </w:r>
            <w:r>
              <w:rPr>
                <w:rFonts w:ascii="宋体" w:hAnsi="宋体" w:eastAsia="宋体" w:cs="Times New Roman"/>
                <w:color w:val="000000"/>
                <w:sz w:val="18"/>
                <w:szCs w:val="18"/>
              </w:rPr>
              <w:t>2</w:t>
            </w:r>
            <w:r>
              <w:rPr>
                <w:rFonts w:hint="eastAsia" w:ascii="宋体" w:hAnsi="宋体" w:eastAsia="宋体" w:cs="Times New Roman"/>
                <w:color w:val="000000"/>
                <w:sz w:val="18"/>
                <w:szCs w:val="18"/>
              </w:rPr>
              <w:t>套</w:t>
            </w:r>
          </w:p>
        </w:tc>
      </w:tr>
    </w:tbl>
    <w:p w14:paraId="5118CA4A">
      <w:pPr>
        <w:pStyle w:val="13"/>
        <w:numPr>
          <w:ilvl w:val="0"/>
          <w:numId w:val="1"/>
        </w:numPr>
        <w:tabs>
          <w:tab w:val="left" w:pos="900"/>
        </w:tabs>
        <w:spacing w:before="156" w:beforeLines="50" w:line="360" w:lineRule="auto"/>
        <w:ind w:firstLineChars="0"/>
        <w:rPr>
          <w:rFonts w:ascii="Times New Roman" w:hAnsi="Times New Roman" w:eastAsia="宋体" w:cs="Times New Roman"/>
          <w:b/>
          <w:color w:val="000000"/>
          <w:szCs w:val="21"/>
        </w:rPr>
      </w:pPr>
      <w:r>
        <w:rPr>
          <w:rFonts w:hint="eastAsia" w:ascii="Times New Roman" w:hAnsi="Times New Roman" w:eastAsia="宋体" w:cs="Times New Roman"/>
          <w:b/>
          <w:color w:val="000000"/>
          <w:szCs w:val="21"/>
        </w:rPr>
        <w:t>单色化电子枪</w:t>
      </w:r>
      <w:r>
        <w:rPr>
          <w:rFonts w:ascii="Times New Roman" w:hAnsi="Times New Roman" w:eastAsia="宋体" w:cs="Times New Roman"/>
          <w:b/>
          <w:color w:val="000000"/>
          <w:szCs w:val="21"/>
        </w:rPr>
        <w:t>主要技术指标：</w:t>
      </w:r>
    </w:p>
    <w:p w14:paraId="57A6ED1C">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1）出射电子能量：包含1~200eV的工作范围，其中</w:t>
      </w:r>
      <w:bookmarkStart w:id="5" w:name="OLE_LINK9"/>
      <w:r>
        <w:rPr>
          <w:rFonts w:ascii="Times New Roman" w:hAnsi="Times New Roman" w:eastAsia="宋体" w:cs="Times New Roman"/>
          <w:szCs w:val="21"/>
        </w:rPr>
        <w:t>1~30eV</w:t>
      </w:r>
      <w:bookmarkEnd w:id="5"/>
      <w:r>
        <w:rPr>
          <w:rFonts w:ascii="Times New Roman" w:hAnsi="Times New Roman" w:eastAsia="宋体" w:cs="Times New Roman"/>
          <w:szCs w:val="21"/>
        </w:rPr>
        <w:t>为典型</w:t>
      </w:r>
      <w:r>
        <w:rPr>
          <w:rFonts w:hint="eastAsia" w:ascii="Times New Roman" w:hAnsi="Times New Roman" w:eastAsia="宋体" w:cs="Times New Roman"/>
          <w:szCs w:val="21"/>
        </w:rPr>
        <w:t>低能</w:t>
      </w:r>
      <w:r>
        <w:rPr>
          <w:rFonts w:ascii="Times New Roman" w:hAnsi="Times New Roman" w:eastAsia="宋体" w:cs="Times New Roman"/>
          <w:szCs w:val="21"/>
        </w:rPr>
        <w:t>工作能量范围；</w:t>
      </w:r>
    </w:p>
    <w:p w14:paraId="39E33F76">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2）</w:t>
      </w:r>
      <w:bookmarkStart w:id="6" w:name="OLE_LINK3"/>
      <w:r>
        <w:rPr>
          <w:rFonts w:hint="eastAsia" w:ascii="Times New Roman" w:hAnsi="Times New Roman" w:eastAsia="宋体" w:cs="Times New Roman"/>
          <w:szCs w:val="21"/>
        </w:rPr>
        <w:t>*</w:t>
      </w:r>
      <w:bookmarkEnd w:id="6"/>
      <w:r>
        <w:rPr>
          <w:rFonts w:ascii="Times New Roman" w:hAnsi="Times New Roman" w:eastAsia="宋体" w:cs="Times New Roman"/>
          <w:szCs w:val="21"/>
        </w:rPr>
        <w:t>发射电子束流大小：出射电子能量在1~200eV时发射电子束流</w:t>
      </w:r>
      <w:r>
        <w:rPr>
          <w:rFonts w:hint="eastAsia" w:ascii="Times New Roman" w:hAnsi="Times New Roman" w:eastAsia="宋体" w:cs="Times New Roman"/>
          <w:szCs w:val="21"/>
        </w:rPr>
        <w:t>≥</w:t>
      </w:r>
      <w:r>
        <w:rPr>
          <w:rFonts w:ascii="Times New Roman" w:hAnsi="Times New Roman" w:eastAsia="宋体" w:cs="Times New Roman"/>
          <w:szCs w:val="21"/>
        </w:rPr>
        <w:t>5nA，</w:t>
      </w:r>
      <w:bookmarkStart w:id="7" w:name="OLE_LINK8"/>
      <w:r>
        <w:rPr>
          <w:rFonts w:ascii="Times New Roman" w:hAnsi="Times New Roman" w:eastAsia="宋体" w:cs="Times New Roman"/>
          <w:szCs w:val="21"/>
        </w:rPr>
        <w:t>在典型</w:t>
      </w:r>
      <w:r>
        <w:rPr>
          <w:rFonts w:hint="eastAsia" w:ascii="Times New Roman" w:hAnsi="Times New Roman" w:eastAsia="宋体" w:cs="Times New Roman"/>
          <w:szCs w:val="21"/>
        </w:rPr>
        <w:t>低能</w:t>
      </w:r>
      <w:r>
        <w:rPr>
          <w:rFonts w:ascii="Times New Roman" w:hAnsi="Times New Roman" w:eastAsia="宋体" w:cs="Times New Roman"/>
          <w:szCs w:val="21"/>
        </w:rPr>
        <w:t>工作能量范围发射电子束流</w:t>
      </w:r>
      <w:r>
        <w:rPr>
          <w:rFonts w:hint="eastAsia" w:ascii="宋体" w:hAnsi="宋体" w:eastAsia="宋体" w:cs="Times New Roman"/>
          <w:szCs w:val="21"/>
        </w:rPr>
        <w:t>≥</w:t>
      </w:r>
      <w:r>
        <w:rPr>
          <w:rFonts w:ascii="Times New Roman" w:hAnsi="Times New Roman" w:eastAsia="宋体" w:cs="Times New Roman"/>
          <w:szCs w:val="21"/>
        </w:rPr>
        <w:t>10nA</w:t>
      </w:r>
      <w:bookmarkEnd w:id="7"/>
      <w:r>
        <w:rPr>
          <w:rFonts w:hint="eastAsia" w:ascii="Times New Roman" w:hAnsi="Times New Roman" w:eastAsia="宋体" w:cs="Times New Roman"/>
          <w:szCs w:val="21"/>
        </w:rPr>
        <w:t>；</w:t>
      </w:r>
    </w:p>
    <w:p w14:paraId="5E06681C">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3）</w:t>
      </w:r>
      <w:r>
        <w:rPr>
          <w:rFonts w:hint="eastAsia" w:ascii="Times New Roman" w:hAnsi="Times New Roman" w:eastAsia="宋体" w:cs="Times New Roman"/>
          <w:szCs w:val="21"/>
        </w:rPr>
        <w:t>*</w:t>
      </w:r>
      <w:r>
        <w:rPr>
          <w:rFonts w:ascii="Times New Roman" w:hAnsi="Times New Roman" w:eastAsia="宋体" w:cs="Times New Roman"/>
          <w:szCs w:val="21"/>
        </w:rPr>
        <w:t>出射电子能量展宽：</w:t>
      </w:r>
      <w:r>
        <w:rPr>
          <w:rFonts w:hint="eastAsia" w:ascii="宋体" w:hAnsi="宋体" w:eastAsia="宋体" w:cs="Times New Roman"/>
          <w:szCs w:val="21"/>
        </w:rPr>
        <w:t>≤</w:t>
      </w:r>
      <w:r>
        <w:rPr>
          <w:rFonts w:ascii="Times New Roman" w:hAnsi="Times New Roman" w:eastAsia="宋体" w:cs="Times New Roman"/>
          <w:szCs w:val="21"/>
        </w:rPr>
        <w:t>100meV</w:t>
      </w:r>
      <w:r>
        <w:rPr>
          <w:rFonts w:hint="eastAsia" w:ascii="Times New Roman" w:hAnsi="Times New Roman" w:eastAsia="宋体" w:cs="Times New Roman"/>
          <w:szCs w:val="21"/>
        </w:rPr>
        <w:t>；</w:t>
      </w:r>
    </w:p>
    <w:p w14:paraId="20CAA8EC">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4）束斑尺寸：</w:t>
      </w:r>
      <w:r>
        <w:rPr>
          <w:rFonts w:hint="eastAsia" w:ascii="宋体" w:hAnsi="宋体" w:eastAsia="宋体" w:cs="Times New Roman"/>
          <w:szCs w:val="21"/>
        </w:rPr>
        <w:t>≤</w:t>
      </w:r>
      <w:r>
        <w:rPr>
          <w:rFonts w:ascii="Times New Roman" w:hAnsi="Times New Roman" w:eastAsia="宋体" w:cs="Times New Roman"/>
          <w:szCs w:val="21"/>
        </w:rPr>
        <w:t>Φ5mm；</w:t>
      </w:r>
    </w:p>
    <w:p w14:paraId="11422102">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（5）工作距离：≥</w:t>
      </w:r>
      <w:r>
        <w:rPr>
          <w:rFonts w:ascii="Times New Roman" w:hAnsi="Times New Roman" w:eastAsia="宋体" w:cs="Times New Roman"/>
          <w:szCs w:val="21"/>
        </w:rPr>
        <w:t>20</w:t>
      </w:r>
      <w:r>
        <w:rPr>
          <w:rFonts w:hint="eastAsia" w:ascii="Times New Roman" w:hAnsi="Times New Roman" w:eastAsia="宋体" w:cs="Times New Roman"/>
          <w:szCs w:val="21"/>
        </w:rPr>
        <w:t>mm；</w:t>
      </w:r>
    </w:p>
    <w:p w14:paraId="6FF7FAB9">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（6）阴极亮度：电子枪运行在正常工作范围时，亮度优于1E5A/cm</w:t>
      </w:r>
      <w:r>
        <w:rPr>
          <w:rFonts w:hint="eastAsia" w:ascii="Times New Roman" w:hAnsi="Times New Roman" w:eastAsia="宋体" w:cs="Times New Roman"/>
          <w:szCs w:val="21"/>
          <w:vertAlign w:val="superscript"/>
        </w:rPr>
        <w:t>2</w:t>
      </w:r>
      <w:r>
        <w:rPr>
          <w:rFonts w:hint="eastAsia" w:ascii="Times New Roman" w:hAnsi="Times New Roman" w:eastAsia="宋体" w:cs="Times New Roman"/>
          <w:szCs w:val="21"/>
        </w:rPr>
        <w:t>sr;</w:t>
      </w:r>
    </w:p>
    <w:p w14:paraId="61BEA79B">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（7）阴极寿命：正常工作状态下阴极寿命应不少于500h，要求装机1套，备用1套；</w:t>
      </w:r>
    </w:p>
    <w:p w14:paraId="353A0672">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8</w:t>
      </w:r>
      <w:r>
        <w:rPr>
          <w:rFonts w:hint="eastAsia" w:ascii="Times New Roman" w:hAnsi="Times New Roman" w:eastAsia="宋体" w:cs="Times New Roman"/>
          <w:szCs w:val="21"/>
        </w:rPr>
        <w:t>）磁屏蔽：电子源结构带有磁屏蔽罩，在地磁场环境下仍可满足工作指标；</w:t>
      </w:r>
    </w:p>
    <w:p w14:paraId="12B48B8E">
      <w:pPr>
        <w:tabs>
          <w:tab w:val="left" w:pos="900"/>
        </w:tabs>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9</w:t>
      </w:r>
      <w:r>
        <w:rPr>
          <w:rFonts w:hint="eastAsia" w:ascii="Times New Roman" w:hAnsi="Times New Roman" w:eastAsia="宋体" w:cs="Times New Roman"/>
          <w:szCs w:val="21"/>
        </w:rPr>
        <w:t>）配套控制模块及软件：能够实现电子枪工作状态的调节，包括电子源的发射开关状态设置、电子源发射能量的调节、出射束流大小、束斑大小调节；</w:t>
      </w:r>
    </w:p>
    <w:p w14:paraId="30B5F9D7">
      <w:pPr>
        <w:tabs>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五、采购标的需满足的服务标准、期限、效率等要求</w:t>
      </w:r>
    </w:p>
    <w:p w14:paraId="503E7496">
      <w:pPr>
        <w:numPr>
          <w:ilvl w:val="0"/>
          <w:numId w:val="2"/>
        </w:numPr>
        <w:tabs>
          <w:tab w:val="left" w:pos="900"/>
        </w:tabs>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 xml:space="preserve">质保期： </w:t>
      </w:r>
      <w:r>
        <w:rPr>
          <w:rFonts w:ascii="Times New Roman" w:hAnsi="Times New Roman" w:eastAsia="宋体" w:cs="Times New Roman"/>
          <w:szCs w:val="21"/>
          <w:u w:val="single"/>
        </w:rPr>
        <w:t xml:space="preserve"> </w:t>
      </w:r>
      <w:r>
        <w:rPr>
          <w:rFonts w:hint="eastAsia" w:ascii="Times New Roman" w:hAnsi="Times New Roman" w:eastAsia="宋体" w:cs="Times New Roman"/>
          <w:szCs w:val="21"/>
          <w:u w:val="single"/>
        </w:rPr>
        <w:t>≥</w:t>
      </w:r>
      <w:r>
        <w:rPr>
          <w:rFonts w:ascii="Times New Roman" w:hAnsi="Times New Roman" w:eastAsia="宋体" w:cs="Times New Roman"/>
          <w:szCs w:val="20"/>
          <w:u w:val="single"/>
        </w:rPr>
        <w:t>3</w:t>
      </w:r>
      <w:r>
        <w:rPr>
          <w:rFonts w:ascii="Times New Roman" w:hAnsi="Times New Roman" w:eastAsia="宋体" w:cs="Times New Roman"/>
          <w:szCs w:val="21"/>
          <w:u w:val="single"/>
        </w:rPr>
        <w:t xml:space="preserve">  </w:t>
      </w:r>
      <w:r>
        <w:rPr>
          <w:rFonts w:ascii="Times New Roman" w:hAnsi="Times New Roman" w:eastAsia="宋体" w:cs="Times New Roman"/>
          <w:szCs w:val="21"/>
        </w:rPr>
        <w:t>年，</w:t>
      </w:r>
      <w:r>
        <w:rPr>
          <w:rFonts w:ascii="Times New Roman" w:hAnsi="Times New Roman" w:eastAsia="宋体" w:cs="Times New Roman"/>
          <w:szCs w:val="20"/>
        </w:rPr>
        <w:t>质保期内免费维保≥2次/年。</w:t>
      </w:r>
      <w:r>
        <w:rPr>
          <w:rFonts w:ascii="Times New Roman" w:hAnsi="Times New Roman" w:eastAsia="宋体" w:cs="Times New Roman"/>
          <w:szCs w:val="21"/>
        </w:rPr>
        <w:t>质保期满后，</w:t>
      </w:r>
      <w:r>
        <w:rPr>
          <w:rFonts w:ascii="Times New Roman" w:hAnsi="Times New Roman" w:eastAsia="宋体" w:cs="Times New Roman"/>
          <w:szCs w:val="20"/>
        </w:rPr>
        <w:t>免人工服务费</w:t>
      </w:r>
      <w:r>
        <w:rPr>
          <w:rFonts w:hint="eastAsia" w:ascii="Times New Roman" w:hAnsi="Times New Roman" w:eastAsia="宋体" w:cs="Times New Roman"/>
          <w:szCs w:val="20"/>
        </w:rPr>
        <w:t>，</w:t>
      </w:r>
      <w:r>
        <w:rPr>
          <w:rFonts w:ascii="Times New Roman" w:hAnsi="Times New Roman" w:eastAsia="宋体" w:cs="Times New Roman"/>
          <w:szCs w:val="21"/>
        </w:rPr>
        <w:t>仍需提供专业维修服务，投标人在投标文件中需注明维修服务单项报价。</w:t>
      </w:r>
    </w:p>
    <w:p w14:paraId="070B8346">
      <w:pPr>
        <w:numPr>
          <w:ilvl w:val="0"/>
          <w:numId w:val="2"/>
        </w:numPr>
        <w:tabs>
          <w:tab w:val="left" w:pos="900"/>
        </w:tabs>
        <w:spacing w:before="156" w:beforeLines="50" w:line="360" w:lineRule="auto"/>
        <w:rPr>
          <w:rFonts w:ascii="Times New Roman" w:hAnsi="Times New Roman" w:eastAsia="宋体" w:cs="Times New Roman"/>
          <w:szCs w:val="21"/>
        </w:rPr>
      </w:pPr>
      <w:r>
        <w:rPr>
          <w:rFonts w:ascii="Times New Roman" w:hAnsi="Times New Roman" w:eastAsia="宋体" w:cs="Times New Roman"/>
          <w:szCs w:val="21"/>
        </w:rPr>
        <w:t>服务响应时间：质保期内，接到维修电话后2小时内给予明确答复，24小时内到达现场维修。维修人员到现场后若问题特殊无法现场修复的，供货方在8小时内给出合理解决方案。质保期外每年至少一次免费上门仪诊，无数次远程指导客户解决相关技术、设备问题。</w:t>
      </w:r>
    </w:p>
    <w:p w14:paraId="2A402CA7">
      <w:pPr>
        <w:numPr>
          <w:ilvl w:val="0"/>
          <w:numId w:val="2"/>
        </w:numPr>
        <w:tabs>
          <w:tab w:val="left" w:pos="709"/>
        </w:tabs>
        <w:spacing w:before="156" w:line="360" w:lineRule="auto"/>
        <w:rPr>
          <w:rFonts w:ascii="Times New Roman" w:hAnsi="Times New Roman" w:eastAsia="宋体" w:cs="Times New Roman"/>
          <w:szCs w:val="20"/>
        </w:rPr>
      </w:pPr>
      <w:r>
        <w:rPr>
          <w:rFonts w:ascii="Times New Roman" w:hAnsi="Times New Roman" w:eastAsia="宋体" w:cs="Times New Roman"/>
          <w:szCs w:val="21"/>
        </w:rPr>
        <w:t>培训要求：</w:t>
      </w:r>
      <w:r>
        <w:rPr>
          <w:rFonts w:ascii="Times New Roman" w:hAnsi="Times New Roman" w:eastAsia="宋体" w:cs="Times New Roman"/>
          <w:szCs w:val="20"/>
        </w:rPr>
        <w:t>提供培训电子资料及视频；供方免费为用户培训至少</w:t>
      </w:r>
      <w:r>
        <w:rPr>
          <w:rFonts w:ascii="Times New Roman" w:hAnsi="Times New Roman" w:eastAsia="宋体" w:cs="Times New Roman"/>
          <w:szCs w:val="20"/>
          <w:u w:val="single"/>
        </w:rPr>
        <w:t xml:space="preserve"> 2 </w:t>
      </w:r>
      <w:r>
        <w:rPr>
          <w:rFonts w:ascii="Times New Roman" w:hAnsi="Times New Roman" w:eastAsia="宋体" w:cs="Times New Roman"/>
          <w:szCs w:val="20"/>
        </w:rPr>
        <w:t>名操作人员进行为期至少</w:t>
      </w:r>
      <w:r>
        <w:rPr>
          <w:rFonts w:ascii="Times New Roman" w:hAnsi="Times New Roman" w:eastAsia="宋体" w:cs="Times New Roman"/>
          <w:szCs w:val="20"/>
          <w:u w:val="single"/>
        </w:rPr>
        <w:t xml:space="preserve"> 2 </w:t>
      </w:r>
      <w:r>
        <w:rPr>
          <w:rFonts w:ascii="Times New Roman" w:hAnsi="Times New Roman" w:eastAsia="宋体" w:cs="Times New Roman"/>
          <w:szCs w:val="20"/>
        </w:rPr>
        <w:t xml:space="preserve">天的现场操作培训以及应用培训，保证用户掌握有关设备的使用、维护、管理和应用等工作要求。不定期的免费提供相关设备应用方面的技术咨询等。 </w:t>
      </w:r>
    </w:p>
    <w:p w14:paraId="7AFDBADC">
      <w:pPr>
        <w:tabs>
          <w:tab w:val="left" w:pos="420"/>
          <w:tab w:val="left" w:pos="900"/>
        </w:tabs>
        <w:spacing w:before="156" w:beforeLines="50" w:line="360" w:lineRule="auto"/>
        <w:rPr>
          <w:rFonts w:ascii="Times New Roman" w:hAnsi="Times New Roman" w:eastAsia="宋体" w:cs="Times New Roman"/>
          <w:b/>
          <w:szCs w:val="21"/>
        </w:rPr>
      </w:pPr>
      <w:r>
        <w:rPr>
          <w:rFonts w:ascii="Times New Roman" w:hAnsi="Times New Roman" w:eastAsia="宋体" w:cs="Times New Roman"/>
          <w:b/>
          <w:szCs w:val="21"/>
        </w:rPr>
        <w:t>六、采购标的的履约验收标准</w:t>
      </w:r>
    </w:p>
    <w:bookmarkEnd w:id="2"/>
    <w:bookmarkEnd w:id="3"/>
    <w:bookmarkEnd w:id="4"/>
    <w:tbl>
      <w:tblPr>
        <w:tblStyle w:val="12"/>
        <w:tblW w:w="8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507"/>
        <w:gridCol w:w="2254"/>
        <w:gridCol w:w="2114"/>
      </w:tblGrid>
      <w:tr w14:paraId="7870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601" w:type="dxa"/>
            <w:gridSpan w:val="4"/>
            <w:vAlign w:val="center"/>
          </w:tcPr>
          <w:p w14:paraId="72F692F7">
            <w:pPr>
              <w:widowControl/>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现场的检验指标及方法</w:t>
            </w:r>
          </w:p>
        </w:tc>
      </w:tr>
      <w:tr w14:paraId="321F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26" w:type="dxa"/>
            <w:vAlign w:val="center"/>
          </w:tcPr>
          <w:p w14:paraId="1FB84F0C">
            <w:pPr>
              <w:widowControl/>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序号</w:t>
            </w:r>
          </w:p>
        </w:tc>
        <w:tc>
          <w:tcPr>
            <w:tcW w:w="3507" w:type="dxa"/>
            <w:vAlign w:val="center"/>
          </w:tcPr>
          <w:p w14:paraId="7CBD2FFC">
            <w:pPr>
              <w:widowControl/>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功能或指标</w:t>
            </w:r>
          </w:p>
        </w:tc>
        <w:tc>
          <w:tcPr>
            <w:tcW w:w="4368" w:type="dxa"/>
            <w:gridSpan w:val="2"/>
            <w:vAlign w:val="center"/>
          </w:tcPr>
          <w:p w14:paraId="00E6D255">
            <w:pPr>
              <w:widowControl/>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验收或测试方法</w:t>
            </w:r>
          </w:p>
        </w:tc>
      </w:tr>
      <w:tr w14:paraId="701E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06A48214">
            <w:pPr>
              <w:widowControl/>
              <w:jc w:val="left"/>
              <w:textAlignment w:val="baseline"/>
              <w:rPr>
                <w:rFonts w:ascii="Times New Roman" w:hAnsi="Times New Roman" w:eastAsia="黑体" w:cs="Times New Roman"/>
                <w:b/>
                <w:color w:val="000000"/>
                <w:kern w:val="0"/>
                <w:sz w:val="18"/>
                <w:szCs w:val="18"/>
              </w:rPr>
            </w:pPr>
            <w:r>
              <w:rPr>
                <w:rFonts w:ascii="Times New Roman" w:hAnsi="Times New Roman" w:eastAsia="黑体" w:cs="Times New Roman"/>
                <w:b/>
                <w:color w:val="000000"/>
                <w:kern w:val="0"/>
                <w:sz w:val="18"/>
                <w:szCs w:val="18"/>
              </w:rPr>
              <w:t>项目建设单位验收要求：</w:t>
            </w:r>
          </w:p>
        </w:tc>
      </w:tr>
      <w:tr w14:paraId="2D1F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FD87AD3">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3507" w:type="dxa"/>
            <w:vAlign w:val="center"/>
          </w:tcPr>
          <w:p w14:paraId="5EECD787">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货物外包装与外观无损伤</w:t>
            </w:r>
          </w:p>
        </w:tc>
        <w:tc>
          <w:tcPr>
            <w:tcW w:w="4368" w:type="dxa"/>
            <w:gridSpan w:val="2"/>
            <w:vAlign w:val="center"/>
          </w:tcPr>
          <w:p w14:paraId="3F153F05">
            <w:pPr>
              <w:widowControl/>
              <w:jc w:val="left"/>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现场核查</w:t>
            </w:r>
          </w:p>
        </w:tc>
      </w:tr>
      <w:tr w14:paraId="6170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28FE8D3C">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w:t>
            </w:r>
          </w:p>
        </w:tc>
        <w:tc>
          <w:tcPr>
            <w:tcW w:w="3507" w:type="dxa"/>
            <w:vAlign w:val="center"/>
          </w:tcPr>
          <w:p w14:paraId="487D03F9">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货物配置、包括备品备件、耗品耗材等提供齐全，货物实物品牌、规格、型号、配置数量与采购结果、合同约定相符。</w:t>
            </w:r>
          </w:p>
        </w:tc>
        <w:tc>
          <w:tcPr>
            <w:tcW w:w="4368" w:type="dxa"/>
            <w:gridSpan w:val="2"/>
            <w:vAlign w:val="center"/>
          </w:tcPr>
          <w:p w14:paraId="7F0E44BD">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依据《合同》及其附件（包括但不限于《采购需求》《供应商投标（响应）文件》《投标澄清函》《技术协议》等）约定，现场核查。</w:t>
            </w:r>
          </w:p>
        </w:tc>
      </w:tr>
      <w:tr w14:paraId="258A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2295F485">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w:t>
            </w:r>
          </w:p>
        </w:tc>
        <w:tc>
          <w:tcPr>
            <w:tcW w:w="3507" w:type="dxa"/>
            <w:vAlign w:val="center"/>
          </w:tcPr>
          <w:p w14:paraId="6DD24B69">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所有功能和指标参数（包括边界极限值）达到采购结果合同约定要求。</w:t>
            </w:r>
          </w:p>
        </w:tc>
        <w:tc>
          <w:tcPr>
            <w:tcW w:w="4368" w:type="dxa"/>
            <w:gridSpan w:val="2"/>
            <w:vAlign w:val="center"/>
          </w:tcPr>
          <w:p w14:paraId="37A3E4B8">
            <w:pPr>
              <w:rPr>
                <w:rFonts w:ascii="Times New Roman" w:hAnsi="Times New Roman" w:eastAsia="宋体" w:cs="Times New Roman"/>
                <w:kern w:val="0"/>
                <w:sz w:val="20"/>
                <w:szCs w:val="21"/>
              </w:rPr>
            </w:pPr>
            <w:r>
              <w:rPr>
                <w:rFonts w:ascii="Times New Roman" w:hAnsi="Times New Roman" w:eastAsia="宋体" w:cs="Times New Roman"/>
                <w:color w:val="000000"/>
                <w:kern w:val="0"/>
                <w:sz w:val="18"/>
                <w:szCs w:val="18"/>
              </w:rPr>
              <w:t>依据《合同》及其附件（包括但不限于《采购需求》《供应商投标（响应）文件》《投标澄清函》《技术协议》等）约定，现场测试，</w:t>
            </w:r>
            <w:r>
              <w:rPr>
                <w:rFonts w:hint="eastAsia" w:ascii="Times New Roman" w:hAnsi="Times New Roman" w:eastAsia="宋体" w:cs="Times New Roman"/>
                <w:color w:val="000000"/>
                <w:kern w:val="0"/>
                <w:sz w:val="18"/>
                <w:szCs w:val="18"/>
              </w:rPr>
              <w:t>或</w:t>
            </w:r>
            <w:r>
              <w:rPr>
                <w:rFonts w:ascii="Times New Roman" w:hAnsi="Times New Roman" w:eastAsia="宋体" w:cs="Times New Roman"/>
                <w:color w:val="000000"/>
                <w:kern w:val="0"/>
                <w:sz w:val="18"/>
                <w:szCs w:val="18"/>
              </w:rPr>
              <w:t>供应商提供《产品出厂检测报告》。</w:t>
            </w:r>
          </w:p>
        </w:tc>
      </w:tr>
      <w:tr w14:paraId="4CA6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05E21401">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4</w:t>
            </w:r>
          </w:p>
        </w:tc>
        <w:tc>
          <w:tcPr>
            <w:tcW w:w="7875" w:type="dxa"/>
            <w:gridSpan w:val="3"/>
            <w:vAlign w:val="center"/>
          </w:tcPr>
          <w:p w14:paraId="4D262D59">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《供应商货物类项目完工报告》《项目建设单位货物类项目完工自验收报告》等与验收相关的材料由项目建设单位妥善保管存档。</w:t>
            </w:r>
          </w:p>
        </w:tc>
      </w:tr>
      <w:tr w14:paraId="7625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2E22550D">
            <w:pPr>
              <w:widowControl/>
              <w:jc w:val="left"/>
              <w:textAlignment w:val="baseline"/>
              <w:rPr>
                <w:rFonts w:ascii="Times New Roman" w:hAnsi="Times New Roman" w:eastAsia="宋体" w:cs="Times New Roman"/>
                <w:color w:val="000000"/>
                <w:kern w:val="0"/>
                <w:sz w:val="18"/>
                <w:szCs w:val="18"/>
              </w:rPr>
            </w:pPr>
            <w:r>
              <w:rPr>
                <w:rFonts w:ascii="Times New Roman" w:hAnsi="Times New Roman" w:eastAsia="黑体" w:cs="Times New Roman"/>
                <w:b/>
                <w:color w:val="000000"/>
                <w:kern w:val="0"/>
                <w:sz w:val="18"/>
                <w:szCs w:val="18"/>
              </w:rPr>
              <w:t>学校验收复核要求：</w:t>
            </w:r>
          </w:p>
        </w:tc>
      </w:tr>
      <w:tr w14:paraId="074A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1CE2519C">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7875" w:type="dxa"/>
            <w:gridSpan w:val="3"/>
            <w:vAlign w:val="center"/>
          </w:tcPr>
          <w:p w14:paraId="316192D5">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项目建设单位填写《学校采购货物类项目验收复核申请表》</w:t>
            </w:r>
          </w:p>
        </w:tc>
      </w:tr>
      <w:tr w14:paraId="0FE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59FF9FE8">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w:t>
            </w:r>
          </w:p>
        </w:tc>
        <w:tc>
          <w:tcPr>
            <w:tcW w:w="7875" w:type="dxa"/>
            <w:gridSpan w:val="3"/>
            <w:vAlign w:val="center"/>
          </w:tcPr>
          <w:p w14:paraId="3EA66132">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提供《供应商货物类项目完工报告》</w:t>
            </w:r>
          </w:p>
        </w:tc>
      </w:tr>
      <w:tr w14:paraId="593D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5B921B1A">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w:t>
            </w:r>
          </w:p>
        </w:tc>
        <w:tc>
          <w:tcPr>
            <w:tcW w:w="7875" w:type="dxa"/>
            <w:gridSpan w:val="3"/>
            <w:vAlign w:val="center"/>
          </w:tcPr>
          <w:p w14:paraId="0F26A969">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提供《项目建设单位货物类项目完工自验收报告》</w:t>
            </w:r>
          </w:p>
        </w:tc>
      </w:tr>
      <w:tr w14:paraId="271E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372EE59C">
            <w:pPr>
              <w:widowControl/>
              <w:spacing w:line="450" w:lineRule="atLeast"/>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4</w:t>
            </w:r>
          </w:p>
        </w:tc>
        <w:tc>
          <w:tcPr>
            <w:tcW w:w="7875" w:type="dxa"/>
            <w:gridSpan w:val="3"/>
            <w:vAlign w:val="center"/>
          </w:tcPr>
          <w:p w14:paraId="1D2B746E">
            <w:pPr>
              <w:widowControl/>
              <w:textAlignment w:val="baseline"/>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学校组织验收专家组现场复核供应商与项目建设单位货物到货完工验收完成情况</w:t>
            </w:r>
          </w:p>
        </w:tc>
      </w:tr>
      <w:tr w14:paraId="3F15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33" w:type="dxa"/>
            <w:gridSpan w:val="2"/>
            <w:vAlign w:val="center"/>
          </w:tcPr>
          <w:p w14:paraId="53C3E6B8">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验收时是否需要供应商提供样品</w:t>
            </w:r>
          </w:p>
        </w:tc>
        <w:tc>
          <w:tcPr>
            <w:tcW w:w="2254" w:type="dxa"/>
            <w:vAlign w:val="center"/>
          </w:tcPr>
          <w:p w14:paraId="1D76F54A">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是□</w:t>
            </w:r>
          </w:p>
        </w:tc>
        <w:tc>
          <w:tcPr>
            <w:tcW w:w="2114" w:type="dxa"/>
            <w:vAlign w:val="center"/>
          </w:tcPr>
          <w:p w14:paraId="77ACE68E">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否</w:t>
            </w:r>
            <w:r>
              <w:rPr>
                <w:rFonts w:ascii="Times New Roman" w:hAnsi="Times New Roman" w:eastAsia="宋体" w:cs="Times New Roman"/>
                <w:color w:val="000000"/>
                <w:kern w:val="0"/>
                <w:sz w:val="20"/>
                <w:szCs w:val="21"/>
              </w:rPr>
              <w:sym w:font="Wingdings 2" w:char="F052"/>
            </w:r>
          </w:p>
        </w:tc>
      </w:tr>
      <w:tr w14:paraId="4E80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33" w:type="dxa"/>
            <w:gridSpan w:val="2"/>
            <w:vAlign w:val="center"/>
          </w:tcPr>
          <w:p w14:paraId="421F4A7E">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验收时是否需供应商提供必要的其他设备</w:t>
            </w:r>
          </w:p>
        </w:tc>
        <w:tc>
          <w:tcPr>
            <w:tcW w:w="2254" w:type="dxa"/>
            <w:vAlign w:val="center"/>
          </w:tcPr>
          <w:p w14:paraId="4579ADDF">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是</w:t>
            </w:r>
            <w:r>
              <w:rPr>
                <w:rFonts w:ascii="Times New Roman" w:hAnsi="Times New Roman" w:eastAsia="宋体" w:cs="Times New Roman"/>
                <w:color w:val="000000"/>
                <w:kern w:val="0"/>
                <w:sz w:val="20"/>
                <w:szCs w:val="21"/>
              </w:rPr>
              <w:sym w:font="Wingdings 2" w:char="F052"/>
            </w:r>
          </w:p>
        </w:tc>
        <w:tc>
          <w:tcPr>
            <w:tcW w:w="2114" w:type="dxa"/>
            <w:vAlign w:val="center"/>
          </w:tcPr>
          <w:p w14:paraId="681025A4">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否□</w:t>
            </w:r>
          </w:p>
        </w:tc>
      </w:tr>
      <w:tr w14:paraId="1F7E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1" w:type="dxa"/>
            <w:gridSpan w:val="4"/>
            <w:vAlign w:val="center"/>
          </w:tcPr>
          <w:p w14:paraId="44C6F3AB">
            <w:pPr>
              <w:widowControl/>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除现场验收外，需提供的其他验收要求</w:t>
            </w:r>
          </w:p>
        </w:tc>
      </w:tr>
      <w:tr w14:paraId="25E4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233" w:type="dxa"/>
            <w:gridSpan w:val="2"/>
            <w:vAlign w:val="center"/>
          </w:tcPr>
          <w:p w14:paraId="5B16E20C">
            <w:pPr>
              <w:widowControl/>
              <w:spacing w:line="450" w:lineRule="atLeast"/>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除现场验收外，是□否</w:t>
            </w:r>
            <w:r>
              <w:rPr>
                <w:rFonts w:ascii="Times New Roman" w:hAnsi="Times New Roman" w:eastAsia="宋体" w:cs="Times New Roman"/>
                <w:color w:val="000000"/>
                <w:kern w:val="0"/>
                <w:sz w:val="20"/>
                <w:szCs w:val="21"/>
              </w:rPr>
              <w:sym w:font="Wingdings 2" w:char="F052"/>
            </w:r>
            <w:r>
              <w:rPr>
                <w:rFonts w:ascii="Times New Roman" w:hAnsi="Times New Roman" w:eastAsia="宋体" w:cs="Times New Roman"/>
                <w:color w:val="000000"/>
                <w:kern w:val="0"/>
                <w:sz w:val="20"/>
                <w:szCs w:val="21"/>
              </w:rPr>
              <w:t>需提供第三方检测报告</w:t>
            </w:r>
          </w:p>
          <w:p w14:paraId="17EADE19">
            <w:pPr>
              <w:widowControl/>
              <w:spacing w:line="450" w:lineRule="atLeast"/>
              <w:textAlignment w:val="baseline"/>
              <w:rPr>
                <w:rFonts w:ascii="Times New Roman" w:hAnsi="Times New Roman" w:eastAsia="宋体" w:cs="Times New Roman"/>
                <w:color w:val="000000"/>
                <w:kern w:val="0"/>
                <w:sz w:val="20"/>
                <w:szCs w:val="21"/>
              </w:rPr>
            </w:pPr>
          </w:p>
        </w:tc>
        <w:tc>
          <w:tcPr>
            <w:tcW w:w="4368" w:type="dxa"/>
            <w:gridSpan w:val="2"/>
            <w:vAlign w:val="center"/>
          </w:tcPr>
          <w:p w14:paraId="2857229A">
            <w:pPr>
              <w:widowControl/>
              <w:spacing w:line="450" w:lineRule="atLeast"/>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对于检测机构的要求：国家正规检测机构，出具的检测报告由验收复核专家认可之后作为验收复核通过的主要依据。</w:t>
            </w:r>
          </w:p>
          <w:p w14:paraId="31D7264B">
            <w:pPr>
              <w:widowControl/>
              <w:spacing w:line="450" w:lineRule="atLeast"/>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对于检测执行标准的要求：各项检测项目标准以检测机构按照行业相关要求最新适用并执行的标准为准。</w:t>
            </w:r>
          </w:p>
        </w:tc>
      </w:tr>
    </w:tbl>
    <w:p w14:paraId="56DF6990">
      <w:pPr>
        <w:rPr>
          <w:rFonts w:ascii="Times New Roman" w:hAnsi="Times New Roman" w:eastAsia="宋体" w:cs="Times New Roman"/>
          <w:szCs w:val="20"/>
        </w:rPr>
      </w:pPr>
    </w:p>
    <w:p w14:paraId="367AC9AF">
      <w:pPr>
        <w:widowControl/>
        <w:jc w:val="left"/>
        <w:rPr>
          <w:rFonts w:ascii="Times New Roman" w:hAnsi="Times New Roman" w:eastAsia="宋体" w:cs="Times New Roman"/>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47D1D"/>
    <w:multiLevelType w:val="multilevel"/>
    <w:tmpl w:val="0A947D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D475B4"/>
    <w:multiLevelType w:val="multilevel"/>
    <w:tmpl w:val="1AD475B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B3"/>
    <w:rsid w:val="000007AC"/>
    <w:rsid w:val="00001273"/>
    <w:rsid w:val="00001302"/>
    <w:rsid w:val="0000657C"/>
    <w:rsid w:val="000123DD"/>
    <w:rsid w:val="00026121"/>
    <w:rsid w:val="000543A8"/>
    <w:rsid w:val="00056FD6"/>
    <w:rsid w:val="00064798"/>
    <w:rsid w:val="000825A0"/>
    <w:rsid w:val="00093489"/>
    <w:rsid w:val="000B154B"/>
    <w:rsid w:val="000B492D"/>
    <w:rsid w:val="000D2CD0"/>
    <w:rsid w:val="000E2F6A"/>
    <w:rsid w:val="000E47E8"/>
    <w:rsid w:val="000F5601"/>
    <w:rsid w:val="00102F96"/>
    <w:rsid w:val="00106B01"/>
    <w:rsid w:val="00176088"/>
    <w:rsid w:val="00185C72"/>
    <w:rsid w:val="00193410"/>
    <w:rsid w:val="00197050"/>
    <w:rsid w:val="001C0287"/>
    <w:rsid w:val="001C2E2E"/>
    <w:rsid w:val="001D22C4"/>
    <w:rsid w:val="001D49FE"/>
    <w:rsid w:val="001D61AD"/>
    <w:rsid w:val="001E4EE3"/>
    <w:rsid w:val="001E7645"/>
    <w:rsid w:val="001F3A28"/>
    <w:rsid w:val="00203836"/>
    <w:rsid w:val="00213F9E"/>
    <w:rsid w:val="002256B9"/>
    <w:rsid w:val="00250DA6"/>
    <w:rsid w:val="0025129B"/>
    <w:rsid w:val="00261FC5"/>
    <w:rsid w:val="002712B2"/>
    <w:rsid w:val="00274A86"/>
    <w:rsid w:val="00290E99"/>
    <w:rsid w:val="002A3E0A"/>
    <w:rsid w:val="002C45D6"/>
    <w:rsid w:val="002C4C6A"/>
    <w:rsid w:val="002D0E77"/>
    <w:rsid w:val="002D32CE"/>
    <w:rsid w:val="002F062D"/>
    <w:rsid w:val="002F40C0"/>
    <w:rsid w:val="002F7A6F"/>
    <w:rsid w:val="00300975"/>
    <w:rsid w:val="00333F56"/>
    <w:rsid w:val="003357AD"/>
    <w:rsid w:val="00367B6A"/>
    <w:rsid w:val="003765DC"/>
    <w:rsid w:val="00382891"/>
    <w:rsid w:val="003937AF"/>
    <w:rsid w:val="003B4EB3"/>
    <w:rsid w:val="00410705"/>
    <w:rsid w:val="00421DD9"/>
    <w:rsid w:val="00421E91"/>
    <w:rsid w:val="0043481D"/>
    <w:rsid w:val="00442463"/>
    <w:rsid w:val="004908AB"/>
    <w:rsid w:val="004A249E"/>
    <w:rsid w:val="004A55D8"/>
    <w:rsid w:val="004B11CA"/>
    <w:rsid w:val="004E0AEB"/>
    <w:rsid w:val="004E37BB"/>
    <w:rsid w:val="004F10C8"/>
    <w:rsid w:val="00506F7D"/>
    <w:rsid w:val="0052104F"/>
    <w:rsid w:val="00525A66"/>
    <w:rsid w:val="005367C7"/>
    <w:rsid w:val="00541E19"/>
    <w:rsid w:val="0055229A"/>
    <w:rsid w:val="005B5487"/>
    <w:rsid w:val="005B7EE1"/>
    <w:rsid w:val="005E050B"/>
    <w:rsid w:val="005E56B4"/>
    <w:rsid w:val="0061497D"/>
    <w:rsid w:val="00616C4C"/>
    <w:rsid w:val="006244BC"/>
    <w:rsid w:val="006454BF"/>
    <w:rsid w:val="0066324E"/>
    <w:rsid w:val="00672628"/>
    <w:rsid w:val="00676F9F"/>
    <w:rsid w:val="006A2952"/>
    <w:rsid w:val="006B4CA9"/>
    <w:rsid w:val="006C0A99"/>
    <w:rsid w:val="006C3E43"/>
    <w:rsid w:val="006C453F"/>
    <w:rsid w:val="006E2FCB"/>
    <w:rsid w:val="007016FF"/>
    <w:rsid w:val="00724B04"/>
    <w:rsid w:val="00730696"/>
    <w:rsid w:val="00730C6E"/>
    <w:rsid w:val="00744DA8"/>
    <w:rsid w:val="00791B10"/>
    <w:rsid w:val="007A4BD5"/>
    <w:rsid w:val="007C7441"/>
    <w:rsid w:val="007D021D"/>
    <w:rsid w:val="007D651F"/>
    <w:rsid w:val="007F5103"/>
    <w:rsid w:val="0082720D"/>
    <w:rsid w:val="008356E9"/>
    <w:rsid w:val="00851261"/>
    <w:rsid w:val="008545BB"/>
    <w:rsid w:val="00893EBE"/>
    <w:rsid w:val="008B1E41"/>
    <w:rsid w:val="008B2F18"/>
    <w:rsid w:val="008C55A4"/>
    <w:rsid w:val="008E5AF3"/>
    <w:rsid w:val="00902EC1"/>
    <w:rsid w:val="00974455"/>
    <w:rsid w:val="0097493F"/>
    <w:rsid w:val="00996B04"/>
    <w:rsid w:val="009B44C7"/>
    <w:rsid w:val="009C152C"/>
    <w:rsid w:val="009D49F9"/>
    <w:rsid w:val="009E1A4B"/>
    <w:rsid w:val="009F5A66"/>
    <w:rsid w:val="009F6A0F"/>
    <w:rsid w:val="009F7DCE"/>
    <w:rsid w:val="00A11D1F"/>
    <w:rsid w:val="00A26D10"/>
    <w:rsid w:val="00A43A45"/>
    <w:rsid w:val="00A56E17"/>
    <w:rsid w:val="00A73ACF"/>
    <w:rsid w:val="00A832C1"/>
    <w:rsid w:val="00A90882"/>
    <w:rsid w:val="00A92279"/>
    <w:rsid w:val="00AB6828"/>
    <w:rsid w:val="00AC4739"/>
    <w:rsid w:val="00AD11E7"/>
    <w:rsid w:val="00B0217F"/>
    <w:rsid w:val="00B11155"/>
    <w:rsid w:val="00B33179"/>
    <w:rsid w:val="00B552B5"/>
    <w:rsid w:val="00B60F30"/>
    <w:rsid w:val="00B67F9A"/>
    <w:rsid w:val="00B80E96"/>
    <w:rsid w:val="00B82030"/>
    <w:rsid w:val="00B85C12"/>
    <w:rsid w:val="00B9341E"/>
    <w:rsid w:val="00B97145"/>
    <w:rsid w:val="00BA578D"/>
    <w:rsid w:val="00BF21D3"/>
    <w:rsid w:val="00BF22D7"/>
    <w:rsid w:val="00C0483B"/>
    <w:rsid w:val="00C05D7B"/>
    <w:rsid w:val="00C103E7"/>
    <w:rsid w:val="00C17D93"/>
    <w:rsid w:val="00C2246E"/>
    <w:rsid w:val="00C231D7"/>
    <w:rsid w:val="00C24DB8"/>
    <w:rsid w:val="00C34C70"/>
    <w:rsid w:val="00C4404E"/>
    <w:rsid w:val="00C57556"/>
    <w:rsid w:val="00C61AD7"/>
    <w:rsid w:val="00C71919"/>
    <w:rsid w:val="00C73E91"/>
    <w:rsid w:val="00C742E2"/>
    <w:rsid w:val="00C82AA1"/>
    <w:rsid w:val="00CA0738"/>
    <w:rsid w:val="00CB3154"/>
    <w:rsid w:val="00CF5113"/>
    <w:rsid w:val="00D04398"/>
    <w:rsid w:val="00D11647"/>
    <w:rsid w:val="00D127A8"/>
    <w:rsid w:val="00D22B10"/>
    <w:rsid w:val="00D34244"/>
    <w:rsid w:val="00D50E1B"/>
    <w:rsid w:val="00D60A53"/>
    <w:rsid w:val="00D645D0"/>
    <w:rsid w:val="00D66092"/>
    <w:rsid w:val="00D72893"/>
    <w:rsid w:val="00D9694B"/>
    <w:rsid w:val="00DA3E61"/>
    <w:rsid w:val="00DD349D"/>
    <w:rsid w:val="00DE1386"/>
    <w:rsid w:val="00DE2362"/>
    <w:rsid w:val="00E0032A"/>
    <w:rsid w:val="00E12584"/>
    <w:rsid w:val="00E14E0F"/>
    <w:rsid w:val="00E15A9F"/>
    <w:rsid w:val="00E32C6A"/>
    <w:rsid w:val="00E40804"/>
    <w:rsid w:val="00E539A7"/>
    <w:rsid w:val="00E747E3"/>
    <w:rsid w:val="00EA762E"/>
    <w:rsid w:val="00EA79E4"/>
    <w:rsid w:val="00EB6C30"/>
    <w:rsid w:val="00ED6068"/>
    <w:rsid w:val="00EE5E39"/>
    <w:rsid w:val="00F344F0"/>
    <w:rsid w:val="00F35733"/>
    <w:rsid w:val="00F3717C"/>
    <w:rsid w:val="00F77D16"/>
    <w:rsid w:val="00F95742"/>
    <w:rsid w:val="00FB1292"/>
    <w:rsid w:val="00FD3CF0"/>
    <w:rsid w:val="00FF0BB5"/>
    <w:rsid w:val="00FF3952"/>
    <w:rsid w:val="00FF65B1"/>
    <w:rsid w:val="458B0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u w:val="single"/>
    </w:rPr>
  </w:style>
  <w:style w:type="paragraph" w:customStyle="1" w:styleId="8">
    <w:name w:val="样式1"/>
    <w:basedOn w:val="1"/>
    <w:qFormat/>
    <w:uiPriority w:val="0"/>
  </w:style>
  <w:style w:type="character" w:customStyle="1" w:styleId="9">
    <w:name w:val="页眉 字符"/>
    <w:basedOn w:val="6"/>
    <w:link w:val="3"/>
    <w:uiPriority w:val="99"/>
    <w:rPr>
      <w:sz w:val="18"/>
      <w:szCs w:val="18"/>
    </w:rPr>
  </w:style>
  <w:style w:type="character" w:customStyle="1" w:styleId="10">
    <w:name w:val="页脚 字符"/>
    <w:basedOn w:val="6"/>
    <w:link w:val="2"/>
    <w:uiPriority w:val="99"/>
    <w:rPr>
      <w:sz w:val="18"/>
      <w:szCs w:val="18"/>
    </w:rPr>
  </w:style>
  <w:style w:type="table" w:customStyle="1" w:styleId="11">
    <w:name w:val="网格型1"/>
    <w:basedOn w:val="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网格型2"/>
    <w:basedOn w:val="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style>
  <w:style w:type="table" w:customStyle="1" w:styleId="14">
    <w:name w:val="网格型3"/>
    <w:basedOn w:val="4"/>
    <w:qFormat/>
    <w:uiPriority w:val="39"/>
    <w:rPr>
      <w:rFonts w:ascii="Calibri" w:hAnsi="Calibri" w:eastAsia="宋体" w:cs="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网格型4"/>
    <w:basedOn w:val="4"/>
    <w:qFormat/>
    <w:uiPriority w:val="39"/>
    <w:rPr>
      <w:rFonts w:ascii="Calibri" w:hAnsi="Calibri" w:eastAsia="宋体" w:cs="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67622-7EDF-4115-A613-A8586B83A179}">
  <ds:schemaRefs/>
</ds:datastoreItem>
</file>

<file path=docProps/app.xml><?xml version="1.0" encoding="utf-8"?>
<Properties xmlns="http://schemas.openxmlformats.org/officeDocument/2006/extended-properties" xmlns:vt="http://schemas.openxmlformats.org/officeDocument/2006/docPropsVTypes">
  <Template>Normal</Template>
  <Pages>4</Pages>
  <Words>2224</Words>
  <Characters>2289</Characters>
  <Lines>35</Lines>
  <Paragraphs>10</Paragraphs>
  <TotalTime>5</TotalTime>
  <ScaleCrop>false</ScaleCrop>
  <LinksUpToDate>false</LinksUpToDate>
  <CharactersWithSpaces>2341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2026-07-14T03:19:00Z</dcterms:created>
  <dc:creator>奥 谭</dc:creator>
  <cp:lastModifiedBy>薄荷叶</cp:lastModifiedBy>
  <dcterms:modified xsi:type="dcterms:W3CDTF">2026-07-24T00:34:49Z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980a3b14-7e45-45eb-be3d-056b733ebd03</vt:lpwstr>
  </property>
  <property fmtid="{D5CDD505-2E9C-101B-9397-08002B2CF9AE}" pid="3" name="_DocHome">
    <vt:i4>366849502</vt:i4>
  </property>
  <property fmtid="{D5CDD505-2E9C-101B-9397-08002B2CF9AE}" pid="4" name="KSOTemplateDocerSaveRecord">
    <vt:lpwstr>eyJoZGlkIjoiMmY4YTcxOWEwZDk0NGRmMmQ0YjFhZTQzNTFkYTY1ZjQiLCJ1c2VySWQiOiI0ODU3Mzg1NjkifQ==</vt:lpwstr>
  </property>
  <property fmtid="{D5CDD505-2E9C-101B-9397-08002B2CF9AE}" pid="5" name="KSOProductBuildVer">
    <vt:lpwstr>2052-12.1.0.26895</vt:lpwstr>
  </property>
  <property fmtid="{D5CDD505-2E9C-101B-9397-08002B2CF9AE}" pid="6" name="ICV">
    <vt:lpwstr>7E8A30D23869466FBE250B21F721A424_12</vt:lpwstr>
  </property>
</Properties>
</file>