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4FF20">
      <w:pPr>
        <w:pStyle w:val="7"/>
        <w:adjustRightInd w:val="0"/>
        <w:snapToGrid w:val="0"/>
        <w:spacing w:before="0" w:after="0" w:line="360" w:lineRule="auto"/>
        <w:outlineLvl w:val="9"/>
        <w:rPr>
          <w:rFonts w:ascii="方正小标宋简体" w:hAnsi="宋体" w:eastAsia="方正小标宋简体"/>
          <w:b w:val="0"/>
          <w:bCs w:val="0"/>
          <w:sz w:val="36"/>
        </w:rPr>
      </w:pPr>
      <w:bookmarkStart w:id="0" w:name="_Toc38367762"/>
      <w:r>
        <w:rPr>
          <w:rFonts w:hint="eastAsia" w:ascii="方正小标宋简体" w:hAnsi="宋体" w:eastAsia="方正小标宋简体"/>
          <w:b w:val="0"/>
          <w:bCs w:val="0"/>
          <w:sz w:val="36"/>
        </w:rPr>
        <w:t>【</w:t>
      </w:r>
      <w:r>
        <w:rPr>
          <w:rFonts w:hint="eastAsia" w:ascii="宋体" w:hAnsi="宋体"/>
          <w:color w:val="auto"/>
          <w:sz w:val="36"/>
        </w:rPr>
        <w:t>高性能AI计算模拟系统平台</w:t>
      </w:r>
      <w:r>
        <w:rPr>
          <w:rFonts w:hint="eastAsia" w:ascii="方正小标宋简体" w:hAnsi="宋体" w:eastAsia="方正小标宋简体"/>
          <w:b w:val="0"/>
          <w:bCs w:val="0"/>
          <w:sz w:val="36"/>
        </w:rPr>
        <w:t>】采购需求</w:t>
      </w:r>
      <w:bookmarkEnd w:id="0"/>
    </w:p>
    <w:p w14:paraId="77C2D7A7">
      <w:pPr>
        <w:tabs>
          <w:tab w:val="left" w:pos="900"/>
        </w:tabs>
        <w:adjustRightInd w:val="0"/>
        <w:snapToGrid w:val="0"/>
        <w:spacing w:line="360" w:lineRule="auto"/>
        <w:ind w:firstLine="420" w:firstLineChars="200"/>
        <w:rPr>
          <w:b/>
          <w:szCs w:val="21"/>
        </w:rPr>
      </w:pPr>
      <w:bookmarkStart w:id="1" w:name="_Toc172360661"/>
      <w:bookmarkStart w:id="2" w:name="_Toc219271393"/>
      <w:bookmarkStart w:id="3" w:name="_Toc158978330"/>
      <w:r>
        <w:rPr>
          <w:rFonts w:hint="eastAsia" w:hAnsi="宋体"/>
          <w:b/>
          <w:szCs w:val="21"/>
        </w:rPr>
        <w:t>一、</w:t>
      </w:r>
      <w:r>
        <w:rPr>
          <w:rFonts w:hAnsi="宋体"/>
          <w:b/>
          <w:szCs w:val="21"/>
        </w:rPr>
        <w:t>采购</w:t>
      </w:r>
      <w:r>
        <w:rPr>
          <w:rFonts w:hint="eastAsia" w:hAnsi="宋体"/>
          <w:b/>
          <w:szCs w:val="21"/>
        </w:rPr>
        <w:t>标的</w:t>
      </w:r>
      <w:r>
        <w:rPr>
          <w:rFonts w:hAnsi="宋体"/>
          <w:b/>
          <w:szCs w:val="21"/>
        </w:rPr>
        <w:t>需实现的功能或者目标，以及为落实政府采购政策需满足的要求：</w:t>
      </w:r>
    </w:p>
    <w:p w14:paraId="08D81523">
      <w:pPr>
        <w:tabs>
          <w:tab w:val="left" w:pos="900"/>
        </w:tabs>
        <w:adjustRightInd w:val="0"/>
        <w:snapToGrid w:val="0"/>
        <w:spacing w:line="360" w:lineRule="auto"/>
        <w:ind w:firstLine="420" w:firstLineChars="200"/>
        <w:rPr>
          <w:b/>
          <w:szCs w:val="21"/>
        </w:rPr>
      </w:pPr>
      <w:r>
        <w:rPr>
          <w:rFonts w:hAnsi="宋体"/>
          <w:b/>
          <w:szCs w:val="21"/>
        </w:rPr>
        <w:t>（一）采购</w:t>
      </w:r>
      <w:r>
        <w:rPr>
          <w:rFonts w:hint="eastAsia" w:hAnsi="宋体"/>
          <w:b/>
          <w:szCs w:val="21"/>
        </w:rPr>
        <w:t>标的</w:t>
      </w:r>
      <w:r>
        <w:rPr>
          <w:rFonts w:hAnsi="宋体"/>
          <w:b/>
          <w:szCs w:val="21"/>
        </w:rPr>
        <w:t>需实现的功能或者目标</w:t>
      </w:r>
    </w:p>
    <w:p w14:paraId="0CAAA224">
      <w:pPr>
        <w:tabs>
          <w:tab w:val="left" w:pos="900"/>
        </w:tabs>
        <w:adjustRightInd w:val="0"/>
        <w:snapToGrid w:val="0"/>
        <w:spacing w:line="360" w:lineRule="auto"/>
        <w:ind w:firstLine="420" w:firstLineChars="200"/>
        <w:rPr>
          <w:rFonts w:hint="eastAsia" w:hAnsi="宋体" w:eastAsia="宋体"/>
          <w:color w:val="auto"/>
          <w:szCs w:val="21"/>
          <w:lang w:eastAsia="zh-CN"/>
        </w:rPr>
      </w:pPr>
      <w:r>
        <w:rPr>
          <w:rFonts w:hint="eastAsia" w:hAnsi="宋体" w:eastAsia="宋体"/>
          <w:color w:val="auto"/>
          <w:szCs w:val="21"/>
        </w:rPr>
        <w:t>本项目采购高性能 AI 计算模拟系统平台1套，</w:t>
      </w:r>
      <w:r>
        <w:rPr>
          <w:rFonts w:hint="eastAsia" w:hAnsi="宋体"/>
          <w:color w:val="auto"/>
          <w:szCs w:val="21"/>
          <w:lang w:val="en-US" w:eastAsia="zh-CN"/>
        </w:rPr>
        <w:t>其中包括硬件服务器5台，</w:t>
      </w:r>
      <w:r>
        <w:rPr>
          <w:rFonts w:hint="eastAsia" w:hAnsi="宋体" w:eastAsia="宋体"/>
          <w:color w:val="auto"/>
          <w:szCs w:val="21"/>
        </w:rPr>
        <w:t>主要用于材料模拟计算、数值模拟、数据挖掘、大规模科学计算、深度学习、机器学习、AI 计算与模拟科研工作，要求实现分布式高性能计算、多用户并行作业调度、GPU 加速计算、科学计算软件集成部署、统一存储与管理、远程运维与可视化开发等功能</w:t>
      </w:r>
      <w:r>
        <w:rPr>
          <w:rFonts w:hint="eastAsia" w:hAnsi="宋体" w:eastAsia="宋体"/>
          <w:color w:val="auto"/>
          <w:szCs w:val="21"/>
          <w:lang w:eastAsia="zh-CN"/>
        </w:rPr>
        <w:t>。</w:t>
      </w:r>
    </w:p>
    <w:p w14:paraId="7E45FA3A">
      <w:pPr>
        <w:tabs>
          <w:tab w:val="left" w:pos="900"/>
        </w:tabs>
        <w:adjustRightInd w:val="0"/>
        <w:snapToGrid w:val="0"/>
        <w:spacing w:line="360" w:lineRule="auto"/>
        <w:ind w:firstLine="420" w:firstLineChars="200"/>
        <w:rPr>
          <w:b/>
          <w:szCs w:val="21"/>
        </w:rPr>
      </w:pPr>
      <w:r>
        <w:rPr>
          <w:rFonts w:hAnsi="宋体"/>
          <w:b/>
          <w:szCs w:val="21"/>
        </w:rPr>
        <w:t>（二）政府采购政策</w:t>
      </w:r>
      <w:r>
        <w:rPr>
          <w:rFonts w:hint="eastAsia" w:hAnsi="宋体"/>
          <w:b/>
          <w:szCs w:val="21"/>
        </w:rPr>
        <w:t>落实</w:t>
      </w:r>
      <w:r>
        <w:rPr>
          <w:rFonts w:hAnsi="宋体"/>
          <w:b/>
          <w:szCs w:val="21"/>
        </w:rPr>
        <w:t>要求</w:t>
      </w:r>
    </w:p>
    <w:p w14:paraId="5D9D7DE0">
      <w:pPr>
        <w:tabs>
          <w:tab w:val="left" w:pos="900"/>
        </w:tabs>
        <w:adjustRightInd w:val="0"/>
        <w:snapToGrid w:val="0"/>
        <w:spacing w:line="360" w:lineRule="auto"/>
        <w:ind w:firstLine="420" w:firstLineChars="200"/>
        <w:rPr>
          <w:rFonts w:hAnsi="宋体"/>
          <w:szCs w:val="21"/>
        </w:rPr>
      </w:pPr>
      <w:r>
        <w:rPr>
          <w:rFonts w:hint="eastAsia" w:hAnsi="宋体"/>
          <w:szCs w:val="24"/>
        </w:rPr>
        <w:t>1</w:t>
      </w:r>
      <w:r>
        <w:rPr>
          <w:rFonts w:hAnsi="宋体"/>
          <w:szCs w:val="24"/>
        </w:rPr>
        <w:t xml:space="preserve">. </w:t>
      </w:r>
      <w:r>
        <w:rPr>
          <w:rFonts w:hint="eastAsia" w:hAnsi="宋体"/>
          <w:szCs w:val="24"/>
        </w:rPr>
        <w:t>中小企业扶持政策：</w:t>
      </w:r>
      <w:r>
        <w:rPr>
          <w:rFonts w:hAnsi="宋体"/>
          <w:szCs w:val="24"/>
        </w:rPr>
        <w:t>根据</w:t>
      </w:r>
      <w:r>
        <w:rPr>
          <w:rFonts w:hAnsi="宋体"/>
        </w:rPr>
        <w:t>《政府采购促进中小企业发展管理办法》</w:t>
      </w:r>
      <w:r>
        <w:rPr>
          <w:rFonts w:hint="eastAsia" w:hAnsi="宋体"/>
        </w:rPr>
        <w:t>（财库〔2</w:t>
      </w:r>
      <w:r>
        <w:rPr>
          <w:rFonts w:hAnsi="宋体"/>
        </w:rPr>
        <w:t>020</w:t>
      </w:r>
      <w:r>
        <w:rPr>
          <w:rFonts w:hint="eastAsia" w:hAnsi="宋体"/>
        </w:rPr>
        <w:t>〕4</w:t>
      </w:r>
      <w:r>
        <w:rPr>
          <w:rFonts w:hAnsi="宋体"/>
        </w:rPr>
        <w:t>6</w:t>
      </w:r>
      <w:r>
        <w:rPr>
          <w:rFonts w:hint="eastAsia" w:hAnsi="宋体"/>
        </w:rPr>
        <w:t>号）</w:t>
      </w:r>
      <w:r>
        <w:rPr>
          <w:rFonts w:hAnsi="宋体"/>
        </w:rPr>
        <w:t>规定，本项目</w:t>
      </w:r>
      <w:r>
        <w:rPr>
          <w:rFonts w:hint="eastAsia" w:hAnsi="宋体"/>
        </w:rPr>
        <w:t>采购标的</w:t>
      </w:r>
      <w:r>
        <w:rPr>
          <w:rFonts w:hAnsi="宋体"/>
        </w:rPr>
        <w:t>为</w:t>
      </w:r>
      <w:r>
        <w:rPr>
          <w:rFonts w:hint="eastAsia" w:hAnsi="宋体"/>
        </w:rPr>
        <w:t>中小</w:t>
      </w:r>
      <w:r>
        <w:rPr>
          <w:rFonts w:hAnsi="宋体"/>
        </w:rPr>
        <w:t>型企业</w:t>
      </w:r>
      <w:r>
        <w:rPr>
          <w:rFonts w:hint="eastAsia" w:hAnsi="宋体"/>
        </w:rPr>
        <w:t>制造、承建或承接</w:t>
      </w:r>
      <w:r>
        <w:rPr>
          <w:rFonts w:hAnsi="宋体"/>
          <w:szCs w:val="24"/>
        </w:rPr>
        <w:t>的，</w:t>
      </w:r>
      <w:r>
        <w:rPr>
          <w:rFonts w:hAnsi="宋体"/>
        </w:rPr>
        <w:t>投标人应</w:t>
      </w:r>
      <w:r>
        <w:rPr>
          <w:rFonts w:hint="eastAsia" w:hAnsi="宋体"/>
        </w:rPr>
        <w:t>提供办法规定的</w:t>
      </w:r>
      <w:r>
        <w:rPr>
          <w:rFonts w:hAnsi="宋体"/>
          <w:szCs w:val="21"/>
        </w:rPr>
        <w:t>《中小企业声明函》</w:t>
      </w:r>
      <w:r>
        <w:rPr>
          <w:rFonts w:hint="eastAsia" w:hAnsi="宋体"/>
          <w:szCs w:val="21"/>
        </w:rPr>
        <w:t>，否则不得享受相关中小企业扶持政策</w:t>
      </w:r>
      <w:r>
        <w:rPr>
          <w:rFonts w:hAnsi="宋体"/>
          <w:szCs w:val="24"/>
        </w:rPr>
        <w:t>。投标人应对提交的中小企业声明函的真实性负责，提交的中小企业声明函不真实的，应承担相应的法律责任</w:t>
      </w:r>
      <w:r>
        <w:rPr>
          <w:rFonts w:hAnsi="宋体"/>
          <w:szCs w:val="21"/>
        </w:rPr>
        <w:t>。</w:t>
      </w:r>
    </w:p>
    <w:p w14:paraId="10E82A49">
      <w:pPr>
        <w:tabs>
          <w:tab w:val="left" w:pos="900"/>
        </w:tabs>
        <w:adjustRightInd w:val="0"/>
        <w:snapToGrid w:val="0"/>
        <w:spacing w:line="360" w:lineRule="auto"/>
        <w:ind w:firstLine="420" w:firstLineChars="200"/>
        <w:rPr>
          <w:rFonts w:hAnsi="宋体"/>
          <w:szCs w:val="24"/>
        </w:rPr>
      </w:pPr>
      <w:r>
        <w:rPr>
          <w:rFonts w:hint="eastAsia" w:hAnsi="宋体"/>
          <w:szCs w:val="24"/>
        </w:rPr>
        <w:t>本项目</w:t>
      </w:r>
      <w:bookmarkStart w:id="4" w:name="OLE_LINK23"/>
      <w:r>
        <w:rPr>
          <w:rFonts w:hint="eastAsia" w:hAnsi="宋体"/>
          <w:szCs w:val="24"/>
        </w:rPr>
        <w:t>采购标的对应的《中小企业划型标准规定》所属行业</w:t>
      </w:r>
      <w:bookmarkEnd w:id="4"/>
      <w:r>
        <w:rPr>
          <w:rFonts w:hint="eastAsia" w:hAnsi="宋体"/>
          <w:szCs w:val="24"/>
        </w:rPr>
        <w:t>为：</w:t>
      </w:r>
      <w:r>
        <w:rPr>
          <w:rFonts w:hint="eastAsia" w:hAnsi="宋体"/>
          <w:szCs w:val="24"/>
          <w:u w:val="single"/>
          <w:lang w:val="en-US" w:eastAsia="zh-CN"/>
        </w:rPr>
        <w:t>工业</w:t>
      </w:r>
      <w:r>
        <w:rPr>
          <w:rFonts w:hint="eastAsia" w:hAnsi="宋体"/>
          <w:szCs w:val="24"/>
        </w:rPr>
        <w:t>。</w:t>
      </w:r>
    </w:p>
    <w:p w14:paraId="34515769">
      <w:pPr>
        <w:tabs>
          <w:tab w:val="left" w:pos="900"/>
        </w:tabs>
        <w:adjustRightInd w:val="0"/>
        <w:snapToGrid w:val="0"/>
        <w:spacing w:line="360" w:lineRule="auto"/>
        <w:ind w:firstLine="420" w:firstLineChars="200"/>
        <w:rPr>
          <w:rFonts w:hint="default" w:hAnsi="宋体" w:eastAsia="宋体"/>
          <w:szCs w:val="24"/>
          <w:lang w:val="en-US" w:eastAsia="zh-CN"/>
        </w:rPr>
      </w:pPr>
      <w:r>
        <w:rPr>
          <w:rFonts w:hAnsi="宋体"/>
          <w:szCs w:val="24"/>
        </w:rPr>
        <w:t xml:space="preserve">2. </w:t>
      </w:r>
      <w:r>
        <w:rPr>
          <w:rFonts w:hint="eastAsia" w:hAnsi="宋体"/>
          <w:szCs w:val="24"/>
        </w:rPr>
        <w:t>进口产品政策：本采购项目</w:t>
      </w:r>
      <w:r>
        <w:rPr>
          <w:rFonts w:hAnsi="宋体"/>
          <w:szCs w:val="24"/>
        </w:rPr>
        <w:t xml:space="preserve"> </w:t>
      </w:r>
      <w:r>
        <w:rPr>
          <w:rFonts w:hint="eastAsia" w:hAnsi="宋体"/>
          <w:szCs w:val="24"/>
          <w:lang w:eastAsia="zh-CN"/>
        </w:rPr>
        <w:t>□</w:t>
      </w:r>
      <w:r>
        <w:rPr>
          <w:rFonts w:hint="eastAsia" w:hAnsi="宋体"/>
          <w:szCs w:val="24"/>
        </w:rPr>
        <w:t>允许</w:t>
      </w:r>
      <w:r>
        <w:rPr>
          <w:rFonts w:hAnsi="宋体"/>
          <w:szCs w:val="24"/>
        </w:rPr>
        <w:t xml:space="preserve"> </w:t>
      </w:r>
      <w:r>
        <w:rPr>
          <w:rFonts w:hint="eastAsia" w:hAnsi="宋体"/>
          <w:szCs w:val="24"/>
          <w:lang w:eastAsia="zh-CN"/>
        </w:rPr>
        <w:t>☑</w:t>
      </w:r>
      <w:r>
        <w:rPr>
          <w:rFonts w:hint="eastAsia" w:hAnsi="宋体"/>
          <w:szCs w:val="24"/>
        </w:rPr>
        <w:t>不允许</w:t>
      </w:r>
      <w:r>
        <w:rPr>
          <w:rFonts w:hAnsi="宋体"/>
          <w:szCs w:val="24"/>
        </w:rPr>
        <w:t xml:space="preserve"> </w:t>
      </w:r>
      <w:r>
        <w:rPr>
          <w:rFonts w:hint="eastAsia" w:hAnsi="宋体"/>
          <w:szCs w:val="24"/>
        </w:rPr>
        <w:t>进口产品参加。（未进行勾选的，视为只接受本国产品参加）</w:t>
      </w:r>
      <w:r>
        <w:rPr>
          <w:rFonts w:hint="eastAsia" w:hAnsi="宋体"/>
          <w:szCs w:val="24"/>
          <w:lang w:val="en-US" w:eastAsia="zh-CN"/>
        </w:rPr>
        <w:t>国产设备需提供《国产承诺函》。</w:t>
      </w:r>
    </w:p>
    <w:p w14:paraId="3A979E91">
      <w:pPr>
        <w:tabs>
          <w:tab w:val="left" w:pos="900"/>
        </w:tabs>
        <w:adjustRightInd w:val="0"/>
        <w:snapToGrid w:val="0"/>
        <w:spacing w:line="360" w:lineRule="auto"/>
        <w:ind w:firstLine="420" w:firstLineChars="200"/>
        <w:rPr>
          <w:rFonts w:hAnsi="宋体"/>
          <w:b/>
          <w:szCs w:val="21"/>
        </w:rPr>
      </w:pPr>
      <w:r>
        <w:rPr>
          <w:rFonts w:hint="eastAsia" w:hAnsi="宋体"/>
          <w:b/>
          <w:szCs w:val="21"/>
        </w:rPr>
        <w:t>二、</w:t>
      </w:r>
      <w:r>
        <w:rPr>
          <w:rFonts w:hAnsi="宋体"/>
          <w:b/>
          <w:szCs w:val="21"/>
        </w:rPr>
        <w:t>采购</w:t>
      </w:r>
      <w:r>
        <w:rPr>
          <w:rFonts w:hint="eastAsia" w:hAnsi="宋体"/>
          <w:b/>
          <w:szCs w:val="21"/>
        </w:rPr>
        <w:t>标的</w:t>
      </w:r>
      <w:r>
        <w:rPr>
          <w:rFonts w:hAnsi="宋体"/>
          <w:b/>
          <w:szCs w:val="21"/>
        </w:rPr>
        <w:t>需执行的国家相关标准、行业标准、地方标准或者其他标准、规范：</w:t>
      </w:r>
    </w:p>
    <w:p w14:paraId="65AAFC29">
      <w:pPr>
        <w:tabs>
          <w:tab w:val="left" w:pos="900"/>
        </w:tabs>
        <w:adjustRightInd w:val="0"/>
        <w:snapToGrid w:val="0"/>
        <w:spacing w:line="360" w:lineRule="auto"/>
        <w:ind w:firstLine="420" w:firstLineChars="200"/>
        <w:rPr>
          <w:szCs w:val="21"/>
        </w:rPr>
      </w:pPr>
      <w:r>
        <w:rPr>
          <w:rFonts w:hint="eastAsia"/>
          <w:szCs w:val="21"/>
        </w:rPr>
        <w:t>1.采购项目中所含的投标产品及制造商应符合国家有关部门规定的相应技术、计量、节能、安全和环保法规及标准，如国家有关部门对投标产品或其制造商有强制性规定或要求的，投标产品或其制造商必须符合相应规定或要求，投标人须提供相关证明文件的复印件。</w:t>
      </w:r>
    </w:p>
    <w:p w14:paraId="4D759371">
      <w:pPr>
        <w:adjustRightInd w:val="0"/>
        <w:snapToGrid w:val="0"/>
        <w:spacing w:line="360" w:lineRule="auto"/>
        <w:ind w:firstLine="420" w:firstLineChars="200"/>
        <w:rPr>
          <w:rFonts w:ascii="楷体" w:hAnsi="楷体" w:eastAsia="楷体"/>
          <w:color w:val="FF0000"/>
          <w:sz w:val="22"/>
          <w:szCs w:val="22"/>
        </w:rPr>
      </w:pPr>
      <w:r>
        <w:rPr>
          <w:rFonts w:hint="eastAsia"/>
          <w:color w:val="auto"/>
          <w:szCs w:val="21"/>
        </w:rPr>
        <w:t>本项目服务器、存储、GPU 计算节点等设备需符合国家计算机设备安全标准、电磁兼容标准、服务器性能测试标准、信息安全技术相关规范。</w:t>
      </w:r>
    </w:p>
    <w:p w14:paraId="5A8FCC1C">
      <w:pPr>
        <w:tabs>
          <w:tab w:val="left" w:pos="900"/>
        </w:tabs>
        <w:adjustRightInd w:val="0"/>
        <w:snapToGrid w:val="0"/>
        <w:spacing w:line="360" w:lineRule="auto"/>
        <w:ind w:firstLine="420" w:firstLineChars="200"/>
        <w:rPr>
          <w:rFonts w:hAnsi="宋体"/>
          <w:b/>
          <w:szCs w:val="21"/>
        </w:rPr>
      </w:pPr>
      <w:r>
        <w:rPr>
          <w:rFonts w:hint="eastAsia" w:hAnsi="宋体"/>
          <w:b/>
          <w:szCs w:val="21"/>
        </w:rPr>
        <w:t>三、采购标的概况</w:t>
      </w:r>
    </w:p>
    <w:p w14:paraId="599624B6">
      <w:pPr>
        <w:adjustRightInd w:val="0"/>
        <w:snapToGrid w:val="0"/>
        <w:spacing w:line="360" w:lineRule="auto"/>
        <w:ind w:firstLine="420" w:firstLineChars="200"/>
        <w:rPr>
          <w:rFonts w:hAnsi="宋体"/>
          <w:szCs w:val="21"/>
        </w:rPr>
      </w:pPr>
      <w:r>
        <w:rPr>
          <w:rFonts w:hint="eastAsia" w:ascii="宋体" w:hAnsi="宋体"/>
          <w:szCs w:val="21"/>
        </w:rPr>
        <w:t>（一）采购项目名称：</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color w:val="auto"/>
          <w:szCs w:val="21"/>
          <w:u w:val="single"/>
        </w:rPr>
        <w:t xml:space="preserve"> 高性能 AI 计算模拟系统平台</w:t>
      </w:r>
      <w:r>
        <w:rPr>
          <w:rFonts w:ascii="宋体" w:hAnsi="宋体"/>
          <w:color w:val="auto"/>
          <w:szCs w:val="21"/>
          <w:u w:val="single"/>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p>
    <w:p w14:paraId="700B5273">
      <w:pPr>
        <w:adjustRightInd w:val="0"/>
        <w:snapToGrid w:val="0"/>
        <w:spacing w:line="360" w:lineRule="auto"/>
        <w:ind w:firstLine="420" w:firstLineChars="200"/>
        <w:rPr>
          <w:rFonts w:hAnsi="宋体"/>
          <w:szCs w:val="21"/>
          <w:u w:val="single"/>
        </w:rPr>
      </w:pPr>
      <w:r>
        <w:rPr>
          <w:rFonts w:hint="eastAsia" w:hAnsi="宋体"/>
          <w:szCs w:val="21"/>
        </w:rPr>
        <w:t>（二）采购数量及计量单位：</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r>
        <w:rPr>
          <w:rFonts w:hint="eastAsia" w:ascii="宋体" w:hAnsi="宋体"/>
          <w:szCs w:val="21"/>
          <w:u w:val="single"/>
          <w:lang w:val="en-US" w:eastAsia="zh-CN"/>
        </w:rPr>
        <w:t>1套</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lang w:val="en-US" w:eastAsia="zh-CN"/>
        </w:rPr>
        <w:t xml:space="preserve"> </w:t>
      </w:r>
      <w:r>
        <w:rPr>
          <w:rFonts w:ascii="宋体" w:hAnsi="宋体"/>
          <w:szCs w:val="21"/>
          <w:u w:val="single"/>
        </w:rPr>
        <w:t xml:space="preserve">                           </w:t>
      </w:r>
    </w:p>
    <w:p w14:paraId="7D66FB09">
      <w:pPr>
        <w:adjustRightInd w:val="0"/>
        <w:snapToGrid w:val="0"/>
        <w:spacing w:line="360" w:lineRule="auto"/>
        <w:ind w:firstLine="420" w:firstLineChars="200"/>
        <w:rPr>
          <w:rFonts w:hAnsi="宋体"/>
          <w:szCs w:val="21"/>
        </w:rPr>
      </w:pPr>
      <w:r>
        <w:rPr>
          <w:rFonts w:hint="eastAsia" w:hAnsi="宋体"/>
          <w:szCs w:val="21"/>
        </w:rPr>
        <w:t>（三）最高限价：人民币</w:t>
      </w:r>
      <w:r>
        <w:rPr>
          <w:rFonts w:hint="eastAsia" w:hAnsi="宋体"/>
          <w:szCs w:val="21"/>
          <w:u w:val="single"/>
          <w:lang w:val="en-US" w:eastAsia="zh-CN"/>
        </w:rPr>
        <w:t>1980000.00</w:t>
      </w:r>
      <w:r>
        <w:rPr>
          <w:rFonts w:hint="eastAsia" w:hAnsi="宋体"/>
          <w:szCs w:val="21"/>
        </w:rPr>
        <w:t>元（大写：</w:t>
      </w:r>
      <w:r>
        <w:rPr>
          <w:rFonts w:hAnsi="宋体"/>
          <w:szCs w:val="21"/>
          <w:u w:val="single"/>
        </w:rPr>
        <w:t xml:space="preserve">  </w:t>
      </w:r>
      <w:r>
        <w:rPr>
          <w:rFonts w:hint="eastAsia" w:hAnsi="宋体"/>
          <w:szCs w:val="21"/>
          <w:u w:val="single"/>
        </w:rPr>
        <w:t>壹佰玖拾捌万元整</w:t>
      </w:r>
      <w:r>
        <w:rPr>
          <w:rFonts w:hAnsi="宋体"/>
          <w:szCs w:val="21"/>
          <w:u w:val="single"/>
        </w:rPr>
        <w:t xml:space="preserve">      </w:t>
      </w:r>
      <w:r>
        <w:rPr>
          <w:rFonts w:hint="eastAsia" w:hAnsi="宋体"/>
          <w:szCs w:val="21"/>
          <w:u w:val="single"/>
          <w:lang w:val="en-US" w:eastAsia="zh-CN"/>
        </w:rPr>
        <w:t xml:space="preserve">    </w:t>
      </w:r>
      <w:r>
        <w:rPr>
          <w:rFonts w:hAnsi="宋体"/>
          <w:szCs w:val="21"/>
          <w:u w:val="single"/>
        </w:rPr>
        <w:t xml:space="preserve">           </w:t>
      </w:r>
      <w:r>
        <w:rPr>
          <w:rFonts w:hint="eastAsia" w:hAnsi="宋体"/>
          <w:szCs w:val="21"/>
        </w:rPr>
        <w:t>）</w:t>
      </w:r>
    </w:p>
    <w:p w14:paraId="72B992CF">
      <w:pPr>
        <w:adjustRightInd w:val="0"/>
        <w:snapToGrid w:val="0"/>
        <w:spacing w:line="360" w:lineRule="auto"/>
        <w:ind w:firstLine="420" w:firstLineChars="200"/>
        <w:rPr>
          <w:szCs w:val="21"/>
        </w:rPr>
      </w:pPr>
      <w:r>
        <w:rPr>
          <w:rFonts w:hint="eastAsia" w:hAnsi="宋体"/>
          <w:szCs w:val="21"/>
        </w:rPr>
        <w:t>（四）</w:t>
      </w:r>
      <w:r>
        <w:rPr>
          <w:rFonts w:hAnsi="宋体"/>
          <w:szCs w:val="21"/>
        </w:rPr>
        <w:t>交付时间：</w:t>
      </w:r>
      <w:r>
        <w:rPr>
          <w:rFonts w:hAnsi="宋体"/>
        </w:rPr>
        <w:t>合同签订后</w:t>
      </w:r>
      <w:r>
        <w:rPr>
          <w:rFonts w:hAnsi="宋体"/>
          <w:u w:val="single"/>
        </w:rPr>
        <w:t xml:space="preserve">     </w:t>
      </w:r>
      <w:r>
        <w:rPr>
          <w:rFonts w:hAnsi="宋体"/>
          <w:szCs w:val="21"/>
          <w:u w:val="single"/>
        </w:rPr>
        <w:t xml:space="preserve">      </w:t>
      </w:r>
      <w:r>
        <w:rPr>
          <w:rFonts w:hint="eastAsia" w:hAnsi="宋体"/>
          <w:szCs w:val="21"/>
          <w:u w:val="single"/>
          <w:lang w:val="en-US" w:eastAsia="zh-CN"/>
        </w:rPr>
        <w:t xml:space="preserve">  </w:t>
      </w:r>
      <w:r>
        <w:rPr>
          <w:rFonts w:hAnsi="宋体"/>
          <w:szCs w:val="21"/>
          <w:u w:val="single"/>
        </w:rPr>
        <w:t xml:space="preserve">  </w:t>
      </w:r>
      <w:r>
        <w:rPr>
          <w:rFonts w:hint="eastAsia" w:hAnsi="宋体"/>
          <w:szCs w:val="21"/>
          <w:u w:val="single"/>
          <w:lang w:val="en-US" w:eastAsia="zh-CN"/>
        </w:rPr>
        <w:t>30</w:t>
      </w:r>
      <w:r>
        <w:rPr>
          <w:rFonts w:hAnsi="宋体"/>
          <w:szCs w:val="21"/>
          <w:u w:val="single"/>
        </w:rPr>
        <w:t xml:space="preserve">           </w:t>
      </w:r>
      <w:r>
        <w:rPr>
          <w:rFonts w:hint="eastAsia" w:hAnsi="宋体"/>
          <w:szCs w:val="21"/>
          <w:u w:val="single"/>
          <w:lang w:val="en-US" w:eastAsia="zh-CN"/>
        </w:rPr>
        <w:t xml:space="preserve">         </w:t>
      </w:r>
      <w:r>
        <w:rPr>
          <w:rFonts w:hAnsi="宋体"/>
          <w:szCs w:val="21"/>
          <w:u w:val="single"/>
        </w:rPr>
        <w:t xml:space="preserve">             </w:t>
      </w:r>
      <w:r>
        <w:rPr>
          <w:rFonts w:hAnsi="宋体"/>
          <w:u w:val="single"/>
        </w:rPr>
        <w:t xml:space="preserve">  </w:t>
      </w:r>
      <w:r>
        <w:rPr>
          <w:rFonts w:hint="eastAsia" w:hAnsi="宋体"/>
        </w:rPr>
        <w:t>天内</w:t>
      </w:r>
    </w:p>
    <w:p w14:paraId="544209DB">
      <w:pPr>
        <w:tabs>
          <w:tab w:val="left" w:pos="420"/>
          <w:tab w:val="left" w:pos="900"/>
        </w:tabs>
        <w:adjustRightInd w:val="0"/>
        <w:snapToGrid w:val="0"/>
        <w:spacing w:line="360" w:lineRule="auto"/>
        <w:ind w:firstLine="420" w:firstLineChars="200"/>
        <w:rPr>
          <w:rFonts w:ascii="宋体" w:hAnsi="宋体"/>
          <w:szCs w:val="21"/>
        </w:rPr>
      </w:pPr>
      <w:r>
        <w:rPr>
          <w:rFonts w:hint="eastAsia" w:hAnsi="宋体"/>
          <w:szCs w:val="21"/>
        </w:rPr>
        <w:t>（五）</w:t>
      </w:r>
      <w:r>
        <w:rPr>
          <w:rFonts w:hAnsi="宋体"/>
          <w:szCs w:val="21"/>
        </w:rPr>
        <w:t>交付地点：</w:t>
      </w:r>
      <w:r>
        <w:rPr>
          <w:rFonts w:hAnsi="宋体"/>
          <w:szCs w:val="21"/>
          <w:u w:val="single"/>
        </w:rPr>
        <w:t xml:space="preserve">            </w:t>
      </w:r>
      <w:r>
        <w:rPr>
          <w:rFonts w:hint="eastAsia" w:hAnsi="宋体"/>
          <w:color w:val="auto"/>
          <w:szCs w:val="21"/>
          <w:u w:val="single"/>
          <w:lang w:val="en-US" w:eastAsia="zh-CN"/>
        </w:rPr>
        <w:t xml:space="preserve">西安交通大学曲江校区西四楼      </w:t>
      </w:r>
      <w:r>
        <w:rPr>
          <w:rFonts w:hAnsi="宋体"/>
          <w:szCs w:val="21"/>
          <w:u w:val="single"/>
        </w:rPr>
        <w:t xml:space="preserve">                     </w:t>
      </w:r>
    </w:p>
    <w:p w14:paraId="179C3B80">
      <w:pPr>
        <w:tabs>
          <w:tab w:val="left" w:pos="900"/>
        </w:tabs>
        <w:adjustRightInd w:val="0"/>
        <w:snapToGrid w:val="0"/>
        <w:spacing w:line="360" w:lineRule="auto"/>
        <w:ind w:firstLine="420" w:firstLineChars="200"/>
        <w:rPr>
          <w:rFonts w:hAnsi="宋体"/>
          <w:szCs w:val="21"/>
        </w:rPr>
      </w:pPr>
      <w:r>
        <w:rPr>
          <w:rFonts w:hint="eastAsia" w:hAnsi="宋体"/>
          <w:szCs w:val="21"/>
        </w:rPr>
        <w:t>（六）付款进度安排：</w:t>
      </w:r>
      <w:r>
        <w:rPr>
          <w:rFonts w:hint="eastAsia" w:cs="宋体" w:asciiTheme="minorEastAsia" w:hAnsiTheme="minorEastAsia"/>
          <w:b/>
          <w:color w:val="000000"/>
          <w:kern w:val="0"/>
          <w:szCs w:val="21"/>
          <w:lang w:eastAsia="zh-CN"/>
        </w:rPr>
        <w:t>☑</w:t>
      </w:r>
      <w:r>
        <w:rPr>
          <w:rFonts w:hint="eastAsia" w:hAnsi="宋体"/>
          <w:szCs w:val="21"/>
        </w:rPr>
        <w:t xml:space="preserve"> 按</w:t>
      </w:r>
      <w:r>
        <w:rPr>
          <w:rFonts w:hAnsi="宋体"/>
          <w:szCs w:val="21"/>
        </w:rPr>
        <w:t>采购文件</w:t>
      </w:r>
      <w:r>
        <w:rPr>
          <w:rFonts w:hint="eastAsia" w:hAnsi="宋体"/>
          <w:szCs w:val="21"/>
        </w:rPr>
        <w:t>要求。</w:t>
      </w:r>
    </w:p>
    <w:p w14:paraId="5FA361AF">
      <w:pPr>
        <w:tabs>
          <w:tab w:val="left" w:pos="900"/>
        </w:tabs>
        <w:adjustRightInd w:val="0"/>
        <w:snapToGrid w:val="0"/>
        <w:spacing w:line="360" w:lineRule="auto"/>
        <w:ind w:firstLine="400" w:firstLineChars="200"/>
        <w:rPr>
          <w:rFonts w:hAnsi="宋体"/>
          <w:szCs w:val="21"/>
        </w:rPr>
      </w:pP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cs="宋体" w:asciiTheme="minorEastAsia" w:hAnsiTheme="minorEastAsia"/>
          <w:b/>
          <w:color w:val="000000"/>
          <w:kern w:val="0"/>
          <w:sz w:val="20"/>
          <w:szCs w:val="21"/>
        </w:rPr>
        <w:tab/>
      </w:r>
      <w:r>
        <w:rPr>
          <w:rFonts w:hint="eastAsia" w:cs="宋体" w:asciiTheme="minorEastAsia" w:hAnsiTheme="minorEastAsia"/>
          <w:b/>
          <w:color w:val="000000"/>
          <w:kern w:val="0"/>
          <w:sz w:val="20"/>
          <w:szCs w:val="21"/>
        </w:rPr>
        <w:t>□</w:t>
      </w:r>
      <w:r>
        <w:rPr>
          <w:rFonts w:hAnsi="宋体"/>
          <w:szCs w:val="21"/>
        </w:rPr>
        <w:t>其他要求</w:t>
      </w:r>
      <w:r>
        <w:rPr>
          <w:rFonts w:hint="eastAsia" w:hAnsi="宋体"/>
          <w:szCs w:val="21"/>
        </w:rPr>
        <w:t>：</w:t>
      </w:r>
      <w:r>
        <w:rPr>
          <w:rFonts w:hAnsi="宋体"/>
          <w:szCs w:val="21"/>
          <w:u w:val="single"/>
        </w:rPr>
        <w:t xml:space="preserve">                                  </w:t>
      </w:r>
      <w:r>
        <w:rPr>
          <w:rFonts w:hAnsi="宋体"/>
          <w:szCs w:val="21"/>
        </w:rPr>
        <w:t xml:space="preserve"> </w:t>
      </w:r>
      <w:r>
        <w:rPr>
          <w:rFonts w:hint="eastAsia" w:hAnsi="宋体"/>
          <w:szCs w:val="21"/>
        </w:rPr>
        <w:t>。</w:t>
      </w:r>
    </w:p>
    <w:p w14:paraId="3C999C16">
      <w:pPr>
        <w:tabs>
          <w:tab w:val="left" w:pos="900"/>
        </w:tabs>
        <w:adjustRightInd w:val="0"/>
        <w:snapToGrid w:val="0"/>
        <w:spacing w:line="360" w:lineRule="auto"/>
        <w:ind w:firstLine="420" w:firstLineChars="200"/>
        <w:rPr>
          <w:rFonts w:hAnsi="宋体"/>
          <w:b/>
          <w:szCs w:val="21"/>
        </w:rPr>
      </w:pPr>
      <w:r>
        <w:rPr>
          <w:rFonts w:hint="eastAsia" w:hAnsi="宋体"/>
          <w:b/>
          <w:szCs w:val="21"/>
        </w:rPr>
        <w:t>四、采购标的需满足的质量、安全、技术规格、物理特性等要求：</w:t>
      </w:r>
    </w:p>
    <w:p w14:paraId="7DAA503D">
      <w:pPr>
        <w:spacing w:before="156" w:beforeLines="50" w:line="360" w:lineRule="auto"/>
        <w:rPr>
          <w:rFonts w:hint="eastAsia" w:hAnsi="宋体" w:eastAsia="宋体"/>
          <w:color w:val="auto"/>
          <w:szCs w:val="21"/>
          <w:lang w:val="en-US" w:eastAsia="zh-CN"/>
        </w:rPr>
      </w:pPr>
      <w:r>
        <w:rPr>
          <w:rFonts w:hint="eastAsia" w:hAnsi="宋体" w:eastAsia="宋体"/>
          <w:color w:val="auto"/>
          <w:szCs w:val="21"/>
          <w:lang w:val="en-US" w:eastAsia="zh-CN"/>
        </w:rPr>
        <w:t>（一）整体平台要求</w:t>
      </w:r>
    </w:p>
    <w:p w14:paraId="2D888955">
      <w:pPr>
        <w:spacing w:before="156" w:beforeLines="50" w:line="360" w:lineRule="auto"/>
        <w:ind w:firstLine="420" w:firstLineChars="200"/>
        <w:rPr>
          <w:rFonts w:hint="eastAsia" w:hAnsi="宋体" w:eastAsia="宋体"/>
          <w:color w:val="auto"/>
          <w:szCs w:val="21"/>
          <w:lang w:val="en-US" w:eastAsia="zh-CN"/>
        </w:rPr>
      </w:pPr>
      <w:r>
        <w:rPr>
          <w:rFonts w:hint="eastAsia" w:hAnsi="宋体" w:eastAsia="宋体"/>
          <w:color w:val="auto"/>
          <w:szCs w:val="21"/>
          <w:lang w:val="en-US" w:eastAsia="zh-CN"/>
        </w:rPr>
        <w:t>采用分布式架构，具备高性能计算、GPU 加速、并行存储、多用户管理、作业调度、科学计算软件集成部署能力，支持 Linux 系统、MPI/OpenMP 混合编程、容器化部署，满足材料模拟、AI 计算、数值计算、大数据分析需求。</w:t>
      </w:r>
    </w:p>
    <w:p w14:paraId="530930DC">
      <w:pPr>
        <w:spacing w:before="156" w:beforeLines="50" w:line="360" w:lineRule="auto"/>
        <w:rPr>
          <w:rFonts w:hint="eastAsia" w:hAnsi="宋体" w:eastAsia="宋体"/>
          <w:color w:val="auto"/>
          <w:szCs w:val="21"/>
          <w:lang w:val="en-US" w:eastAsia="zh-CN"/>
        </w:rPr>
      </w:pPr>
      <w:r>
        <w:rPr>
          <w:rFonts w:hint="eastAsia" w:hAnsi="宋体" w:eastAsia="宋体"/>
          <w:color w:val="auto"/>
          <w:szCs w:val="21"/>
          <w:lang w:val="en-US" w:eastAsia="zh-CN"/>
        </w:rPr>
        <w:t>（二）硬件配置要求</w:t>
      </w:r>
    </w:p>
    <w:p w14:paraId="575C3FB6">
      <w:pPr>
        <w:spacing w:before="156" w:beforeLines="50" w:line="360" w:lineRule="auto"/>
        <w:rPr>
          <w:rFonts w:hint="eastAsia" w:hAnsi="宋体" w:eastAsia="宋体"/>
          <w:color w:val="auto"/>
          <w:szCs w:val="21"/>
        </w:rPr>
      </w:pPr>
      <w:r>
        <w:rPr>
          <w:rFonts w:hint="eastAsia" w:hAnsi="宋体" w:eastAsia="宋体"/>
          <w:color w:val="auto"/>
          <w:szCs w:val="21"/>
          <w:lang w:val="en-US" w:eastAsia="zh-CN"/>
        </w:rPr>
        <w:t>1.</w:t>
      </w:r>
      <w:r>
        <w:rPr>
          <w:rFonts w:hint="default" w:hAnsi="宋体" w:eastAsia="宋体"/>
          <w:color w:val="auto"/>
          <w:szCs w:val="21"/>
          <w:lang w:val="en-US" w:eastAsia="zh-CN"/>
        </w:rPr>
        <w:t>GPU</w:t>
      </w:r>
      <w:r>
        <w:rPr>
          <w:rFonts w:hint="eastAsia" w:hAnsi="宋体" w:eastAsia="宋体"/>
          <w:color w:val="auto"/>
          <w:szCs w:val="21"/>
        </w:rPr>
        <w:t>服务器（</w:t>
      </w:r>
      <w:r>
        <w:rPr>
          <w:rFonts w:hint="eastAsia" w:hAnsi="宋体" w:eastAsia="宋体"/>
          <w:color w:val="auto"/>
          <w:szCs w:val="21"/>
          <w:lang w:val="en-US" w:eastAsia="zh-CN"/>
        </w:rPr>
        <w:t>4</w:t>
      </w:r>
      <w:r>
        <w:rPr>
          <w:rFonts w:hint="eastAsia" w:hAnsi="宋体" w:eastAsia="宋体"/>
          <w:color w:val="auto"/>
          <w:szCs w:val="21"/>
        </w:rPr>
        <w:t xml:space="preserve"> 台）</w:t>
      </w:r>
    </w:p>
    <w:p w14:paraId="7973D625">
      <w:pPr>
        <w:spacing w:before="156" w:beforeLines="50" w:line="360" w:lineRule="auto"/>
        <w:ind w:firstLine="420" w:firstLineChars="200"/>
        <w:rPr>
          <w:rFonts w:hint="eastAsia" w:hAnsi="宋体" w:eastAsia="宋体"/>
          <w:color w:val="auto"/>
          <w:szCs w:val="21"/>
          <w:lang w:val="en-US" w:eastAsia="zh-CN"/>
        </w:rPr>
      </w:pPr>
      <w:r>
        <w:rPr>
          <w:rFonts w:hint="eastAsia" w:hAnsi="宋体" w:eastAsia="宋体"/>
          <w:color w:val="auto"/>
          <w:szCs w:val="21"/>
        </w:rPr>
        <w:t>支持多颗高性能服务器处理器、大容量内存与硬盘扩展、多片高性能显卡</w:t>
      </w:r>
      <w:r>
        <w:rPr>
          <w:rFonts w:hint="eastAsia" w:hAnsi="宋体" w:eastAsia="宋体"/>
          <w:color w:val="auto"/>
          <w:szCs w:val="21"/>
        </w:rPr>
        <w:t>≥</w:t>
      </w:r>
      <w:r>
        <w:rPr>
          <w:rFonts w:hint="eastAsia" w:hAnsi="宋体" w:eastAsia="宋体"/>
          <w:color w:val="auto"/>
          <w:szCs w:val="21"/>
          <w:lang w:val="en-US" w:eastAsia="zh-CN"/>
        </w:rPr>
        <w:t>11块</w:t>
      </w:r>
      <w:r>
        <w:rPr>
          <w:rFonts w:hint="eastAsia" w:hAnsi="宋体" w:eastAsia="宋体"/>
          <w:color w:val="auto"/>
          <w:szCs w:val="21"/>
        </w:rPr>
        <w:t>，</w:t>
      </w:r>
      <w:r>
        <w:rPr>
          <w:rFonts w:hint="eastAsia" w:hAnsi="宋体" w:eastAsia="宋体"/>
          <w:color w:val="auto"/>
          <w:szCs w:val="21"/>
          <w:lang w:val="en-US" w:eastAsia="zh-CN"/>
        </w:rPr>
        <w:t>80GB GPU，显存带宽≥1935GB/s；单卡双精度算力≥9.7TFLOPS、单精度算力≥19.5TFLOPS，整机 GPU 总显存 640GB，整机双精度浮点运算性能≥77.6Tflops、单精度浮点运算性能≥156Tflops；支持 MIG 多实例 GPU 虚拟化，原生兼容 CUDA、cuDNN、TensorRT、承担平台超大参数 AI 模型训练、</w:t>
      </w:r>
      <w:r>
        <w:rPr>
          <w:rFonts w:hint="eastAsia" w:hAnsi="宋体"/>
          <w:color w:val="auto"/>
          <w:szCs w:val="21"/>
          <w:lang w:val="en-US" w:eastAsia="zh-CN"/>
        </w:rPr>
        <w:t>高性能算法验证、多智能体仿真验证</w:t>
      </w:r>
      <w:r>
        <w:rPr>
          <w:rFonts w:hint="eastAsia" w:hAnsi="宋体" w:eastAsia="宋体"/>
          <w:color w:val="auto"/>
          <w:szCs w:val="21"/>
          <w:lang w:val="en-US" w:eastAsia="zh-CN"/>
        </w:rPr>
        <w:t>任务。</w:t>
      </w:r>
    </w:p>
    <w:p w14:paraId="564F8514">
      <w:pPr>
        <w:spacing w:before="156" w:beforeLines="50" w:line="360" w:lineRule="auto"/>
        <w:ind w:firstLine="420" w:firstLineChars="200"/>
        <w:rPr>
          <w:rFonts w:hint="eastAsia" w:hAnsi="宋体" w:eastAsia="宋体"/>
          <w:color w:val="auto"/>
          <w:szCs w:val="21"/>
        </w:rPr>
      </w:pPr>
      <w:r>
        <w:rPr>
          <w:rFonts w:hint="eastAsia" w:hAnsi="宋体" w:eastAsia="宋体"/>
          <w:color w:val="auto"/>
          <w:szCs w:val="21"/>
        </w:rPr>
        <w:t>4U 12x3.5(10SAS/SATA+2SAS/SATA/NVe)直连背板8个PCle5.0x16双宽扩展插槽及2个PCle5.0x8 单宽扩展插槽，支持2个WW1eSSD，支持1个PCIe5.0x8 0CP 网卡:12*3.5英寸硬盘托架(支持2.5英寸硬盘):1*Inte11Gb 四口RT450CP 网卡，4个2700瓦电源，热插拔N余白金级能效</w:t>
      </w:r>
      <w:bookmarkStart w:id="9" w:name="_GoBack"/>
      <w:bookmarkEnd w:id="9"/>
      <w:r>
        <w:rPr>
          <w:rFonts w:hint="eastAsia" w:hAnsi="宋体"/>
          <w:color w:val="auto"/>
          <w:szCs w:val="21"/>
          <w:lang w:eastAsia="zh-CN"/>
        </w:rPr>
        <w:t>。</w:t>
      </w:r>
      <w:r>
        <w:rPr>
          <w:rFonts w:hint="eastAsia" w:hAnsi="宋体" w:eastAsia="宋体"/>
          <w:color w:val="auto"/>
          <w:szCs w:val="21"/>
        </w:rPr>
        <w:t>配备独立IPMI管理口、USB3.0接口，采用高规格PCIE总线技术，具备良好扩展性。配置企业级冗余白金电源，支持RAID阵列保障数据安全，搭载Linux操作系统。支持Hadoop、Spark大数据架构及Slurm高性能计算集群架构，具备程序远程调试、可视化开发、离线任务调度运维、数据集成、多人协同工作能力，配备BCX计算平台管理软件。每台均配置不低于2TB高性能固态硬盘，搭配3块及以上20TB SAS企业级硬盘，配置阵列卡实现RAID数据保护</w:t>
      </w:r>
      <w:r>
        <w:rPr>
          <w:rFonts w:hint="eastAsia" w:hAnsi="宋体"/>
          <w:color w:val="auto"/>
          <w:szCs w:val="21"/>
          <w:lang w:eastAsia="zh-CN"/>
        </w:rPr>
        <w:t>，LS19361-161.2GB缓存，支持断电保护，</w:t>
      </w:r>
      <w:r>
        <w:rPr>
          <w:rFonts w:hint="eastAsia" w:hAnsi="宋体"/>
          <w:color w:val="auto"/>
          <w:szCs w:val="21"/>
          <w:lang w:val="en-US" w:eastAsia="zh-CN"/>
        </w:rPr>
        <w:t>需自带机柜</w:t>
      </w:r>
      <w:r>
        <w:rPr>
          <w:rFonts w:hint="eastAsia" w:hAnsi="宋体" w:eastAsia="宋体"/>
          <w:color w:val="auto"/>
          <w:szCs w:val="21"/>
        </w:rPr>
        <w:t>。</w:t>
      </w:r>
    </w:p>
    <w:p w14:paraId="6AD88B9D">
      <w:pPr>
        <w:spacing w:before="156" w:beforeLines="50" w:line="360" w:lineRule="auto"/>
        <w:rPr>
          <w:rFonts w:hint="eastAsia" w:hAnsi="宋体" w:eastAsia="宋体"/>
          <w:color w:val="auto"/>
          <w:szCs w:val="21"/>
        </w:rPr>
      </w:pPr>
      <w:r>
        <w:rPr>
          <w:rFonts w:hint="eastAsia" w:hAnsi="宋体" w:eastAsia="宋体"/>
          <w:color w:val="auto"/>
          <w:szCs w:val="21"/>
          <w:lang w:val="en-US" w:eastAsia="zh-CN"/>
        </w:rPr>
        <w:t>2.</w:t>
      </w:r>
      <w:r>
        <w:rPr>
          <w:rFonts w:hint="eastAsia" w:hAnsi="宋体" w:eastAsia="宋体"/>
          <w:color w:val="auto"/>
          <w:szCs w:val="21"/>
        </w:rPr>
        <w:t>存储服务器（1 台）</w:t>
      </w:r>
    </w:p>
    <w:p w14:paraId="72F4D81D">
      <w:pPr>
        <w:spacing w:before="156" w:beforeLines="50" w:line="360" w:lineRule="auto"/>
        <w:ind w:firstLine="420" w:firstLineChars="200"/>
        <w:rPr>
          <w:rFonts w:hint="default" w:hAnsi="宋体" w:eastAsia="宋体"/>
          <w:color w:val="auto"/>
          <w:szCs w:val="21"/>
          <w:lang w:val="en-US" w:eastAsia="zh-CN"/>
        </w:rPr>
      </w:pPr>
      <w:r>
        <w:rPr>
          <w:rFonts w:hint="eastAsia" w:hAnsi="宋体" w:eastAsia="宋体"/>
          <w:color w:val="auto"/>
          <w:szCs w:val="21"/>
        </w:rPr>
        <w:t>4U机架式存储服务器，处理器</w:t>
      </w:r>
      <w:r>
        <w:rPr>
          <w:rFonts w:hint="eastAsia" w:hAnsi="宋体"/>
          <w:color w:val="auto"/>
          <w:szCs w:val="21"/>
          <w:lang w:val="en-US" w:eastAsia="zh-CN"/>
        </w:rPr>
        <w:t>性能</w:t>
      </w:r>
      <w:r>
        <w:rPr>
          <w:rFonts w:hint="eastAsia" w:hAnsi="宋体" w:eastAsia="宋体"/>
          <w:color w:val="auto"/>
          <w:szCs w:val="21"/>
        </w:rPr>
        <w:t>≥24个硬盘位，≥16内存槽，≥6个PCIE4.0插槽，四口千兆，独立BMC，1250W电源</w:t>
      </w:r>
      <w:r>
        <w:rPr>
          <w:rFonts w:hint="eastAsia" w:hAnsi="宋体" w:eastAsia="宋体"/>
          <w:color w:val="auto"/>
          <w:szCs w:val="21"/>
          <w:lang w:eastAsia="zh-CN"/>
        </w:rPr>
        <w:t>；</w:t>
      </w:r>
      <w:r>
        <w:rPr>
          <w:rFonts w:hint="eastAsia" w:hAnsi="宋体" w:eastAsia="宋体"/>
          <w:color w:val="auto"/>
          <w:szCs w:val="21"/>
        </w:rPr>
        <w:t>内存≥256GB DDR4 3200MHz RECC</w:t>
      </w:r>
      <w:r>
        <w:rPr>
          <w:rFonts w:hint="eastAsia" w:hAnsi="宋体" w:eastAsia="宋体"/>
          <w:color w:val="auto"/>
          <w:szCs w:val="21"/>
          <w:lang w:eastAsia="zh-CN"/>
        </w:rPr>
        <w:t>；</w:t>
      </w:r>
      <w:r>
        <w:rPr>
          <w:rFonts w:hint="eastAsia" w:hAnsi="宋体" w:eastAsia="宋体"/>
          <w:color w:val="auto"/>
          <w:szCs w:val="21"/>
        </w:rPr>
        <w:t>SSD≥2块960GB、≥4块3.84TB，SATA硬盘≥16块20TB 7200RPM，LSI9361-16i 12GB缓存阵列卡，支持RAID0/1/5/6/10/50/60</w:t>
      </w:r>
      <w:r>
        <w:rPr>
          <w:rFonts w:hint="eastAsia" w:hAnsi="宋体" w:eastAsia="宋体"/>
          <w:color w:val="auto"/>
          <w:szCs w:val="21"/>
          <w:lang w:eastAsia="zh-CN"/>
        </w:rPr>
        <w:t>；</w:t>
      </w:r>
      <w:r>
        <w:rPr>
          <w:rFonts w:hint="eastAsia" w:hAnsi="宋体" w:eastAsia="宋体"/>
          <w:color w:val="auto"/>
          <w:szCs w:val="21"/>
        </w:rPr>
        <w:t>PCIe3.0网卡，2个千兆网口</w:t>
      </w:r>
      <w:r>
        <w:rPr>
          <w:rFonts w:hint="eastAsia" w:hAnsi="宋体" w:eastAsia="宋体"/>
          <w:color w:val="auto"/>
          <w:szCs w:val="21"/>
          <w:lang w:eastAsia="zh-CN"/>
        </w:rPr>
        <w:t>；</w:t>
      </w:r>
      <w:r>
        <w:rPr>
          <w:rFonts w:hint="eastAsia" w:hAnsi="宋体" w:eastAsia="宋体"/>
          <w:color w:val="auto"/>
          <w:szCs w:val="21"/>
        </w:rPr>
        <w:t>Linux系统，支持Hadoop/Spark/Slurm架构，HECA数据库，LDAP账号管理，BCX计算平台管理软件</w:t>
      </w:r>
      <w:r>
        <w:rPr>
          <w:rFonts w:hint="eastAsia" w:hAnsi="宋体"/>
          <w:color w:val="auto"/>
          <w:szCs w:val="21"/>
          <w:lang w:eastAsia="zh-CN"/>
        </w:rPr>
        <w:t>，</w:t>
      </w:r>
      <w:r>
        <w:rPr>
          <w:rFonts w:hint="eastAsia" w:hAnsi="宋体"/>
          <w:color w:val="auto"/>
          <w:szCs w:val="21"/>
          <w:lang w:val="en-US" w:eastAsia="zh-CN"/>
        </w:rPr>
        <w:t>需自带机柜</w:t>
      </w:r>
      <w:r>
        <w:rPr>
          <w:rFonts w:hint="eastAsia" w:hAnsi="宋体" w:eastAsia="宋体"/>
          <w:color w:val="auto"/>
          <w:szCs w:val="21"/>
        </w:rPr>
        <w:t>。</w:t>
      </w:r>
    </w:p>
    <w:p w14:paraId="7693B9EB">
      <w:pPr>
        <w:spacing w:before="156" w:beforeLines="50" w:line="360" w:lineRule="auto"/>
        <w:rPr>
          <w:rFonts w:hint="eastAsia" w:hAnsi="宋体" w:eastAsia="宋体"/>
          <w:color w:val="auto"/>
          <w:szCs w:val="21"/>
        </w:rPr>
      </w:pPr>
      <w:r>
        <w:rPr>
          <w:rFonts w:hint="eastAsia" w:hAnsi="宋体" w:eastAsia="宋体"/>
          <w:color w:val="auto"/>
          <w:szCs w:val="21"/>
        </w:rPr>
        <w:t>（三）软件系统要求</w:t>
      </w:r>
    </w:p>
    <w:p w14:paraId="20AD11E3">
      <w:pPr>
        <w:spacing w:before="156" w:beforeLines="50" w:line="360" w:lineRule="auto"/>
        <w:ind w:firstLine="420" w:firstLineChars="200"/>
        <w:rPr>
          <w:rFonts w:hint="eastAsia" w:hAnsi="宋体" w:eastAsia="宋体"/>
          <w:color w:val="auto"/>
          <w:szCs w:val="21"/>
        </w:rPr>
      </w:pPr>
      <w:r>
        <w:rPr>
          <w:rFonts w:hint="eastAsia" w:hAnsi="宋体" w:eastAsia="宋体"/>
          <w:color w:val="auto"/>
          <w:szCs w:val="21"/>
        </w:rPr>
        <w:t>开发环境：BLAS、ATLAS、LAPACK、ScaLPACK、FFTW、Goto；支持 MPI1.2/2.0、MPI over Infiniband、PVM、OpenMP 混合编程；Intel/CUDA/GCC 等编译器，支持 Fortran/C/C++/Python/JAVA 等</w:t>
      </w:r>
      <w:r>
        <w:rPr>
          <w:rFonts w:hint="eastAsia" w:hAnsi="宋体" w:eastAsia="宋体"/>
          <w:color w:val="auto"/>
          <w:szCs w:val="21"/>
          <w:lang w:eastAsia="zh-CN"/>
        </w:rPr>
        <w:t>。</w:t>
      </w:r>
      <w:r>
        <w:rPr>
          <w:rFonts w:hint="eastAsia" w:hAnsi="宋体" w:eastAsia="宋体"/>
          <w:color w:val="auto"/>
          <w:szCs w:val="21"/>
        </w:rPr>
        <w:t>并行文件系统：Lustre/NFS/GPFS，支持冗余、统一账户、海量小文件优化</w:t>
      </w:r>
      <w:r>
        <w:rPr>
          <w:rFonts w:hint="eastAsia" w:hAnsi="宋体" w:eastAsia="宋体"/>
          <w:color w:val="auto"/>
          <w:szCs w:val="21"/>
          <w:lang w:eastAsia="zh-CN"/>
        </w:rPr>
        <w:t>。</w:t>
      </w:r>
      <w:r>
        <w:rPr>
          <w:rFonts w:hint="eastAsia" w:hAnsi="宋体" w:eastAsia="宋体"/>
          <w:color w:val="auto"/>
          <w:szCs w:val="21"/>
        </w:rPr>
        <w:t>作业调度：支持 Linux 多版本系统，多队列、多策略调度，支持 BCXIN3.0 混合调度，Web 管理作业操作</w:t>
      </w:r>
      <w:r>
        <w:rPr>
          <w:rFonts w:hint="eastAsia" w:hAnsi="宋体" w:eastAsia="宋体"/>
          <w:color w:val="auto"/>
          <w:szCs w:val="21"/>
          <w:lang w:eastAsia="zh-CN"/>
        </w:rPr>
        <w:t>。</w:t>
      </w:r>
      <w:r>
        <w:rPr>
          <w:rFonts w:hint="eastAsia" w:hAnsi="宋体" w:eastAsia="宋体"/>
          <w:color w:val="auto"/>
          <w:szCs w:val="21"/>
        </w:rPr>
        <w:t>深度学习环境：CUDA Toolkit、TensorFlow、PyTorch、CuDNN、TensorRT、NVIDIA Docker，支持主流 AI 与科学计算软件</w:t>
      </w:r>
    </w:p>
    <w:p w14:paraId="4111FD35">
      <w:pPr>
        <w:tabs>
          <w:tab w:val="left" w:pos="900"/>
        </w:tabs>
        <w:adjustRightInd w:val="0"/>
        <w:snapToGrid w:val="0"/>
        <w:spacing w:line="360" w:lineRule="auto"/>
        <w:ind w:firstLine="420" w:firstLineChars="200"/>
        <w:rPr>
          <w:rFonts w:hAnsi="宋体"/>
          <w:b/>
          <w:szCs w:val="21"/>
        </w:rPr>
      </w:pPr>
    </w:p>
    <w:p w14:paraId="0E502799">
      <w:pPr>
        <w:tabs>
          <w:tab w:val="left" w:pos="900"/>
        </w:tabs>
        <w:adjustRightInd w:val="0"/>
        <w:snapToGrid w:val="0"/>
        <w:spacing w:line="360" w:lineRule="auto"/>
        <w:ind w:firstLine="420" w:firstLineChars="200"/>
        <w:rPr>
          <w:rFonts w:hAnsi="宋体"/>
          <w:b/>
          <w:szCs w:val="21"/>
        </w:rPr>
      </w:pPr>
      <w:r>
        <w:rPr>
          <w:rFonts w:hint="eastAsia" w:hAnsi="宋体"/>
          <w:b/>
          <w:szCs w:val="21"/>
        </w:rPr>
        <w:t>五、采购标的需满足的服务标准、期限、效率等要求</w:t>
      </w:r>
    </w:p>
    <w:p w14:paraId="1D8DFDC5">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（一）质保期： 不少于</w:t>
      </w:r>
      <w:r>
        <w:rPr>
          <w:rFonts w:hint="eastAsia" w:ascii="宋体" w:hAnsi="宋体"/>
          <w:szCs w:val="21"/>
          <w:lang w:val="en-US" w:eastAsia="zh-CN"/>
        </w:rPr>
        <w:t>3</w:t>
      </w:r>
      <w:r>
        <w:rPr>
          <w:rFonts w:hint="eastAsia" w:ascii="宋体" w:hAnsi="宋体"/>
          <w:szCs w:val="21"/>
        </w:rPr>
        <w:t>年，</w:t>
      </w:r>
      <w:r>
        <w:rPr>
          <w:rFonts w:ascii="宋体" w:hAnsi="宋体" w:cs="宋体"/>
        </w:rPr>
        <w:t>质保期内免费维保</w:t>
      </w:r>
      <w:r>
        <w:rPr>
          <w:rFonts w:hint="eastAsia" w:ascii="宋体" w:hAnsi="宋体" w:cs="宋体"/>
        </w:rPr>
        <w:t>不少于</w:t>
      </w:r>
      <w:r>
        <w:rPr>
          <w:rFonts w:hint="eastAsia" w:ascii="宋体" w:hAnsi="宋体"/>
          <w:szCs w:val="21"/>
          <w:u w:val="single"/>
          <w:lang w:val="en-US" w:eastAsia="zh-CN"/>
        </w:rPr>
        <w:t>2</w:t>
      </w:r>
      <w:r>
        <w:rPr>
          <w:rFonts w:ascii="宋体" w:hAnsi="宋体" w:cs="宋体"/>
        </w:rPr>
        <w:t>次/年，免人工服务费。</w:t>
      </w:r>
      <w:r>
        <w:rPr>
          <w:rFonts w:hint="eastAsia" w:ascii="宋体" w:hAnsi="宋体"/>
          <w:szCs w:val="21"/>
        </w:rPr>
        <w:t>质保期满后，仍需提供专业维修服务，投标人在投标文件中需注明维修服务单项报价。</w:t>
      </w:r>
    </w:p>
    <w:p w14:paraId="446C43F0">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（二）服务响应时间：接到维修电话后4小时内给予明确答复，8小时内到达现场维修。维修人员到现场后若问题特殊无法现场修复的，中标人需在24小时内给出合理解决方案。</w:t>
      </w:r>
    </w:p>
    <w:p w14:paraId="79F6240D">
      <w:pPr>
        <w:tabs>
          <w:tab w:val="left" w:pos="420"/>
          <w:tab w:val="left" w:pos="900"/>
        </w:tabs>
        <w:adjustRightInd w:val="0"/>
        <w:snapToGrid w:val="0"/>
        <w:spacing w:line="360" w:lineRule="auto"/>
        <w:ind w:firstLine="420" w:firstLineChars="200"/>
        <w:rPr>
          <w:rFonts w:ascii="宋体" w:hAnsi="宋体"/>
          <w:szCs w:val="21"/>
        </w:rPr>
      </w:pPr>
      <w:r>
        <w:rPr>
          <w:rFonts w:hint="eastAsia" w:ascii="宋体" w:hAnsi="宋体"/>
          <w:szCs w:val="21"/>
        </w:rPr>
        <w:t>（三）</w:t>
      </w:r>
      <w:r>
        <w:rPr>
          <w:rFonts w:ascii="宋体" w:hAnsi="宋体"/>
          <w:szCs w:val="21"/>
        </w:rPr>
        <w:t>培训</w:t>
      </w:r>
      <w:r>
        <w:rPr>
          <w:rFonts w:hint="eastAsia" w:ascii="宋体" w:hAnsi="宋体"/>
          <w:szCs w:val="21"/>
        </w:rPr>
        <w:t>要求：中标人需</w:t>
      </w:r>
      <w:r>
        <w:rPr>
          <w:rFonts w:ascii="宋体" w:hAnsi="宋体"/>
          <w:szCs w:val="21"/>
        </w:rPr>
        <w:t>提供培训电子资料及视频；免费为用户培训至少</w:t>
      </w:r>
      <w:r>
        <w:rPr>
          <w:rFonts w:hint="eastAsia" w:ascii="宋体" w:hAnsi="宋体"/>
          <w:szCs w:val="21"/>
          <w:u w:val="single"/>
          <w:lang w:val="en-US" w:eastAsia="zh-CN"/>
        </w:rPr>
        <w:t>3</w:t>
      </w:r>
      <w:r>
        <w:rPr>
          <w:rFonts w:ascii="宋体" w:hAnsi="宋体"/>
          <w:szCs w:val="21"/>
        </w:rPr>
        <w:t>名操作人员进行为期至少</w:t>
      </w:r>
      <w:r>
        <w:rPr>
          <w:rFonts w:hint="eastAsia" w:ascii="宋体" w:hAnsi="宋体"/>
          <w:szCs w:val="21"/>
          <w:u w:val="single"/>
          <w:lang w:val="en-US" w:eastAsia="zh-CN"/>
        </w:rPr>
        <w:t>3</w:t>
      </w:r>
      <w:r>
        <w:rPr>
          <w:rFonts w:ascii="宋体" w:hAnsi="宋体"/>
          <w:szCs w:val="21"/>
        </w:rPr>
        <w:t>天的现场操作培训以及应用培训，保证用户掌握有关设备的使用、维护、管理和应用等工作要求</w:t>
      </w:r>
      <w:r>
        <w:rPr>
          <w:rFonts w:hint="eastAsia" w:ascii="宋体" w:hAnsi="宋体"/>
          <w:szCs w:val="21"/>
        </w:rPr>
        <w:t>；同时提供</w:t>
      </w:r>
      <w:r>
        <w:rPr>
          <w:rFonts w:ascii="宋体" w:hAnsi="宋体"/>
          <w:szCs w:val="21"/>
        </w:rPr>
        <w:t>不定期的免费提供相关设备应用方面的技术咨询等。</w:t>
      </w:r>
    </w:p>
    <w:p w14:paraId="087735E4">
      <w:pPr>
        <w:tabs>
          <w:tab w:val="left" w:pos="420"/>
          <w:tab w:val="left" w:pos="900"/>
        </w:tabs>
        <w:adjustRightInd w:val="0"/>
        <w:snapToGrid w:val="0"/>
        <w:spacing w:line="360" w:lineRule="auto"/>
        <w:ind w:firstLine="420" w:firstLineChars="200"/>
        <w:rPr>
          <w:rFonts w:ascii="宋体" w:hAnsi="宋体"/>
          <w:b w:val="0"/>
          <w:bCs w:val="0"/>
          <w:szCs w:val="21"/>
        </w:rPr>
      </w:pPr>
      <w:r>
        <w:rPr>
          <w:rFonts w:hint="eastAsia" w:ascii="宋体" w:hAnsi="宋体"/>
          <w:b w:val="0"/>
          <w:bCs w:val="0"/>
          <w:szCs w:val="21"/>
        </w:rPr>
        <w:t>（四）供应商提供进口设备的，须在投标（响应）文件中明确外贸合同卖方信息。</w:t>
      </w:r>
    </w:p>
    <w:p w14:paraId="250BAB25">
      <w:pPr>
        <w:tabs>
          <w:tab w:val="left" w:pos="420"/>
          <w:tab w:val="left" w:pos="900"/>
        </w:tabs>
        <w:adjustRightInd w:val="0"/>
        <w:snapToGrid w:val="0"/>
        <w:spacing w:line="360" w:lineRule="auto"/>
        <w:ind w:firstLine="420" w:firstLineChars="200"/>
        <w:rPr>
          <w:rFonts w:ascii="宋体" w:hAnsi="宋体"/>
          <w:b/>
          <w:szCs w:val="21"/>
        </w:rPr>
      </w:pPr>
      <w:r>
        <w:rPr>
          <w:rFonts w:hint="eastAsia" w:ascii="宋体" w:hAnsi="宋体"/>
          <w:b/>
          <w:szCs w:val="21"/>
        </w:rPr>
        <w:t>六、</w:t>
      </w:r>
      <w:r>
        <w:rPr>
          <w:rFonts w:ascii="宋体" w:hAnsi="宋体"/>
          <w:b/>
          <w:szCs w:val="21"/>
        </w:rPr>
        <w:t>采购标的的</w:t>
      </w:r>
      <w:r>
        <w:rPr>
          <w:rFonts w:hint="eastAsia" w:ascii="宋体" w:hAnsi="宋体"/>
          <w:b/>
          <w:szCs w:val="21"/>
        </w:rPr>
        <w:t>履约验收标准</w:t>
      </w:r>
    </w:p>
    <w:bookmarkEnd w:id="1"/>
    <w:bookmarkEnd w:id="2"/>
    <w:bookmarkEnd w:id="3"/>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3786"/>
        <w:gridCol w:w="4716"/>
      </w:tblGrid>
      <w:tr w14:paraId="7ECB72D1">
        <w:trPr>
          <w:trHeight w:val="567" w:hRule="atLeast"/>
          <w:jc w:val="center"/>
        </w:trPr>
        <w:tc>
          <w:tcPr>
            <w:tcW w:w="9060" w:type="dxa"/>
            <w:gridSpan w:val="3"/>
            <w:vAlign w:val="center"/>
          </w:tcPr>
          <w:p w14:paraId="7541F7C7">
            <w:pPr>
              <w:widowControl/>
              <w:adjustRightInd w:val="0"/>
              <w:snapToGrid w:val="0"/>
              <w:jc w:val="left"/>
              <w:textAlignment w:val="baseline"/>
              <w:rPr>
                <w:rFonts w:ascii="宋体" w:hAnsi="宋体"/>
                <w:b/>
                <w:bCs/>
                <w:color w:val="000000"/>
                <w:kern w:val="0"/>
                <w:szCs w:val="21"/>
              </w:rPr>
            </w:pPr>
            <w:bookmarkStart w:id="5" w:name="OLE_LINK3"/>
            <w:r>
              <w:rPr>
                <w:rFonts w:hint="eastAsia" w:ascii="宋体" w:hAnsi="宋体"/>
                <w:b/>
                <w:bCs/>
                <w:color w:val="000000"/>
                <w:kern w:val="0"/>
                <w:szCs w:val="21"/>
              </w:rPr>
              <w:t>一、货物类项目验收要求</w:t>
            </w:r>
          </w:p>
        </w:tc>
      </w:tr>
      <w:tr w14:paraId="1BB8271D">
        <w:trPr>
          <w:trHeight w:val="567" w:hRule="atLeast"/>
          <w:jc w:val="center"/>
        </w:trPr>
        <w:tc>
          <w:tcPr>
            <w:tcW w:w="765" w:type="dxa"/>
            <w:vAlign w:val="center"/>
          </w:tcPr>
          <w:p w14:paraId="5E00C0EC">
            <w:pPr>
              <w:widowControl/>
              <w:adjustRightInd w:val="0"/>
              <w:snapToGrid w:val="0"/>
              <w:jc w:val="center"/>
              <w:textAlignment w:val="baseline"/>
              <w:rPr>
                <w:rFonts w:ascii="宋体" w:hAnsi="宋体"/>
                <w:color w:val="000000"/>
                <w:kern w:val="0"/>
                <w:szCs w:val="21"/>
              </w:rPr>
            </w:pPr>
            <w:r>
              <w:rPr>
                <w:rFonts w:hint="eastAsia" w:ascii="宋体" w:hAnsi="宋体"/>
                <w:color w:val="000000"/>
                <w:kern w:val="0"/>
                <w:szCs w:val="21"/>
              </w:rPr>
              <w:t>序号</w:t>
            </w:r>
          </w:p>
        </w:tc>
        <w:tc>
          <w:tcPr>
            <w:tcW w:w="3694" w:type="dxa"/>
            <w:vAlign w:val="center"/>
          </w:tcPr>
          <w:p w14:paraId="5DF60775">
            <w:pPr>
              <w:widowControl/>
              <w:adjustRightInd w:val="0"/>
              <w:snapToGrid w:val="0"/>
              <w:jc w:val="center"/>
              <w:textAlignment w:val="baseline"/>
              <w:rPr>
                <w:rFonts w:ascii="宋体" w:hAnsi="宋体"/>
                <w:color w:val="000000"/>
                <w:kern w:val="0"/>
                <w:szCs w:val="21"/>
              </w:rPr>
            </w:pPr>
            <w:r>
              <w:rPr>
                <w:rFonts w:hint="eastAsia" w:ascii="宋体" w:hAnsi="宋体"/>
                <w:color w:val="000000"/>
                <w:kern w:val="0"/>
                <w:szCs w:val="21"/>
              </w:rPr>
              <w:t>功能或指标</w:t>
            </w:r>
          </w:p>
        </w:tc>
        <w:tc>
          <w:tcPr>
            <w:tcW w:w="4601" w:type="dxa"/>
            <w:vAlign w:val="center"/>
          </w:tcPr>
          <w:p w14:paraId="4288F8A8">
            <w:pPr>
              <w:widowControl/>
              <w:adjustRightInd w:val="0"/>
              <w:snapToGrid w:val="0"/>
              <w:jc w:val="center"/>
              <w:textAlignment w:val="baseline"/>
              <w:rPr>
                <w:rFonts w:ascii="宋体" w:hAnsi="宋体"/>
                <w:color w:val="000000"/>
                <w:kern w:val="0"/>
                <w:szCs w:val="21"/>
              </w:rPr>
            </w:pPr>
            <w:r>
              <w:rPr>
                <w:rFonts w:hint="eastAsia" w:ascii="宋体" w:hAnsi="宋体"/>
                <w:color w:val="000000"/>
                <w:kern w:val="0"/>
                <w:szCs w:val="21"/>
              </w:rPr>
              <w:t>验收或测试方法</w:t>
            </w:r>
          </w:p>
        </w:tc>
      </w:tr>
      <w:tr w14:paraId="4DD1ECF0">
        <w:trPr>
          <w:trHeight w:val="567" w:hRule="atLeast"/>
          <w:jc w:val="center"/>
        </w:trPr>
        <w:tc>
          <w:tcPr>
            <w:tcW w:w="9060" w:type="dxa"/>
            <w:gridSpan w:val="3"/>
            <w:vAlign w:val="center"/>
          </w:tcPr>
          <w:p w14:paraId="02C15476">
            <w:pPr>
              <w:widowControl/>
              <w:adjustRightInd w:val="0"/>
              <w:snapToGrid w:val="0"/>
              <w:jc w:val="left"/>
              <w:textAlignment w:val="baseline"/>
              <w:rPr>
                <w:rFonts w:ascii="宋体" w:hAnsi="宋体"/>
                <w:b/>
                <w:color w:val="000000"/>
                <w:kern w:val="0"/>
                <w:szCs w:val="21"/>
              </w:rPr>
            </w:pPr>
            <w:r>
              <w:rPr>
                <w:rFonts w:hint="eastAsia" w:ascii="宋体" w:hAnsi="宋体"/>
                <w:b/>
                <w:color w:val="000000"/>
                <w:kern w:val="0"/>
                <w:szCs w:val="21"/>
              </w:rPr>
              <w:t>项目建设单位验收要求：</w:t>
            </w:r>
          </w:p>
        </w:tc>
      </w:tr>
      <w:tr w14:paraId="5919C972">
        <w:trPr>
          <w:trHeight w:val="567" w:hRule="atLeast"/>
          <w:jc w:val="center"/>
        </w:trPr>
        <w:tc>
          <w:tcPr>
            <w:tcW w:w="765" w:type="dxa"/>
            <w:vAlign w:val="center"/>
          </w:tcPr>
          <w:p w14:paraId="097B844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1</w:t>
            </w:r>
          </w:p>
        </w:tc>
        <w:tc>
          <w:tcPr>
            <w:tcW w:w="3694" w:type="dxa"/>
            <w:vAlign w:val="center"/>
          </w:tcPr>
          <w:p w14:paraId="628DDD59">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货物外包装与外观无损伤</w:t>
            </w:r>
          </w:p>
        </w:tc>
        <w:tc>
          <w:tcPr>
            <w:tcW w:w="4601" w:type="dxa"/>
            <w:vAlign w:val="center"/>
          </w:tcPr>
          <w:p w14:paraId="77718575">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现场核查</w:t>
            </w:r>
          </w:p>
        </w:tc>
      </w:tr>
      <w:tr w14:paraId="3668EFCD">
        <w:trPr>
          <w:trHeight w:val="567" w:hRule="atLeast"/>
          <w:jc w:val="center"/>
        </w:trPr>
        <w:tc>
          <w:tcPr>
            <w:tcW w:w="765" w:type="dxa"/>
            <w:vAlign w:val="center"/>
          </w:tcPr>
          <w:p w14:paraId="4D5202A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2</w:t>
            </w:r>
          </w:p>
        </w:tc>
        <w:tc>
          <w:tcPr>
            <w:tcW w:w="3694" w:type="dxa"/>
            <w:vAlign w:val="center"/>
          </w:tcPr>
          <w:p w14:paraId="5E3C1A74">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货物配置、包括备品备件、耗品耗材等提供齐全，货物实物品牌、规格、型号、配置数量与采购结果、合同约定相符。</w:t>
            </w:r>
          </w:p>
        </w:tc>
        <w:tc>
          <w:tcPr>
            <w:tcW w:w="4601" w:type="dxa"/>
            <w:vAlign w:val="center"/>
          </w:tcPr>
          <w:p w14:paraId="42CFBBEB">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依据《合同》及其附件（包括但不限于《采购需求》《供应商投标（响应）文件》《投标澄清函》《技术协议》等）约定，现场核查。</w:t>
            </w:r>
          </w:p>
        </w:tc>
      </w:tr>
      <w:tr w14:paraId="5150B6CA">
        <w:trPr>
          <w:trHeight w:val="567" w:hRule="atLeast"/>
          <w:jc w:val="center"/>
        </w:trPr>
        <w:tc>
          <w:tcPr>
            <w:tcW w:w="765" w:type="dxa"/>
            <w:vAlign w:val="center"/>
          </w:tcPr>
          <w:p w14:paraId="72C4659C">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3</w:t>
            </w:r>
          </w:p>
        </w:tc>
        <w:tc>
          <w:tcPr>
            <w:tcW w:w="3694" w:type="dxa"/>
            <w:vAlign w:val="center"/>
          </w:tcPr>
          <w:p w14:paraId="737AFF37">
            <w:pPr>
              <w:widowControl/>
              <w:adjustRightInd w:val="0"/>
              <w:snapToGrid w:val="0"/>
              <w:textAlignment w:val="baseline"/>
              <w:rPr>
                <w:rFonts w:ascii="宋体" w:hAnsi="宋体"/>
                <w:color w:val="000000" w:themeColor="text1"/>
                <w:kern w:val="0"/>
                <w:szCs w:val="21"/>
                <w14:textFill>
                  <w14:solidFill>
                    <w14:schemeClr w14:val="tx1"/>
                  </w14:solidFill>
                </w14:textFill>
              </w:rPr>
            </w:pPr>
            <w:r>
              <w:rPr>
                <w:rFonts w:hint="eastAsia" w:ascii="宋体" w:hAnsi="宋体"/>
                <w:color w:val="000000"/>
                <w:kern w:val="0"/>
                <w:szCs w:val="21"/>
              </w:rPr>
              <w:t>所有功能和指标参数（包括边界极限值）达到采购结果合同约定要求。</w:t>
            </w:r>
          </w:p>
        </w:tc>
        <w:tc>
          <w:tcPr>
            <w:tcW w:w="4601" w:type="dxa"/>
            <w:vAlign w:val="center"/>
          </w:tcPr>
          <w:p w14:paraId="509DD066">
            <w:pPr>
              <w:adjustRightInd w:val="0"/>
              <w:snapToGrid w:val="0"/>
              <w:rPr>
                <w:rFonts w:ascii="宋体" w:hAnsi="宋体"/>
                <w:kern w:val="0"/>
                <w:szCs w:val="21"/>
              </w:rPr>
            </w:pPr>
            <w:r>
              <w:rPr>
                <w:rFonts w:hint="eastAsia" w:ascii="宋体" w:hAnsi="宋体"/>
                <w:color w:val="000000"/>
                <w:kern w:val="0"/>
                <w:szCs w:val="21"/>
              </w:rPr>
              <w:t>依据《合同》及其附件（包括但不限于《采购需求》《供应商投标（响应）文件》《投标澄清函》《技术协议》等）约定，通过现场核查、现场测试、供应商应提供《供应商货物类项目完工报告》《产品出厂检测报告》《产品合格证书》《第三方检测报告》（如有）等一种或多种方式进行验收。</w:t>
            </w:r>
          </w:p>
        </w:tc>
      </w:tr>
      <w:tr w14:paraId="1AFC3DD8">
        <w:trPr>
          <w:trHeight w:val="567" w:hRule="atLeast"/>
          <w:jc w:val="center"/>
        </w:trPr>
        <w:tc>
          <w:tcPr>
            <w:tcW w:w="765" w:type="dxa"/>
            <w:vAlign w:val="center"/>
          </w:tcPr>
          <w:p w14:paraId="2081462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4</w:t>
            </w:r>
          </w:p>
        </w:tc>
        <w:tc>
          <w:tcPr>
            <w:tcW w:w="3694" w:type="dxa"/>
            <w:vAlign w:val="center"/>
          </w:tcPr>
          <w:p w14:paraId="1A6C95FE">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培训等合同服务要求完成情况。</w:t>
            </w:r>
          </w:p>
        </w:tc>
        <w:tc>
          <w:tcPr>
            <w:tcW w:w="4601" w:type="dxa"/>
            <w:vAlign w:val="center"/>
          </w:tcPr>
          <w:p w14:paraId="52C2EC9E">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现场核查。供应商须根据合同约定提供《培训视频》影像资料等。</w:t>
            </w:r>
          </w:p>
        </w:tc>
      </w:tr>
      <w:tr w14:paraId="08382BEF">
        <w:trPr>
          <w:trHeight w:val="567" w:hRule="atLeast"/>
          <w:jc w:val="center"/>
        </w:trPr>
        <w:tc>
          <w:tcPr>
            <w:tcW w:w="765" w:type="dxa"/>
            <w:vAlign w:val="center"/>
          </w:tcPr>
          <w:p w14:paraId="59DD5624">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5</w:t>
            </w:r>
          </w:p>
        </w:tc>
        <w:tc>
          <w:tcPr>
            <w:tcW w:w="3694" w:type="dxa"/>
            <w:vAlign w:val="center"/>
          </w:tcPr>
          <w:p w14:paraId="1B3E98A5">
            <w:pPr>
              <w:widowControl/>
              <w:adjustRightInd w:val="0"/>
              <w:snapToGrid w:val="0"/>
              <w:textAlignment w:val="baseline"/>
              <w:rPr>
                <w:rFonts w:ascii="宋体" w:hAnsi="宋体"/>
                <w:color w:val="000000" w:themeColor="text1"/>
                <w:kern w:val="0"/>
                <w:szCs w:val="21"/>
                <w14:textFill>
                  <w14:solidFill>
                    <w14:schemeClr w14:val="tx1"/>
                  </w14:solidFill>
                </w14:textFill>
              </w:rPr>
            </w:pPr>
            <w:r>
              <w:rPr>
                <w:rFonts w:hint="eastAsia" w:ascii="宋体" w:hAnsi="宋体"/>
                <w:color w:val="000000"/>
                <w:kern w:val="0"/>
                <w:szCs w:val="21"/>
              </w:rPr>
              <w:t>验证测试设备的运行稳定性</w:t>
            </w:r>
          </w:p>
        </w:tc>
        <w:tc>
          <w:tcPr>
            <w:tcW w:w="4601" w:type="dxa"/>
            <w:vAlign w:val="center"/>
          </w:tcPr>
          <w:p w14:paraId="4B72A531">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试运行验证测试设备运行稳定达标</w:t>
            </w:r>
          </w:p>
        </w:tc>
      </w:tr>
      <w:tr w14:paraId="66010D9D">
        <w:trPr>
          <w:trHeight w:val="567" w:hRule="atLeast"/>
          <w:jc w:val="center"/>
        </w:trPr>
        <w:tc>
          <w:tcPr>
            <w:tcW w:w="765" w:type="dxa"/>
            <w:vAlign w:val="center"/>
          </w:tcPr>
          <w:p w14:paraId="6DFA2F36">
            <w:pPr>
              <w:widowControl/>
              <w:adjustRightInd w:val="0"/>
              <w:snapToGrid w:val="0"/>
              <w:jc w:val="center"/>
              <w:textAlignment w:val="baseline"/>
              <w:rPr>
                <w:rFonts w:ascii="宋体" w:hAnsi="宋体"/>
                <w:color w:val="000000"/>
                <w:kern w:val="0"/>
                <w:szCs w:val="21"/>
              </w:rPr>
            </w:pPr>
            <w:r>
              <w:rPr>
                <w:rFonts w:ascii="宋体" w:hAnsi="宋体"/>
                <w:color w:val="000000"/>
                <w:kern w:val="0"/>
                <w:szCs w:val="21"/>
              </w:rPr>
              <w:t>6</w:t>
            </w:r>
          </w:p>
        </w:tc>
        <w:tc>
          <w:tcPr>
            <w:tcW w:w="8295" w:type="dxa"/>
            <w:gridSpan w:val="2"/>
            <w:vAlign w:val="center"/>
          </w:tcPr>
          <w:p w14:paraId="31F21E15">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提示：</w:t>
            </w:r>
          </w:p>
          <w:p w14:paraId="3078E206">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1.经费负责人应当按照采购合同及其附件规定的每一项技术、服务、安全标准组织对供应商履约情况进行验收。</w:t>
            </w:r>
          </w:p>
          <w:p w14:paraId="2883C437">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2.《供应商货物类项目完工报告》《项目建设单位货物类项目完工自验收报告》《第三方检测报告》（如有）等与验收相关的材料由经费负责人妥善保管存档。</w:t>
            </w:r>
          </w:p>
          <w:p w14:paraId="620B491F">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3.</w:t>
            </w:r>
            <w:bookmarkStart w:id="6" w:name="OLE_LINK4"/>
            <w:r>
              <w:rPr>
                <w:rFonts w:hint="eastAsia" w:ascii="宋体" w:hAnsi="宋体"/>
                <w:color w:val="000000"/>
                <w:kern w:val="0"/>
                <w:szCs w:val="21"/>
              </w:rPr>
              <w:t>《技术协议》</w:t>
            </w:r>
            <w:bookmarkEnd w:id="6"/>
            <w:r>
              <w:rPr>
                <w:rFonts w:hint="eastAsia" w:ascii="宋体" w:hAnsi="宋体"/>
                <w:color w:val="000000"/>
                <w:kern w:val="0"/>
                <w:szCs w:val="21"/>
              </w:rPr>
              <w:t>作为合同有效组成部分，由经费负责人和供应商应在招标完成后第一时间根据采购招标结果（即《采购需求》、《供应商投标（响应）文件》和《投标澄清函》等文件）签订，其内容应与采购招标结果保持一致。《技术协议》中一般包含配置、数量、价格、功能指标参数、服务承诺等内容。</w:t>
            </w:r>
            <w:r>
              <w:rPr>
                <w:rFonts w:ascii="宋体" w:hAnsi="宋体"/>
                <w:color w:val="000000"/>
                <w:kern w:val="0"/>
                <w:szCs w:val="21"/>
              </w:rPr>
              <w:t xml:space="preserve"> </w:t>
            </w:r>
          </w:p>
        </w:tc>
      </w:tr>
      <w:tr w14:paraId="72FC7F66">
        <w:trPr>
          <w:trHeight w:val="567" w:hRule="atLeast"/>
          <w:jc w:val="center"/>
        </w:trPr>
        <w:tc>
          <w:tcPr>
            <w:tcW w:w="9060" w:type="dxa"/>
            <w:gridSpan w:val="3"/>
            <w:vAlign w:val="center"/>
          </w:tcPr>
          <w:p w14:paraId="51743AB1">
            <w:pPr>
              <w:widowControl/>
              <w:adjustRightInd w:val="0"/>
              <w:snapToGrid w:val="0"/>
              <w:textAlignment w:val="baseline"/>
              <w:rPr>
                <w:rFonts w:ascii="宋体" w:hAnsi="宋体"/>
                <w:color w:val="000000"/>
                <w:kern w:val="0"/>
                <w:szCs w:val="21"/>
              </w:rPr>
            </w:pPr>
            <w:r>
              <w:rPr>
                <w:rFonts w:hint="eastAsia" w:ascii="宋体" w:hAnsi="宋体"/>
                <w:b/>
                <w:color w:val="000000"/>
                <w:kern w:val="0"/>
                <w:szCs w:val="21"/>
              </w:rPr>
              <w:t>学校验收复核要求：</w:t>
            </w:r>
            <w:r>
              <w:rPr>
                <w:rFonts w:hint="eastAsia" w:ascii="宋体" w:hAnsi="宋体"/>
                <w:color w:val="000000"/>
                <w:kern w:val="0"/>
                <w:szCs w:val="21"/>
              </w:rPr>
              <w:t>经费负责人自验收通过后，将《学校采购货物类项目验收复核申请表》《学校采购项目验收报告》《供应商履约情况评价表》《供应商货物类项目完工报告》《项目建设单位货物类项目完工自验收报告》等相关资料，递交学校国资处，由国资处组织专家现场验收复核。</w:t>
            </w:r>
          </w:p>
        </w:tc>
      </w:tr>
      <w:tr w14:paraId="5D456D18">
        <w:trPr>
          <w:trHeight w:val="567" w:hRule="atLeast"/>
          <w:jc w:val="center"/>
        </w:trPr>
        <w:tc>
          <w:tcPr>
            <w:tcW w:w="4459" w:type="dxa"/>
            <w:gridSpan w:val="2"/>
            <w:vAlign w:val="center"/>
          </w:tcPr>
          <w:p w14:paraId="14AE30AD">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验收时是否需要供应商提供样品</w:t>
            </w:r>
          </w:p>
        </w:tc>
        <w:tc>
          <w:tcPr>
            <w:tcW w:w="4601" w:type="dxa"/>
            <w:vAlign w:val="center"/>
          </w:tcPr>
          <w:p w14:paraId="798E259A">
            <w:pPr>
              <w:widowControl/>
              <w:adjustRightInd w:val="0"/>
              <w:snapToGrid w:val="0"/>
              <w:textAlignment w:val="baseline"/>
              <w:rPr>
                <w:rFonts w:ascii="宋体" w:hAnsi="宋体"/>
                <w:color w:val="000000"/>
                <w:kern w:val="0"/>
                <w:szCs w:val="21"/>
              </w:rPr>
            </w:pPr>
            <w:r>
              <w:rPr>
                <w:rFonts w:hint="eastAsia" w:ascii="宋体" w:hAnsi="宋体" w:cs="宋体"/>
                <w:color w:val="000000"/>
                <w:kern w:val="0"/>
                <w:szCs w:val="21"/>
                <w:lang w:eastAsia="zh-CN"/>
              </w:rPr>
              <w:t>□</w:t>
            </w:r>
            <w:r>
              <w:rPr>
                <w:rFonts w:hint="eastAsia" w:ascii="宋体" w:hAnsi="宋体"/>
                <w:color w:val="000000"/>
                <w:kern w:val="0"/>
                <w:szCs w:val="21"/>
              </w:rPr>
              <w:t xml:space="preserve">是 </w:t>
            </w:r>
            <w:r>
              <w:rPr>
                <w:rFonts w:hint="eastAsia" w:ascii="宋体" w:hAnsi="宋体" w:cs="宋体"/>
                <w:color w:val="000000"/>
                <w:kern w:val="0"/>
                <w:szCs w:val="21"/>
                <w:lang w:eastAsia="zh-CN"/>
              </w:rPr>
              <w:t>☑</w:t>
            </w:r>
            <w:r>
              <w:rPr>
                <w:rFonts w:hint="eastAsia" w:ascii="宋体" w:hAnsi="宋体"/>
                <w:color w:val="000000"/>
                <w:kern w:val="0"/>
                <w:szCs w:val="21"/>
              </w:rPr>
              <w:t>否</w:t>
            </w:r>
          </w:p>
        </w:tc>
      </w:tr>
      <w:tr w14:paraId="38BCC809">
        <w:trPr>
          <w:trHeight w:val="567" w:hRule="atLeast"/>
          <w:jc w:val="center"/>
        </w:trPr>
        <w:tc>
          <w:tcPr>
            <w:tcW w:w="4459" w:type="dxa"/>
            <w:gridSpan w:val="2"/>
            <w:vAlign w:val="center"/>
          </w:tcPr>
          <w:p w14:paraId="4B771E24">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验收时是否需供应商提供必要的其他设备</w:t>
            </w:r>
          </w:p>
        </w:tc>
        <w:tc>
          <w:tcPr>
            <w:tcW w:w="4601" w:type="dxa"/>
            <w:vAlign w:val="center"/>
          </w:tcPr>
          <w:p w14:paraId="33CC1E8D">
            <w:pPr>
              <w:widowControl/>
              <w:adjustRightInd w:val="0"/>
              <w:snapToGrid w:val="0"/>
              <w:textAlignment w:val="baseline"/>
              <w:rPr>
                <w:rFonts w:ascii="宋体" w:hAnsi="宋体"/>
                <w:color w:val="000000"/>
                <w:kern w:val="0"/>
                <w:szCs w:val="21"/>
              </w:rPr>
            </w:pPr>
            <w:r>
              <w:rPr>
                <w:rFonts w:hint="eastAsia" w:ascii="宋体" w:hAnsi="宋体" w:cs="宋体"/>
                <w:color w:val="000000"/>
                <w:kern w:val="0"/>
                <w:szCs w:val="21"/>
                <w:lang w:eastAsia="zh-CN"/>
              </w:rPr>
              <w:t>□</w:t>
            </w:r>
            <w:r>
              <w:rPr>
                <w:rFonts w:ascii="宋体" w:hAnsi="宋体"/>
                <w:color w:val="000000"/>
                <w:kern w:val="0"/>
                <w:szCs w:val="21"/>
              </w:rPr>
              <w:t>是</w:t>
            </w:r>
            <w:r>
              <w:rPr>
                <w:rFonts w:hint="eastAsia" w:ascii="宋体" w:hAnsi="宋体"/>
                <w:color w:val="000000"/>
                <w:kern w:val="0"/>
                <w:szCs w:val="21"/>
              </w:rPr>
              <w:t xml:space="preserve"> </w:t>
            </w:r>
            <w:r>
              <w:rPr>
                <w:rFonts w:hint="eastAsia" w:ascii="宋体" w:hAnsi="宋体" w:cs="宋体"/>
                <w:color w:val="000000"/>
                <w:kern w:val="0"/>
                <w:szCs w:val="21"/>
                <w:lang w:eastAsia="zh-CN"/>
              </w:rPr>
              <w:t>☑</w:t>
            </w:r>
            <w:r>
              <w:rPr>
                <w:rFonts w:ascii="宋体" w:hAnsi="宋体"/>
                <w:color w:val="000000"/>
                <w:kern w:val="0"/>
                <w:szCs w:val="21"/>
              </w:rPr>
              <w:t>否</w:t>
            </w:r>
          </w:p>
        </w:tc>
      </w:tr>
      <w:tr w14:paraId="2F5BEAF5">
        <w:trPr>
          <w:trHeight w:val="567" w:hRule="atLeast"/>
          <w:jc w:val="center"/>
        </w:trPr>
        <w:tc>
          <w:tcPr>
            <w:tcW w:w="9060" w:type="dxa"/>
            <w:gridSpan w:val="3"/>
            <w:vAlign w:val="center"/>
          </w:tcPr>
          <w:p w14:paraId="3D52DFAE">
            <w:pPr>
              <w:widowControl/>
              <w:adjustRightInd w:val="0"/>
              <w:snapToGrid w:val="0"/>
              <w:textAlignment w:val="baseline"/>
              <w:rPr>
                <w:rFonts w:ascii="宋体" w:hAnsi="宋体" w:cs="宋体"/>
                <w:color w:val="000000"/>
                <w:kern w:val="0"/>
                <w:szCs w:val="21"/>
              </w:rPr>
            </w:pPr>
            <w:r>
              <w:rPr>
                <w:rFonts w:hint="eastAsia" w:ascii="宋体" w:hAnsi="宋体"/>
                <w:color w:val="000000"/>
                <w:kern w:val="0"/>
                <w:szCs w:val="21"/>
              </w:rPr>
              <w:t>二、</w:t>
            </w:r>
            <w:r>
              <w:rPr>
                <w:rFonts w:hint="eastAsia" w:ascii="宋体" w:hAnsi="宋体"/>
                <w:b/>
                <w:bCs/>
                <w:color w:val="000000"/>
                <w:kern w:val="0"/>
                <w:szCs w:val="21"/>
              </w:rPr>
              <w:t>服务类项目验收要求</w:t>
            </w:r>
          </w:p>
        </w:tc>
      </w:tr>
      <w:tr w14:paraId="753C7F83">
        <w:trPr>
          <w:trHeight w:val="567" w:hRule="atLeast"/>
          <w:jc w:val="center"/>
        </w:trPr>
        <w:tc>
          <w:tcPr>
            <w:tcW w:w="9060" w:type="dxa"/>
            <w:gridSpan w:val="3"/>
            <w:vAlign w:val="center"/>
          </w:tcPr>
          <w:p w14:paraId="74517D30">
            <w:pPr>
              <w:widowControl/>
              <w:adjustRightInd w:val="0"/>
              <w:snapToGrid w:val="0"/>
              <w:textAlignment w:val="baseline"/>
              <w:rPr>
                <w:rFonts w:ascii="宋体" w:hAnsi="宋体" w:cs="宋体"/>
                <w:color w:val="000000"/>
                <w:kern w:val="0"/>
                <w:szCs w:val="21"/>
              </w:rPr>
            </w:pPr>
            <w:r>
              <w:rPr>
                <w:rFonts w:hint="eastAsia" w:ascii="宋体" w:hAnsi="宋体"/>
                <w:b/>
                <w:color w:val="000000"/>
                <w:kern w:val="0"/>
                <w:szCs w:val="21"/>
              </w:rPr>
              <w:t>项目建设单位验收要求：</w:t>
            </w:r>
            <w:bookmarkStart w:id="7" w:name="OLE_LINK35"/>
            <w:r>
              <w:rPr>
                <w:rFonts w:hint="eastAsia" w:ascii="宋体" w:hAnsi="宋体"/>
                <w:szCs w:val="21"/>
              </w:rPr>
              <w:t>根据项目特点对服务期内的服务履约实施情况进行考核，结合考核情况和服务效果进行验收。验收报告须经国资处备案。</w:t>
            </w:r>
            <w:bookmarkEnd w:id="7"/>
          </w:p>
        </w:tc>
      </w:tr>
      <w:tr w14:paraId="45622F2A">
        <w:trPr>
          <w:trHeight w:val="567" w:hRule="atLeast"/>
          <w:jc w:val="center"/>
        </w:trPr>
        <w:tc>
          <w:tcPr>
            <w:tcW w:w="9060" w:type="dxa"/>
            <w:gridSpan w:val="3"/>
            <w:vAlign w:val="center"/>
          </w:tcPr>
          <w:p w14:paraId="2CF4C624">
            <w:pPr>
              <w:widowControl/>
              <w:adjustRightInd w:val="0"/>
              <w:snapToGrid w:val="0"/>
              <w:textAlignment w:val="baseline"/>
              <w:rPr>
                <w:rFonts w:ascii="宋体" w:hAnsi="宋体" w:cs="宋体"/>
                <w:color w:val="000000"/>
                <w:kern w:val="0"/>
                <w:szCs w:val="21"/>
              </w:rPr>
            </w:pPr>
            <w:r>
              <w:rPr>
                <w:rFonts w:hint="eastAsia" w:ascii="宋体" w:hAnsi="宋体"/>
                <w:b/>
                <w:color w:val="000000"/>
                <w:kern w:val="0"/>
                <w:szCs w:val="21"/>
              </w:rPr>
              <w:t>学校验收备案要求：</w:t>
            </w:r>
            <w:r>
              <w:rPr>
                <w:rFonts w:hint="eastAsia" w:ascii="宋体" w:hAnsi="宋体"/>
                <w:bCs/>
                <w:color w:val="000000"/>
                <w:kern w:val="0"/>
                <w:szCs w:val="21"/>
              </w:rPr>
              <w:t>项目单位提供《学校采购服务类项目验收报告》《服务类供应商履约情况评价表》</w:t>
            </w:r>
            <w:r>
              <w:rPr>
                <w:rFonts w:hint="eastAsia" w:ascii="宋体" w:hAnsi="宋体"/>
                <w:szCs w:val="21"/>
              </w:rPr>
              <w:t>。国资处可根据项目情况采用抽查等方式进行复核。</w:t>
            </w:r>
          </w:p>
        </w:tc>
      </w:tr>
      <w:tr w14:paraId="51A8B91B">
        <w:trPr>
          <w:trHeight w:val="567" w:hRule="atLeast"/>
          <w:jc w:val="center"/>
        </w:trPr>
        <w:tc>
          <w:tcPr>
            <w:tcW w:w="9060" w:type="dxa"/>
            <w:gridSpan w:val="3"/>
            <w:vAlign w:val="center"/>
          </w:tcPr>
          <w:p w14:paraId="62B84129">
            <w:pPr>
              <w:widowControl/>
              <w:adjustRightInd w:val="0"/>
              <w:snapToGrid w:val="0"/>
              <w:jc w:val="left"/>
              <w:textAlignment w:val="baseline"/>
              <w:rPr>
                <w:rFonts w:ascii="宋体" w:hAnsi="宋体"/>
                <w:color w:val="000000"/>
                <w:kern w:val="0"/>
                <w:szCs w:val="21"/>
              </w:rPr>
            </w:pPr>
            <w:r>
              <w:rPr>
                <w:rFonts w:hint="eastAsia" w:ascii="宋体" w:hAnsi="宋体"/>
                <w:b/>
                <w:bCs/>
                <w:color w:val="000000"/>
                <w:kern w:val="0"/>
                <w:szCs w:val="21"/>
              </w:rPr>
              <w:t>三、除现场验收外，需提供的其他验收要求</w:t>
            </w:r>
          </w:p>
        </w:tc>
      </w:tr>
      <w:tr w14:paraId="43173668">
        <w:trPr>
          <w:trHeight w:val="567" w:hRule="atLeast"/>
          <w:jc w:val="center"/>
        </w:trPr>
        <w:tc>
          <w:tcPr>
            <w:tcW w:w="4459" w:type="dxa"/>
            <w:gridSpan w:val="2"/>
            <w:vAlign w:val="center"/>
          </w:tcPr>
          <w:p w14:paraId="50D21A46">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验收时是否</w:t>
            </w:r>
            <w:r>
              <w:rPr>
                <w:rFonts w:ascii="宋体" w:hAnsi="宋体"/>
                <w:color w:val="000000"/>
                <w:kern w:val="0"/>
                <w:szCs w:val="21"/>
              </w:rPr>
              <w:t>需提供第三方检测报告</w:t>
            </w:r>
          </w:p>
        </w:tc>
        <w:tc>
          <w:tcPr>
            <w:tcW w:w="4601" w:type="dxa"/>
            <w:vAlign w:val="center"/>
          </w:tcPr>
          <w:p w14:paraId="2746C4A0">
            <w:pPr>
              <w:widowControl/>
              <w:adjustRightInd w:val="0"/>
              <w:snapToGrid w:val="0"/>
              <w:textAlignment w:val="baseline"/>
              <w:rPr>
                <w:rFonts w:ascii="宋体" w:hAnsi="宋体" w:cs="宋体"/>
                <w:color w:val="000000"/>
                <w:kern w:val="0"/>
                <w:szCs w:val="21"/>
              </w:rPr>
            </w:pPr>
          </w:p>
          <w:p w14:paraId="60F1F5C1">
            <w:pPr>
              <w:widowControl/>
              <w:adjustRightInd w:val="0"/>
              <w:snapToGrid w:val="0"/>
              <w:textAlignment w:val="baseline"/>
              <w:rPr>
                <w:rFonts w:ascii="宋体" w:hAnsi="宋体"/>
                <w:color w:val="000000"/>
                <w:kern w:val="0"/>
                <w:szCs w:val="21"/>
              </w:rPr>
            </w:pPr>
            <w:r>
              <w:rPr>
                <w:rFonts w:hint="eastAsia" w:ascii="宋体" w:hAnsi="宋体" w:cs="宋体"/>
                <w:color w:val="000000"/>
                <w:kern w:val="0"/>
                <w:szCs w:val="21"/>
              </w:rPr>
              <w:t>□</w:t>
            </w:r>
            <w:r>
              <w:rPr>
                <w:rFonts w:ascii="宋体" w:hAnsi="宋体"/>
                <w:color w:val="000000"/>
                <w:kern w:val="0"/>
                <w:szCs w:val="21"/>
              </w:rPr>
              <w:t>是</w:t>
            </w:r>
            <w:r>
              <w:rPr>
                <w:rFonts w:hint="eastAsia" w:ascii="宋体" w:hAnsi="宋体"/>
                <w:color w:val="000000"/>
                <w:kern w:val="0"/>
                <w:szCs w:val="21"/>
              </w:rPr>
              <w:t xml:space="preserve"> </w:t>
            </w:r>
            <w:r>
              <w:rPr>
                <w:rFonts w:hint="eastAsia" w:ascii="宋体" w:hAnsi="宋体" w:cs="宋体"/>
                <w:color w:val="000000"/>
                <w:kern w:val="0"/>
                <w:szCs w:val="21"/>
                <w:lang w:eastAsia="zh-CN"/>
              </w:rPr>
              <w:t>☑</w:t>
            </w:r>
            <w:r>
              <w:rPr>
                <w:rFonts w:ascii="宋体" w:hAnsi="宋体"/>
                <w:color w:val="000000"/>
                <w:kern w:val="0"/>
                <w:szCs w:val="21"/>
              </w:rPr>
              <w:t>否</w:t>
            </w:r>
          </w:p>
          <w:p w14:paraId="3D6DDFD4">
            <w:pPr>
              <w:widowControl/>
              <w:adjustRightInd w:val="0"/>
              <w:snapToGrid w:val="0"/>
              <w:textAlignment w:val="baseline"/>
              <w:rPr>
                <w:rFonts w:ascii="宋体" w:hAnsi="宋体"/>
                <w:color w:val="000000"/>
                <w:kern w:val="0"/>
                <w:szCs w:val="21"/>
              </w:rPr>
            </w:pPr>
          </w:p>
          <w:p w14:paraId="3B30A560">
            <w:pPr>
              <w:widowControl/>
              <w:adjustRightInd w:val="0"/>
              <w:snapToGrid w:val="0"/>
              <w:textAlignment w:val="baseline"/>
              <w:rPr>
                <w:rFonts w:ascii="宋体" w:hAnsi="宋体"/>
                <w:color w:val="000000"/>
                <w:kern w:val="0"/>
                <w:szCs w:val="21"/>
              </w:rPr>
            </w:pPr>
            <w:r>
              <w:rPr>
                <w:rFonts w:hint="eastAsia" w:ascii="宋体" w:hAnsi="宋体"/>
                <w:color w:val="000000"/>
                <w:kern w:val="0"/>
                <w:szCs w:val="21"/>
              </w:rPr>
              <w:t>如需提供第三方检测报告，需满足下列要求：</w:t>
            </w:r>
          </w:p>
          <w:p w14:paraId="54453A27">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对于检测机构的要求：国家正规检测机构，出具的检测报告由验收复核专家认可之后作为验收复核通过的主要依据。</w:t>
            </w:r>
          </w:p>
          <w:p w14:paraId="7ED4C1AE">
            <w:pPr>
              <w:widowControl/>
              <w:adjustRightInd w:val="0"/>
              <w:snapToGrid w:val="0"/>
              <w:textAlignment w:val="baseline"/>
              <w:rPr>
                <w:rFonts w:ascii="宋体" w:hAnsi="宋体"/>
                <w:color w:val="000000"/>
                <w:kern w:val="0"/>
                <w:szCs w:val="21"/>
              </w:rPr>
            </w:pPr>
            <w:r>
              <w:rPr>
                <w:rFonts w:ascii="宋体" w:hAnsi="宋体"/>
                <w:color w:val="000000"/>
                <w:kern w:val="0"/>
                <w:szCs w:val="21"/>
              </w:rPr>
              <w:t>对于检测执行标准的要求：各项检测项目标准以检测机构按照行业相关要求最新适用并执行的标准为准。</w:t>
            </w:r>
          </w:p>
        </w:tc>
      </w:tr>
      <w:bookmarkEnd w:id="5"/>
    </w:tbl>
    <w:p w14:paraId="2DDD6AE2">
      <w:pPr>
        <w:adjustRightInd w:val="0"/>
        <w:snapToGrid w:val="0"/>
        <w:spacing w:line="360" w:lineRule="auto"/>
        <w:ind w:firstLine="440" w:firstLineChars="200"/>
        <w:rPr>
          <w:rFonts w:ascii="楷体" w:hAnsi="楷体" w:eastAsia="楷体"/>
          <w:color w:val="FF0000"/>
          <w:sz w:val="22"/>
          <w:szCs w:val="22"/>
        </w:rPr>
      </w:pPr>
      <w:r>
        <w:rPr>
          <w:rFonts w:hint="eastAsia" w:ascii="楷体" w:hAnsi="楷体" w:eastAsia="楷体"/>
          <w:color w:val="FF0000"/>
          <w:sz w:val="22"/>
          <w:szCs w:val="22"/>
        </w:rPr>
        <w:t>【验收标准填写说明：1.如有其他的要求还可根据实际情况补充。</w:t>
      </w:r>
      <w:r>
        <w:rPr>
          <w:rFonts w:hint="eastAsia" w:ascii="楷体" w:hAnsi="楷体" w:eastAsia="楷体"/>
          <w:b/>
          <w:bCs/>
          <w:color w:val="FF0000"/>
          <w:sz w:val="22"/>
          <w:szCs w:val="22"/>
        </w:rPr>
        <w:t>2.项目单位提出按照约定指标进行验收的</w:t>
      </w:r>
      <w:bookmarkStart w:id="8" w:name="OLE_LINK7"/>
      <w:r>
        <w:rPr>
          <w:rFonts w:hint="eastAsia" w:ascii="楷体" w:hAnsi="楷体" w:eastAsia="楷体"/>
          <w:b/>
          <w:bCs/>
          <w:color w:val="FF0000"/>
          <w:sz w:val="22"/>
          <w:szCs w:val="22"/>
        </w:rPr>
        <w:t>，可以单独编写验收标准，经专家论证后作为验收依据。</w:t>
      </w:r>
      <w:bookmarkEnd w:id="8"/>
      <w:r>
        <w:rPr>
          <w:rFonts w:hint="eastAsia" w:ascii="楷体" w:hAnsi="楷体" w:eastAsia="楷体"/>
          <w:color w:val="FF0000"/>
          <w:sz w:val="22"/>
          <w:szCs w:val="22"/>
        </w:rPr>
        <w:t>】</w:t>
      </w:r>
    </w:p>
    <w:p w14:paraId="38F80FC0">
      <w:pPr>
        <w:adjustRightInd w:val="0"/>
        <w:snapToGrid w:val="0"/>
        <w:spacing w:line="360" w:lineRule="auto"/>
        <w:ind w:firstLine="440" w:firstLineChars="200"/>
        <w:rPr>
          <w:rFonts w:ascii="楷体" w:hAnsi="楷体" w:eastAsia="楷体"/>
          <w:color w:val="FF0000"/>
          <w:sz w:val="22"/>
          <w:szCs w:val="22"/>
        </w:rPr>
      </w:pPr>
    </w:p>
    <w:p w14:paraId="35F239AF">
      <w:pPr>
        <w:adjustRightInd w:val="0"/>
        <w:snapToGrid w:val="0"/>
        <w:spacing w:line="360" w:lineRule="auto"/>
        <w:ind w:firstLine="440" w:firstLineChars="200"/>
        <w:rPr>
          <w:rFonts w:ascii="楷体" w:hAnsi="楷体" w:eastAsia="楷体"/>
          <w:color w:val="FF0000"/>
          <w:sz w:val="22"/>
          <w:szCs w:val="22"/>
        </w:rPr>
      </w:pPr>
    </w:p>
    <w:p w14:paraId="793C7502">
      <w:pPr>
        <w:adjustRightInd w:val="0"/>
        <w:snapToGrid w:val="0"/>
        <w:spacing w:line="360" w:lineRule="auto"/>
        <w:ind w:firstLine="420" w:firstLineChars="200"/>
      </w:pPr>
    </w:p>
    <w:sectPr>
      <w:footerReference r:id="rId3" w:type="default"/>
      <w:pgSz w:w="11906" w:h="16838"/>
      <w:pgMar w:top="1871" w:right="1418" w:bottom="1588"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Cambria">
    <w:altName w:val="苹方-简"/>
    <w:panose1 w:val="02040503050406030204"/>
    <w:charset w:val="00"/>
    <w:family w:val="roman"/>
    <w:pitch w:val="default"/>
    <w:sig w:usb0="00000000" w:usb1="00000000" w:usb2="02000000" w:usb3="00000000" w:csb0="0000019F" w:csb1="00000000"/>
  </w:font>
  <w:font w:name="苹方-简">
    <w:panose1 w:val="020B0400000000000000"/>
    <w:charset w:val="86"/>
    <w:family w:val="auto"/>
    <w:pitch w:val="default"/>
    <w:sig w:usb0="A00002FF" w:usb1="7ACFFDFB" w:usb2="00000017" w:usb3="00000000" w:csb0="00040001"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方正小标宋简体">
    <w:panose1 w:val="02000000000000000000"/>
    <w:charset w:val="86"/>
    <w:family w:val="script"/>
    <w:pitch w:val="default"/>
    <w:sig w:usb0="00000001" w:usb1="0800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Arial Unicode MS">
    <w:panose1 w:val="020B0604020202020204"/>
    <w:charset w:val="86"/>
    <w:family w:val="auto"/>
    <w:pitch w:val="default"/>
    <w:sig w:usb0="FFFFFFFF" w:usb1="E9FFFFFF" w:usb2="0000003F" w:usb3="00000000" w:csb0="603F01FF" w:csb1="FFFF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DA28B">
    <w:pPr>
      <w:pStyle w:val="5"/>
      <w:jc w:val="center"/>
    </w:pPr>
    <w:r>
      <w:fldChar w:fldCharType="begin"/>
    </w:r>
    <w:r>
      <w:instrText xml:space="preserve">PAGE   \* MERGEFORMAT</w:instrText>
    </w:r>
    <w:r>
      <w:fldChar w:fldCharType="separate"/>
    </w:r>
    <w:r>
      <w:rPr>
        <w:lang w:val="zh-CN"/>
      </w:rPr>
      <w:t>5</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1FC"/>
    <w:rsid w:val="00000ADB"/>
    <w:rsid w:val="000045B7"/>
    <w:rsid w:val="0000609F"/>
    <w:rsid w:val="00012B28"/>
    <w:rsid w:val="000170BA"/>
    <w:rsid w:val="00017928"/>
    <w:rsid w:val="00017C9A"/>
    <w:rsid w:val="000345B6"/>
    <w:rsid w:val="00037EB6"/>
    <w:rsid w:val="0004707F"/>
    <w:rsid w:val="000578DF"/>
    <w:rsid w:val="00060610"/>
    <w:rsid w:val="00063B9E"/>
    <w:rsid w:val="000816A4"/>
    <w:rsid w:val="00090056"/>
    <w:rsid w:val="00092B2E"/>
    <w:rsid w:val="00094C16"/>
    <w:rsid w:val="000A209A"/>
    <w:rsid w:val="000A21C5"/>
    <w:rsid w:val="000A57A8"/>
    <w:rsid w:val="000B5F74"/>
    <w:rsid w:val="000C588B"/>
    <w:rsid w:val="000C5FD7"/>
    <w:rsid w:val="000D1438"/>
    <w:rsid w:val="000E50F5"/>
    <w:rsid w:val="000F1FA8"/>
    <w:rsid w:val="000F2A29"/>
    <w:rsid w:val="00102045"/>
    <w:rsid w:val="00105428"/>
    <w:rsid w:val="001118D9"/>
    <w:rsid w:val="0011348A"/>
    <w:rsid w:val="00121267"/>
    <w:rsid w:val="001218F7"/>
    <w:rsid w:val="00121B7F"/>
    <w:rsid w:val="001262EF"/>
    <w:rsid w:val="0012727F"/>
    <w:rsid w:val="0013226A"/>
    <w:rsid w:val="00134751"/>
    <w:rsid w:val="00140AF0"/>
    <w:rsid w:val="00140C41"/>
    <w:rsid w:val="00141299"/>
    <w:rsid w:val="0014178C"/>
    <w:rsid w:val="001507CE"/>
    <w:rsid w:val="00150952"/>
    <w:rsid w:val="00150BB2"/>
    <w:rsid w:val="0015496B"/>
    <w:rsid w:val="00157667"/>
    <w:rsid w:val="001609FC"/>
    <w:rsid w:val="00162A76"/>
    <w:rsid w:val="00163196"/>
    <w:rsid w:val="00176534"/>
    <w:rsid w:val="00177BD4"/>
    <w:rsid w:val="0018461B"/>
    <w:rsid w:val="00192B6A"/>
    <w:rsid w:val="001B03C0"/>
    <w:rsid w:val="001B0A84"/>
    <w:rsid w:val="001B1B91"/>
    <w:rsid w:val="001B38ED"/>
    <w:rsid w:val="001B712C"/>
    <w:rsid w:val="001C0880"/>
    <w:rsid w:val="001C19BA"/>
    <w:rsid w:val="001C3356"/>
    <w:rsid w:val="001C3D78"/>
    <w:rsid w:val="001C41C3"/>
    <w:rsid w:val="001C5915"/>
    <w:rsid w:val="001C7C84"/>
    <w:rsid w:val="001E0980"/>
    <w:rsid w:val="001E1FDF"/>
    <w:rsid w:val="001E5B8B"/>
    <w:rsid w:val="001F2F73"/>
    <w:rsid w:val="0021026B"/>
    <w:rsid w:val="00214F3E"/>
    <w:rsid w:val="002204EA"/>
    <w:rsid w:val="002262A0"/>
    <w:rsid w:val="00230B96"/>
    <w:rsid w:val="00233C66"/>
    <w:rsid w:val="00237253"/>
    <w:rsid w:val="002440C5"/>
    <w:rsid w:val="00244594"/>
    <w:rsid w:val="00244A77"/>
    <w:rsid w:val="00245208"/>
    <w:rsid w:val="002501FD"/>
    <w:rsid w:val="002529C7"/>
    <w:rsid w:val="00255503"/>
    <w:rsid w:val="00255550"/>
    <w:rsid w:val="002569F5"/>
    <w:rsid w:val="00264031"/>
    <w:rsid w:val="0027521E"/>
    <w:rsid w:val="00277679"/>
    <w:rsid w:val="00280353"/>
    <w:rsid w:val="002815C8"/>
    <w:rsid w:val="002878EA"/>
    <w:rsid w:val="00290359"/>
    <w:rsid w:val="00293B6E"/>
    <w:rsid w:val="00297819"/>
    <w:rsid w:val="002A4902"/>
    <w:rsid w:val="002A6571"/>
    <w:rsid w:val="002B287A"/>
    <w:rsid w:val="002B3A1B"/>
    <w:rsid w:val="002C0CC3"/>
    <w:rsid w:val="002C1D63"/>
    <w:rsid w:val="002C7863"/>
    <w:rsid w:val="002D06B9"/>
    <w:rsid w:val="002D68DE"/>
    <w:rsid w:val="002D7991"/>
    <w:rsid w:val="002D7EBC"/>
    <w:rsid w:val="002E1EFE"/>
    <w:rsid w:val="002F0BEB"/>
    <w:rsid w:val="00300CA8"/>
    <w:rsid w:val="003027D7"/>
    <w:rsid w:val="00303423"/>
    <w:rsid w:val="00305D95"/>
    <w:rsid w:val="00306DA8"/>
    <w:rsid w:val="003078A0"/>
    <w:rsid w:val="00310E17"/>
    <w:rsid w:val="003113D4"/>
    <w:rsid w:val="00311594"/>
    <w:rsid w:val="0031502A"/>
    <w:rsid w:val="00323357"/>
    <w:rsid w:val="003243F0"/>
    <w:rsid w:val="00327213"/>
    <w:rsid w:val="0033313D"/>
    <w:rsid w:val="003458D7"/>
    <w:rsid w:val="00345D8D"/>
    <w:rsid w:val="00351AB0"/>
    <w:rsid w:val="00353168"/>
    <w:rsid w:val="00353C03"/>
    <w:rsid w:val="00353EC3"/>
    <w:rsid w:val="00361390"/>
    <w:rsid w:val="0036352F"/>
    <w:rsid w:val="003649AF"/>
    <w:rsid w:val="00365116"/>
    <w:rsid w:val="00371949"/>
    <w:rsid w:val="00375975"/>
    <w:rsid w:val="0037638F"/>
    <w:rsid w:val="00381C4A"/>
    <w:rsid w:val="00390F4C"/>
    <w:rsid w:val="003A243E"/>
    <w:rsid w:val="003B1B61"/>
    <w:rsid w:val="003B4712"/>
    <w:rsid w:val="003C207F"/>
    <w:rsid w:val="003C277F"/>
    <w:rsid w:val="003D06DB"/>
    <w:rsid w:val="003D4AEF"/>
    <w:rsid w:val="003E4113"/>
    <w:rsid w:val="003E4FDA"/>
    <w:rsid w:val="003E5394"/>
    <w:rsid w:val="003E675E"/>
    <w:rsid w:val="003F1D71"/>
    <w:rsid w:val="003F341A"/>
    <w:rsid w:val="003F37A4"/>
    <w:rsid w:val="003F4F91"/>
    <w:rsid w:val="003F5577"/>
    <w:rsid w:val="003F57FA"/>
    <w:rsid w:val="003F7CB0"/>
    <w:rsid w:val="003F7E54"/>
    <w:rsid w:val="00400968"/>
    <w:rsid w:val="00406295"/>
    <w:rsid w:val="00410B1E"/>
    <w:rsid w:val="004151CD"/>
    <w:rsid w:val="00415A37"/>
    <w:rsid w:val="00426CB3"/>
    <w:rsid w:val="00436B73"/>
    <w:rsid w:val="004374DA"/>
    <w:rsid w:val="00440EDB"/>
    <w:rsid w:val="00442A4D"/>
    <w:rsid w:val="00453832"/>
    <w:rsid w:val="00455ED6"/>
    <w:rsid w:val="004712B7"/>
    <w:rsid w:val="0048154C"/>
    <w:rsid w:val="00481EE9"/>
    <w:rsid w:val="00490D0E"/>
    <w:rsid w:val="00491E5A"/>
    <w:rsid w:val="00492DD3"/>
    <w:rsid w:val="004951D7"/>
    <w:rsid w:val="00495B30"/>
    <w:rsid w:val="004A43F0"/>
    <w:rsid w:val="004A69FE"/>
    <w:rsid w:val="004B3DFE"/>
    <w:rsid w:val="004C0EDE"/>
    <w:rsid w:val="004C6E57"/>
    <w:rsid w:val="004D47EE"/>
    <w:rsid w:val="004D7FAC"/>
    <w:rsid w:val="004E36C2"/>
    <w:rsid w:val="004E4B14"/>
    <w:rsid w:val="004F27FB"/>
    <w:rsid w:val="00501176"/>
    <w:rsid w:val="00501E8E"/>
    <w:rsid w:val="0051081D"/>
    <w:rsid w:val="00510891"/>
    <w:rsid w:val="0051141F"/>
    <w:rsid w:val="00524AB7"/>
    <w:rsid w:val="0052535A"/>
    <w:rsid w:val="005307ED"/>
    <w:rsid w:val="0053111A"/>
    <w:rsid w:val="00537D96"/>
    <w:rsid w:val="00544653"/>
    <w:rsid w:val="00545874"/>
    <w:rsid w:val="00551F52"/>
    <w:rsid w:val="00555D36"/>
    <w:rsid w:val="00557A2C"/>
    <w:rsid w:val="00557F71"/>
    <w:rsid w:val="00562C62"/>
    <w:rsid w:val="00562FB7"/>
    <w:rsid w:val="005633CE"/>
    <w:rsid w:val="00571ADE"/>
    <w:rsid w:val="00572CCF"/>
    <w:rsid w:val="005732C7"/>
    <w:rsid w:val="005737B7"/>
    <w:rsid w:val="00575012"/>
    <w:rsid w:val="005774B1"/>
    <w:rsid w:val="00582A16"/>
    <w:rsid w:val="005853E9"/>
    <w:rsid w:val="00585AD7"/>
    <w:rsid w:val="00586153"/>
    <w:rsid w:val="0059304A"/>
    <w:rsid w:val="005951EF"/>
    <w:rsid w:val="005B02D0"/>
    <w:rsid w:val="005B0AC7"/>
    <w:rsid w:val="005B317C"/>
    <w:rsid w:val="005B5B9E"/>
    <w:rsid w:val="005B62C9"/>
    <w:rsid w:val="005B698D"/>
    <w:rsid w:val="005B6A13"/>
    <w:rsid w:val="005C3DA0"/>
    <w:rsid w:val="005D1A12"/>
    <w:rsid w:val="005E0008"/>
    <w:rsid w:val="005E373A"/>
    <w:rsid w:val="005E6A0A"/>
    <w:rsid w:val="005E7748"/>
    <w:rsid w:val="005E7C85"/>
    <w:rsid w:val="005F06FA"/>
    <w:rsid w:val="005F1571"/>
    <w:rsid w:val="005F26A4"/>
    <w:rsid w:val="005F271F"/>
    <w:rsid w:val="005F3727"/>
    <w:rsid w:val="005F401F"/>
    <w:rsid w:val="0060360E"/>
    <w:rsid w:val="00605B14"/>
    <w:rsid w:val="00611202"/>
    <w:rsid w:val="00611E61"/>
    <w:rsid w:val="006139E7"/>
    <w:rsid w:val="00620197"/>
    <w:rsid w:val="00620652"/>
    <w:rsid w:val="006237BE"/>
    <w:rsid w:val="00634FF1"/>
    <w:rsid w:val="00636F27"/>
    <w:rsid w:val="00640733"/>
    <w:rsid w:val="00642B2A"/>
    <w:rsid w:val="0064334B"/>
    <w:rsid w:val="00643D51"/>
    <w:rsid w:val="006538FB"/>
    <w:rsid w:val="006706FD"/>
    <w:rsid w:val="006772FA"/>
    <w:rsid w:val="00681FDD"/>
    <w:rsid w:val="006873DB"/>
    <w:rsid w:val="006878E9"/>
    <w:rsid w:val="006A6A2F"/>
    <w:rsid w:val="006C2706"/>
    <w:rsid w:val="006C2918"/>
    <w:rsid w:val="006C4154"/>
    <w:rsid w:val="006C511C"/>
    <w:rsid w:val="006C687D"/>
    <w:rsid w:val="006C782C"/>
    <w:rsid w:val="006D095D"/>
    <w:rsid w:val="006D2C2D"/>
    <w:rsid w:val="006D3A11"/>
    <w:rsid w:val="006E1E8B"/>
    <w:rsid w:val="006E330A"/>
    <w:rsid w:val="006F3B7B"/>
    <w:rsid w:val="006F5B28"/>
    <w:rsid w:val="006F5E53"/>
    <w:rsid w:val="006F7061"/>
    <w:rsid w:val="007011DF"/>
    <w:rsid w:val="00703AC6"/>
    <w:rsid w:val="00710AA5"/>
    <w:rsid w:val="00711E56"/>
    <w:rsid w:val="007132C5"/>
    <w:rsid w:val="00715B3F"/>
    <w:rsid w:val="0071642D"/>
    <w:rsid w:val="00717C94"/>
    <w:rsid w:val="00721306"/>
    <w:rsid w:val="007234E0"/>
    <w:rsid w:val="00725D8A"/>
    <w:rsid w:val="00727C0A"/>
    <w:rsid w:val="00730287"/>
    <w:rsid w:val="007369E1"/>
    <w:rsid w:val="0074203F"/>
    <w:rsid w:val="007435CD"/>
    <w:rsid w:val="007437CA"/>
    <w:rsid w:val="00746CF7"/>
    <w:rsid w:val="007554BB"/>
    <w:rsid w:val="00755FDD"/>
    <w:rsid w:val="0075752D"/>
    <w:rsid w:val="00760039"/>
    <w:rsid w:val="00763273"/>
    <w:rsid w:val="0076501A"/>
    <w:rsid w:val="00770F4F"/>
    <w:rsid w:val="007803AD"/>
    <w:rsid w:val="007839AE"/>
    <w:rsid w:val="00785146"/>
    <w:rsid w:val="00791CD0"/>
    <w:rsid w:val="007A059E"/>
    <w:rsid w:val="007A41C0"/>
    <w:rsid w:val="007A5A82"/>
    <w:rsid w:val="007A5DE1"/>
    <w:rsid w:val="007A7B4C"/>
    <w:rsid w:val="007B0025"/>
    <w:rsid w:val="007B0FEB"/>
    <w:rsid w:val="007B4412"/>
    <w:rsid w:val="007C7E7D"/>
    <w:rsid w:val="007D270D"/>
    <w:rsid w:val="007D2C32"/>
    <w:rsid w:val="007D423E"/>
    <w:rsid w:val="007D4F3E"/>
    <w:rsid w:val="007D72DA"/>
    <w:rsid w:val="007D7B8D"/>
    <w:rsid w:val="007E1C48"/>
    <w:rsid w:val="007E62AE"/>
    <w:rsid w:val="007E73EB"/>
    <w:rsid w:val="007F1338"/>
    <w:rsid w:val="007F2546"/>
    <w:rsid w:val="007F4BD9"/>
    <w:rsid w:val="007F4C10"/>
    <w:rsid w:val="007F5C59"/>
    <w:rsid w:val="00800E12"/>
    <w:rsid w:val="00801053"/>
    <w:rsid w:val="0080610F"/>
    <w:rsid w:val="00810968"/>
    <w:rsid w:val="00811918"/>
    <w:rsid w:val="008153D5"/>
    <w:rsid w:val="00823CA9"/>
    <w:rsid w:val="00824562"/>
    <w:rsid w:val="00825F4C"/>
    <w:rsid w:val="00831869"/>
    <w:rsid w:val="00833A4F"/>
    <w:rsid w:val="00834FF0"/>
    <w:rsid w:val="0083650B"/>
    <w:rsid w:val="008403A0"/>
    <w:rsid w:val="0084652E"/>
    <w:rsid w:val="00846FC6"/>
    <w:rsid w:val="00847A0B"/>
    <w:rsid w:val="00860344"/>
    <w:rsid w:val="00860346"/>
    <w:rsid w:val="008627C7"/>
    <w:rsid w:val="008635D7"/>
    <w:rsid w:val="00870113"/>
    <w:rsid w:val="00873F09"/>
    <w:rsid w:val="008775E2"/>
    <w:rsid w:val="00881F75"/>
    <w:rsid w:val="008875CA"/>
    <w:rsid w:val="0089621F"/>
    <w:rsid w:val="008A7248"/>
    <w:rsid w:val="008B21EB"/>
    <w:rsid w:val="008B5DBC"/>
    <w:rsid w:val="008C0BE7"/>
    <w:rsid w:val="008C49D1"/>
    <w:rsid w:val="008C7368"/>
    <w:rsid w:val="008D094B"/>
    <w:rsid w:val="008D11A7"/>
    <w:rsid w:val="008D17DD"/>
    <w:rsid w:val="008D4186"/>
    <w:rsid w:val="008D5F08"/>
    <w:rsid w:val="008E111B"/>
    <w:rsid w:val="008E38CF"/>
    <w:rsid w:val="008E5DAA"/>
    <w:rsid w:val="008E5F1D"/>
    <w:rsid w:val="008E6FAC"/>
    <w:rsid w:val="008F2ED3"/>
    <w:rsid w:val="008F3C13"/>
    <w:rsid w:val="008F6AEC"/>
    <w:rsid w:val="00902581"/>
    <w:rsid w:val="00912013"/>
    <w:rsid w:val="00915D65"/>
    <w:rsid w:val="00925E61"/>
    <w:rsid w:val="0092649F"/>
    <w:rsid w:val="0093090F"/>
    <w:rsid w:val="00946EF5"/>
    <w:rsid w:val="0095685D"/>
    <w:rsid w:val="0095718B"/>
    <w:rsid w:val="009604BB"/>
    <w:rsid w:val="009618B7"/>
    <w:rsid w:val="00962CDE"/>
    <w:rsid w:val="0099177F"/>
    <w:rsid w:val="00992532"/>
    <w:rsid w:val="00995789"/>
    <w:rsid w:val="009A7391"/>
    <w:rsid w:val="009B2EF0"/>
    <w:rsid w:val="009B3732"/>
    <w:rsid w:val="009B4C25"/>
    <w:rsid w:val="009B628C"/>
    <w:rsid w:val="009C2163"/>
    <w:rsid w:val="009C257D"/>
    <w:rsid w:val="009C3957"/>
    <w:rsid w:val="009C5FCD"/>
    <w:rsid w:val="009D18B6"/>
    <w:rsid w:val="009D2D9F"/>
    <w:rsid w:val="009D33C2"/>
    <w:rsid w:val="009D3518"/>
    <w:rsid w:val="009E0F69"/>
    <w:rsid w:val="009F0011"/>
    <w:rsid w:val="009F206D"/>
    <w:rsid w:val="009F3B77"/>
    <w:rsid w:val="009F66DE"/>
    <w:rsid w:val="009F6CAB"/>
    <w:rsid w:val="009F7A2C"/>
    <w:rsid w:val="00A01710"/>
    <w:rsid w:val="00A047F0"/>
    <w:rsid w:val="00A14ED7"/>
    <w:rsid w:val="00A161FC"/>
    <w:rsid w:val="00A2430D"/>
    <w:rsid w:val="00A30C68"/>
    <w:rsid w:val="00A4094F"/>
    <w:rsid w:val="00A500A4"/>
    <w:rsid w:val="00A61746"/>
    <w:rsid w:val="00A63300"/>
    <w:rsid w:val="00A701AE"/>
    <w:rsid w:val="00A7512D"/>
    <w:rsid w:val="00A75C48"/>
    <w:rsid w:val="00A75D88"/>
    <w:rsid w:val="00A765E9"/>
    <w:rsid w:val="00A76D9E"/>
    <w:rsid w:val="00A865ED"/>
    <w:rsid w:val="00A86C18"/>
    <w:rsid w:val="00A93FD2"/>
    <w:rsid w:val="00AA1A80"/>
    <w:rsid w:val="00AA2AC3"/>
    <w:rsid w:val="00AB4712"/>
    <w:rsid w:val="00AB48E9"/>
    <w:rsid w:val="00AC005D"/>
    <w:rsid w:val="00AC2EB1"/>
    <w:rsid w:val="00AC6F95"/>
    <w:rsid w:val="00AD4C30"/>
    <w:rsid w:val="00AD6EAD"/>
    <w:rsid w:val="00AE18CF"/>
    <w:rsid w:val="00AE1AFA"/>
    <w:rsid w:val="00AE67A6"/>
    <w:rsid w:val="00AF7468"/>
    <w:rsid w:val="00B015CE"/>
    <w:rsid w:val="00B01FBC"/>
    <w:rsid w:val="00B03658"/>
    <w:rsid w:val="00B04427"/>
    <w:rsid w:val="00B0779B"/>
    <w:rsid w:val="00B149B5"/>
    <w:rsid w:val="00B151BE"/>
    <w:rsid w:val="00B209E9"/>
    <w:rsid w:val="00B236CB"/>
    <w:rsid w:val="00B30D51"/>
    <w:rsid w:val="00B33451"/>
    <w:rsid w:val="00B33F63"/>
    <w:rsid w:val="00B35632"/>
    <w:rsid w:val="00B43698"/>
    <w:rsid w:val="00B4481B"/>
    <w:rsid w:val="00B4710C"/>
    <w:rsid w:val="00B47D50"/>
    <w:rsid w:val="00B7018C"/>
    <w:rsid w:val="00B7019E"/>
    <w:rsid w:val="00B7185F"/>
    <w:rsid w:val="00B72BD6"/>
    <w:rsid w:val="00B869C6"/>
    <w:rsid w:val="00B87CB4"/>
    <w:rsid w:val="00B91989"/>
    <w:rsid w:val="00B94A57"/>
    <w:rsid w:val="00B97895"/>
    <w:rsid w:val="00BA115A"/>
    <w:rsid w:val="00BA1466"/>
    <w:rsid w:val="00BA15B5"/>
    <w:rsid w:val="00BA359E"/>
    <w:rsid w:val="00BA6CF4"/>
    <w:rsid w:val="00BB03C1"/>
    <w:rsid w:val="00BB2053"/>
    <w:rsid w:val="00BB469B"/>
    <w:rsid w:val="00BB7A38"/>
    <w:rsid w:val="00BC04A3"/>
    <w:rsid w:val="00BC3D86"/>
    <w:rsid w:val="00BC7870"/>
    <w:rsid w:val="00BD0727"/>
    <w:rsid w:val="00BD11BC"/>
    <w:rsid w:val="00BD305E"/>
    <w:rsid w:val="00BE04B2"/>
    <w:rsid w:val="00BE12E8"/>
    <w:rsid w:val="00BE1EF1"/>
    <w:rsid w:val="00BE5444"/>
    <w:rsid w:val="00BF1C8F"/>
    <w:rsid w:val="00BF7E50"/>
    <w:rsid w:val="00C1098B"/>
    <w:rsid w:val="00C10C07"/>
    <w:rsid w:val="00C10F61"/>
    <w:rsid w:val="00C15054"/>
    <w:rsid w:val="00C163BC"/>
    <w:rsid w:val="00C23258"/>
    <w:rsid w:val="00C27434"/>
    <w:rsid w:val="00C32ADD"/>
    <w:rsid w:val="00C34505"/>
    <w:rsid w:val="00C35B3B"/>
    <w:rsid w:val="00C36A51"/>
    <w:rsid w:val="00C459CE"/>
    <w:rsid w:val="00C479F8"/>
    <w:rsid w:val="00C51CEE"/>
    <w:rsid w:val="00C53AA9"/>
    <w:rsid w:val="00C56D21"/>
    <w:rsid w:val="00C63818"/>
    <w:rsid w:val="00C643DA"/>
    <w:rsid w:val="00C74982"/>
    <w:rsid w:val="00C82348"/>
    <w:rsid w:val="00C92D3F"/>
    <w:rsid w:val="00C950B9"/>
    <w:rsid w:val="00C95481"/>
    <w:rsid w:val="00CA1559"/>
    <w:rsid w:val="00CA1D32"/>
    <w:rsid w:val="00CC44C8"/>
    <w:rsid w:val="00CD1229"/>
    <w:rsid w:val="00CD153F"/>
    <w:rsid w:val="00CD2230"/>
    <w:rsid w:val="00CD50E0"/>
    <w:rsid w:val="00CD5C95"/>
    <w:rsid w:val="00CE0FFF"/>
    <w:rsid w:val="00CE546B"/>
    <w:rsid w:val="00CF3F57"/>
    <w:rsid w:val="00CF5863"/>
    <w:rsid w:val="00CF7DC8"/>
    <w:rsid w:val="00D04B4C"/>
    <w:rsid w:val="00D07E51"/>
    <w:rsid w:val="00D12F04"/>
    <w:rsid w:val="00D156F3"/>
    <w:rsid w:val="00D17B51"/>
    <w:rsid w:val="00D21F75"/>
    <w:rsid w:val="00D22E33"/>
    <w:rsid w:val="00D324D9"/>
    <w:rsid w:val="00D333CD"/>
    <w:rsid w:val="00D36298"/>
    <w:rsid w:val="00D41788"/>
    <w:rsid w:val="00D44196"/>
    <w:rsid w:val="00D449F2"/>
    <w:rsid w:val="00D44E67"/>
    <w:rsid w:val="00D45ED1"/>
    <w:rsid w:val="00D512BD"/>
    <w:rsid w:val="00D532CD"/>
    <w:rsid w:val="00D55A25"/>
    <w:rsid w:val="00D56E82"/>
    <w:rsid w:val="00D6619A"/>
    <w:rsid w:val="00D7490B"/>
    <w:rsid w:val="00D76AA8"/>
    <w:rsid w:val="00D8060D"/>
    <w:rsid w:val="00D81319"/>
    <w:rsid w:val="00D8247A"/>
    <w:rsid w:val="00D82B79"/>
    <w:rsid w:val="00D87F17"/>
    <w:rsid w:val="00D94396"/>
    <w:rsid w:val="00D97FEA"/>
    <w:rsid w:val="00DA1B3C"/>
    <w:rsid w:val="00DA2BF3"/>
    <w:rsid w:val="00DA57C1"/>
    <w:rsid w:val="00DB1D64"/>
    <w:rsid w:val="00DB6ED1"/>
    <w:rsid w:val="00DC1928"/>
    <w:rsid w:val="00DD1742"/>
    <w:rsid w:val="00DD2AD3"/>
    <w:rsid w:val="00DE15E5"/>
    <w:rsid w:val="00DF1EA0"/>
    <w:rsid w:val="00DF245C"/>
    <w:rsid w:val="00DF5062"/>
    <w:rsid w:val="00DF65CB"/>
    <w:rsid w:val="00E023CC"/>
    <w:rsid w:val="00E02FC1"/>
    <w:rsid w:val="00E0462B"/>
    <w:rsid w:val="00E0581E"/>
    <w:rsid w:val="00E07247"/>
    <w:rsid w:val="00E10251"/>
    <w:rsid w:val="00E1130A"/>
    <w:rsid w:val="00E14E80"/>
    <w:rsid w:val="00E17608"/>
    <w:rsid w:val="00E22081"/>
    <w:rsid w:val="00E26107"/>
    <w:rsid w:val="00E34A5B"/>
    <w:rsid w:val="00E36D46"/>
    <w:rsid w:val="00E4264C"/>
    <w:rsid w:val="00E458B0"/>
    <w:rsid w:val="00E501AE"/>
    <w:rsid w:val="00E506CD"/>
    <w:rsid w:val="00E512A8"/>
    <w:rsid w:val="00E538A0"/>
    <w:rsid w:val="00E57E43"/>
    <w:rsid w:val="00E65CE7"/>
    <w:rsid w:val="00E6628A"/>
    <w:rsid w:val="00E71DB9"/>
    <w:rsid w:val="00E72D7F"/>
    <w:rsid w:val="00E72F6F"/>
    <w:rsid w:val="00E73399"/>
    <w:rsid w:val="00E744D3"/>
    <w:rsid w:val="00E74CB1"/>
    <w:rsid w:val="00E75230"/>
    <w:rsid w:val="00E7573D"/>
    <w:rsid w:val="00E821CF"/>
    <w:rsid w:val="00E822B6"/>
    <w:rsid w:val="00E83E2F"/>
    <w:rsid w:val="00E85911"/>
    <w:rsid w:val="00E85E97"/>
    <w:rsid w:val="00E8749A"/>
    <w:rsid w:val="00E90A5E"/>
    <w:rsid w:val="00E93031"/>
    <w:rsid w:val="00E931F1"/>
    <w:rsid w:val="00E972E0"/>
    <w:rsid w:val="00EA4358"/>
    <w:rsid w:val="00EA4482"/>
    <w:rsid w:val="00EA5BB2"/>
    <w:rsid w:val="00EA67C5"/>
    <w:rsid w:val="00EA7524"/>
    <w:rsid w:val="00EB42C3"/>
    <w:rsid w:val="00EB5304"/>
    <w:rsid w:val="00ED27A4"/>
    <w:rsid w:val="00ED5154"/>
    <w:rsid w:val="00EE2CE9"/>
    <w:rsid w:val="00EE39D9"/>
    <w:rsid w:val="00EF2087"/>
    <w:rsid w:val="00EF4FBA"/>
    <w:rsid w:val="00F02423"/>
    <w:rsid w:val="00F072C1"/>
    <w:rsid w:val="00F07693"/>
    <w:rsid w:val="00F10369"/>
    <w:rsid w:val="00F13265"/>
    <w:rsid w:val="00F14B96"/>
    <w:rsid w:val="00F1681C"/>
    <w:rsid w:val="00F17DEA"/>
    <w:rsid w:val="00F223B3"/>
    <w:rsid w:val="00F33F13"/>
    <w:rsid w:val="00F35137"/>
    <w:rsid w:val="00F43286"/>
    <w:rsid w:val="00F438F3"/>
    <w:rsid w:val="00F57DCD"/>
    <w:rsid w:val="00F63AEB"/>
    <w:rsid w:val="00F65DFE"/>
    <w:rsid w:val="00F72305"/>
    <w:rsid w:val="00F7623C"/>
    <w:rsid w:val="00F77F3E"/>
    <w:rsid w:val="00F8648C"/>
    <w:rsid w:val="00F908A8"/>
    <w:rsid w:val="00F93AA6"/>
    <w:rsid w:val="00F94194"/>
    <w:rsid w:val="00F959C8"/>
    <w:rsid w:val="00F9750C"/>
    <w:rsid w:val="00F9789E"/>
    <w:rsid w:val="00FA67D4"/>
    <w:rsid w:val="00FB00E1"/>
    <w:rsid w:val="00FB12A5"/>
    <w:rsid w:val="00FB1587"/>
    <w:rsid w:val="00FB322D"/>
    <w:rsid w:val="00FB42CB"/>
    <w:rsid w:val="00FB43C6"/>
    <w:rsid w:val="00FB5401"/>
    <w:rsid w:val="00FC1111"/>
    <w:rsid w:val="00FC194B"/>
    <w:rsid w:val="00FC3BB8"/>
    <w:rsid w:val="00FD6CA8"/>
    <w:rsid w:val="00FE1B41"/>
    <w:rsid w:val="00FF21F2"/>
    <w:rsid w:val="00FF339E"/>
    <w:rsid w:val="00FF40F9"/>
    <w:rsid w:val="00FF47AD"/>
    <w:rsid w:val="00FF6875"/>
    <w:rsid w:val="00FF698C"/>
    <w:rsid w:val="037A1616"/>
    <w:rsid w:val="1BC72B84"/>
    <w:rsid w:val="35FDFEA5"/>
    <w:rsid w:val="4FAF6015"/>
    <w:rsid w:val="7DB33A33"/>
    <w:rsid w:val="CDF7BCA0"/>
    <w:rsid w:val="CF7FDFDE"/>
    <w:rsid w:val="DF7E1034"/>
    <w:rsid w:val="EFBDDD31"/>
    <w:rsid w:val="F3B376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6"/>
    <w:semiHidden/>
    <w:unhideWhenUsed/>
    <w:uiPriority w:val="99"/>
    <w:pPr>
      <w:jc w:val="left"/>
    </w:pPr>
  </w:style>
  <w:style w:type="paragraph" w:styleId="3">
    <w:name w:val="Plain Text"/>
    <w:basedOn w:val="1"/>
    <w:link w:val="16"/>
    <w:qFormat/>
    <w:uiPriority w:val="0"/>
    <w:rPr>
      <w:rFonts w:ascii="宋体" w:hAnsi="Courier New" w:cstheme="minorBidi"/>
      <w:szCs w:val="22"/>
    </w:rPr>
  </w:style>
  <w:style w:type="paragraph" w:styleId="4">
    <w:name w:val="Balloon Text"/>
    <w:basedOn w:val="1"/>
    <w:link w:val="24"/>
    <w:semiHidden/>
    <w:unhideWhenUsed/>
    <w:qFormat/>
    <w:uiPriority w:val="99"/>
    <w:rPr>
      <w:sz w:val="18"/>
      <w:szCs w:val="18"/>
    </w:rPr>
  </w:style>
  <w:style w:type="paragraph" w:styleId="5">
    <w:name w:val="footer"/>
    <w:basedOn w:val="1"/>
    <w:link w:val="17"/>
    <w:qFormat/>
    <w:uiPriority w:val="0"/>
    <w:pPr>
      <w:tabs>
        <w:tab w:val="center" w:pos="4153"/>
        <w:tab w:val="right" w:pos="8306"/>
      </w:tabs>
      <w:snapToGrid w:val="0"/>
      <w:jc w:val="left"/>
    </w:pPr>
    <w:rPr>
      <w:rFonts w:asciiTheme="minorHAnsi" w:hAnsiTheme="minorHAnsi" w:eastAsiaTheme="minorEastAsia" w:cstheme="minorBidi"/>
      <w:sz w:val="18"/>
      <w:szCs w:val="22"/>
    </w:rPr>
  </w:style>
  <w:style w:type="paragraph" w:styleId="6">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link w:val="18"/>
    <w:qFormat/>
    <w:uiPriority w:val="0"/>
    <w:pPr>
      <w:spacing w:before="240" w:after="60"/>
      <w:jc w:val="center"/>
      <w:outlineLvl w:val="0"/>
    </w:pPr>
    <w:rPr>
      <w:rFonts w:ascii="Arial" w:hAnsi="Arial" w:cs="Arial"/>
      <w:b/>
      <w:bCs/>
      <w:sz w:val="32"/>
      <w:szCs w:val="32"/>
    </w:rPr>
  </w:style>
  <w:style w:type="paragraph" w:styleId="8">
    <w:name w:val="annotation subject"/>
    <w:basedOn w:val="2"/>
    <w:next w:val="2"/>
    <w:link w:val="27"/>
    <w:semiHidden/>
    <w:unhideWhenUsed/>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Emphasis"/>
    <w:basedOn w:val="11"/>
    <w:qFormat/>
    <w:uiPriority w:val="20"/>
    <w:rPr>
      <w:i/>
      <w:iCs/>
    </w:rPr>
  </w:style>
  <w:style w:type="character" w:styleId="14">
    <w:name w:val="Hyperlink"/>
    <w:basedOn w:val="11"/>
    <w:semiHidden/>
    <w:unhideWhenUsed/>
    <w:uiPriority w:val="99"/>
    <w:rPr>
      <w:color w:val="0000FF"/>
      <w:u w:val="single"/>
    </w:rPr>
  </w:style>
  <w:style w:type="character" w:styleId="15">
    <w:name w:val="annotation reference"/>
    <w:basedOn w:val="11"/>
    <w:semiHidden/>
    <w:unhideWhenUsed/>
    <w:uiPriority w:val="99"/>
    <w:rPr>
      <w:sz w:val="21"/>
      <w:szCs w:val="21"/>
    </w:rPr>
  </w:style>
  <w:style w:type="character" w:customStyle="1" w:styleId="16">
    <w:name w:val="纯文本 字符"/>
    <w:link w:val="3"/>
    <w:uiPriority w:val="0"/>
    <w:rPr>
      <w:rFonts w:ascii="宋体" w:hAnsi="Courier New" w:eastAsia="宋体"/>
    </w:rPr>
  </w:style>
  <w:style w:type="character" w:customStyle="1" w:styleId="17">
    <w:name w:val="页脚 字符"/>
    <w:link w:val="5"/>
    <w:qFormat/>
    <w:uiPriority w:val="0"/>
    <w:rPr>
      <w:sz w:val="18"/>
    </w:rPr>
  </w:style>
  <w:style w:type="character" w:customStyle="1" w:styleId="18">
    <w:name w:val="标题 字符"/>
    <w:link w:val="7"/>
    <w:qFormat/>
    <w:uiPriority w:val="0"/>
    <w:rPr>
      <w:rFonts w:ascii="Arial" w:hAnsi="Arial" w:eastAsia="宋体" w:cs="Arial"/>
      <w:b/>
      <w:bCs/>
      <w:sz w:val="32"/>
      <w:szCs w:val="32"/>
    </w:rPr>
  </w:style>
  <w:style w:type="character" w:customStyle="1" w:styleId="19">
    <w:name w:val="页脚 Char"/>
    <w:basedOn w:val="11"/>
    <w:semiHidden/>
    <w:qFormat/>
    <w:uiPriority w:val="99"/>
    <w:rPr>
      <w:rFonts w:ascii="Times New Roman" w:hAnsi="Times New Roman" w:eastAsia="宋体" w:cs="Times New Roman"/>
      <w:sz w:val="18"/>
      <w:szCs w:val="18"/>
    </w:rPr>
  </w:style>
  <w:style w:type="character" w:customStyle="1" w:styleId="20">
    <w:name w:val="标题 Char"/>
    <w:basedOn w:val="11"/>
    <w:qFormat/>
    <w:uiPriority w:val="10"/>
    <w:rPr>
      <w:rFonts w:eastAsia="宋体" w:asciiTheme="majorHAnsi" w:hAnsiTheme="majorHAnsi" w:cstheme="majorBidi"/>
      <w:b/>
      <w:bCs/>
      <w:sz w:val="32"/>
      <w:szCs w:val="32"/>
    </w:rPr>
  </w:style>
  <w:style w:type="character" w:customStyle="1" w:styleId="21">
    <w:name w:val="纯文本 Char"/>
    <w:basedOn w:val="11"/>
    <w:semiHidden/>
    <w:qFormat/>
    <w:uiPriority w:val="99"/>
    <w:rPr>
      <w:rFonts w:ascii="宋体" w:hAnsi="Courier New" w:eastAsia="宋体" w:cs="Courier New"/>
      <w:szCs w:val="21"/>
    </w:rPr>
  </w:style>
  <w:style w:type="character" w:customStyle="1" w:styleId="22">
    <w:name w:val="页眉 字符"/>
    <w:basedOn w:val="11"/>
    <w:link w:val="6"/>
    <w:qFormat/>
    <w:uiPriority w:val="99"/>
    <w:rPr>
      <w:rFonts w:ascii="Times New Roman" w:hAnsi="Times New Roman" w:eastAsia="宋体" w:cs="Times New Roman"/>
      <w:sz w:val="18"/>
      <w:szCs w:val="18"/>
    </w:rPr>
  </w:style>
  <w:style w:type="paragraph" w:styleId="23">
    <w:name w:val="List Paragraph"/>
    <w:basedOn w:val="1"/>
    <w:qFormat/>
    <w:uiPriority w:val="34"/>
    <w:pPr>
      <w:ind w:firstLine="420" w:firstLineChars="200"/>
    </w:pPr>
  </w:style>
  <w:style w:type="character" w:customStyle="1" w:styleId="24">
    <w:name w:val="批注框文本 字符"/>
    <w:basedOn w:val="11"/>
    <w:link w:val="4"/>
    <w:semiHidden/>
    <w:qFormat/>
    <w:uiPriority w:val="99"/>
    <w:rPr>
      <w:rFonts w:ascii="Times New Roman" w:hAnsi="Times New Roman" w:eastAsia="宋体" w:cs="Times New Roman"/>
      <w:sz w:val="18"/>
      <w:szCs w:val="18"/>
    </w:rPr>
  </w:style>
  <w:style w:type="paragraph" w:customStyle="1" w:styleId="25">
    <w:name w:val="paragraph"/>
    <w:basedOn w:val="1"/>
    <w:semiHidden/>
    <w:uiPriority w:val="0"/>
    <w:pPr>
      <w:widowControl/>
      <w:spacing w:before="100" w:beforeAutospacing="1" w:after="100" w:afterAutospacing="1"/>
      <w:jc w:val="left"/>
    </w:pPr>
    <w:rPr>
      <w:rFonts w:ascii="等线" w:hAnsi="等线" w:eastAsia="等线"/>
      <w:kern w:val="0"/>
      <w:sz w:val="24"/>
      <w:szCs w:val="24"/>
    </w:rPr>
  </w:style>
  <w:style w:type="character" w:customStyle="1" w:styleId="26">
    <w:name w:val="批注文字 字符"/>
    <w:basedOn w:val="11"/>
    <w:link w:val="2"/>
    <w:semiHidden/>
    <w:uiPriority w:val="99"/>
    <w:rPr>
      <w:rFonts w:ascii="Times New Roman" w:hAnsi="Times New Roman" w:eastAsia="宋体" w:cs="Times New Roman"/>
      <w:kern w:val="2"/>
      <w:sz w:val="21"/>
    </w:rPr>
  </w:style>
  <w:style w:type="character" w:customStyle="1" w:styleId="27">
    <w:name w:val="批注主题 字符"/>
    <w:basedOn w:val="26"/>
    <w:link w:val="8"/>
    <w:semiHidden/>
    <w:uiPriority w:val="99"/>
    <w:rPr>
      <w:rFonts w:ascii="Times New Roman" w:hAnsi="Times New Roman" w:eastAsia="宋体" w:cs="Times New Roman"/>
      <w:b/>
      <w:bCs/>
      <w:kern w:val="2"/>
      <w:sz w:val="21"/>
    </w:rPr>
  </w:style>
  <w:style w:type="paragraph" w:customStyle="1" w:styleId="28">
    <w:name w:val="Revision"/>
    <w:hidden/>
    <w:semiHidden/>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796</Words>
  <Characters>4538</Characters>
  <Lines>37</Lines>
  <Paragraphs>10</Paragraphs>
  <TotalTime>20</TotalTime>
  <ScaleCrop>false</ScaleCrop>
  <LinksUpToDate>false</LinksUpToDate>
  <CharactersWithSpaces>5324</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2021-03-19T07:37:00Z</dcterms:created>
  <dc:creator>User</dc:creator>
  <cp:lastModifiedBy>宸居暇豫</cp:lastModifiedBy>
  <dcterms:modified xsi:type="dcterms:W3CDTF">2026-08-18T15:29:54Z</dcterms:modified>
  <cp:revision>708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BB38D6F24469FDEDB31F146A23846110_43</vt:lpwstr>
  </property>
</Properties>
</file>