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E8A5F9">
      <w:pPr>
        <w:autoSpaceDE w:val="0"/>
        <w:autoSpaceDN w:val="0"/>
        <w:adjustRightInd w:val="0"/>
        <w:snapToGrid w:val="0"/>
        <w:spacing w:line="360" w:lineRule="auto"/>
        <w:jc w:val="center"/>
        <w:rPr>
          <w:rFonts w:hAnsi="宋体"/>
          <w:b/>
          <w:szCs w:val="21"/>
        </w:rPr>
      </w:pPr>
      <w:bookmarkStart w:id="0" w:name="_Toc38367762"/>
      <w:r>
        <w:rPr>
          <w:rFonts w:hint="eastAsia" w:hAnsi="宋体"/>
          <w:b/>
          <w:szCs w:val="21"/>
        </w:rPr>
        <w:t>【热重分析仪-红外光谱仪联用系统】采购需求</w:t>
      </w:r>
    </w:p>
    <w:p w14:paraId="12DA55D1">
      <w:pPr>
        <w:tabs>
          <w:tab w:val="left" w:pos="900"/>
        </w:tabs>
        <w:adjustRightInd w:val="0"/>
        <w:snapToGrid w:val="0"/>
        <w:spacing w:line="360" w:lineRule="auto"/>
        <w:ind w:firstLine="422" w:firstLineChars="200"/>
        <w:rPr>
          <w:b/>
          <w:szCs w:val="21"/>
        </w:rPr>
      </w:pPr>
      <w:bookmarkStart w:id="1" w:name="_Toc158978330"/>
      <w:bookmarkStart w:id="2" w:name="_Toc172360661"/>
      <w:bookmarkStart w:id="3" w:name="_Toc219271393"/>
      <w:r>
        <w:rPr>
          <w:rFonts w:hint="eastAsia" w:hAnsi="宋体"/>
          <w:b/>
          <w:szCs w:val="21"/>
        </w:rPr>
        <w:t>一、</w:t>
      </w:r>
      <w:r>
        <w:rPr>
          <w:rFonts w:hAnsi="宋体"/>
          <w:b/>
          <w:szCs w:val="21"/>
        </w:rPr>
        <w:t>采购</w:t>
      </w:r>
      <w:r>
        <w:rPr>
          <w:rFonts w:hint="eastAsia" w:hAnsi="宋体"/>
          <w:b/>
          <w:szCs w:val="21"/>
        </w:rPr>
        <w:t>标的</w:t>
      </w:r>
      <w:r>
        <w:rPr>
          <w:rFonts w:hAnsi="宋体"/>
          <w:b/>
          <w:szCs w:val="21"/>
        </w:rPr>
        <w:t>需实现的功能或者目标，以及为落实政府采购政策需满足的要求：</w:t>
      </w:r>
    </w:p>
    <w:p w14:paraId="5716CE39">
      <w:pPr>
        <w:tabs>
          <w:tab w:val="left" w:pos="900"/>
        </w:tabs>
        <w:adjustRightInd w:val="0"/>
        <w:snapToGrid w:val="0"/>
        <w:spacing w:line="360" w:lineRule="auto"/>
        <w:ind w:firstLine="422" w:firstLineChars="200"/>
        <w:rPr>
          <w:b/>
          <w:szCs w:val="21"/>
        </w:rPr>
      </w:pPr>
      <w:r>
        <w:rPr>
          <w:rFonts w:hAnsi="宋体"/>
          <w:b/>
          <w:szCs w:val="21"/>
        </w:rPr>
        <w:t>（一）采购</w:t>
      </w:r>
      <w:r>
        <w:rPr>
          <w:rFonts w:hint="eastAsia" w:hAnsi="宋体"/>
          <w:b/>
          <w:szCs w:val="21"/>
        </w:rPr>
        <w:t>标的</w:t>
      </w:r>
      <w:r>
        <w:rPr>
          <w:rFonts w:hAnsi="宋体"/>
          <w:b/>
          <w:szCs w:val="21"/>
        </w:rPr>
        <w:t>需实现的功能或者目标</w:t>
      </w:r>
    </w:p>
    <w:p w14:paraId="61CBE858">
      <w:pPr>
        <w:adjustRightInd w:val="0"/>
        <w:snapToGrid w:val="0"/>
        <w:spacing w:line="360" w:lineRule="auto"/>
        <w:ind w:firstLine="420" w:firstLineChars="200"/>
        <w:rPr>
          <w:rFonts w:ascii="楷体" w:hAnsi="楷体" w:eastAsia="楷体"/>
          <w:color w:val="FF0000"/>
          <w:sz w:val="22"/>
          <w:szCs w:val="22"/>
        </w:rPr>
      </w:pPr>
      <w:r>
        <w:rPr>
          <w:rFonts w:hAnsi="宋体"/>
        </w:rPr>
        <w:t>本项目采购</w:t>
      </w:r>
      <w:r>
        <w:rPr>
          <w:rFonts w:hint="eastAsia" w:hAnsi="宋体"/>
        </w:rPr>
        <w:t>热重分析仪-红外光谱仪联用系统</w:t>
      </w:r>
      <w:r>
        <w:rPr>
          <w:rFonts w:hAnsi="宋体"/>
        </w:rPr>
        <w:t>1套，主要用于</w:t>
      </w:r>
      <w:r>
        <w:rPr>
          <w:rFonts w:hint="eastAsia" w:hAnsi="宋体"/>
        </w:rPr>
        <w:t>表征样品在加热过程中的物理和化学变化</w:t>
      </w:r>
      <w:r>
        <w:rPr>
          <w:rFonts w:hAnsi="宋体"/>
        </w:rPr>
        <w:t>，要求</w:t>
      </w:r>
      <w:r>
        <w:rPr>
          <w:rFonts w:hint="eastAsia" w:hAnsi="宋体"/>
        </w:rPr>
        <w:t>能够表征材料的热稳定性、分解过程、吸附与解吸、氧化与还原、成分的定量分析等，并对逸出气体进行定性定量分析</w:t>
      </w:r>
      <w:r>
        <w:rPr>
          <w:rFonts w:hAnsi="宋体"/>
        </w:rPr>
        <w:t>。</w:t>
      </w:r>
    </w:p>
    <w:p w14:paraId="5979A4A6">
      <w:pPr>
        <w:tabs>
          <w:tab w:val="left" w:pos="900"/>
        </w:tabs>
        <w:adjustRightInd w:val="0"/>
        <w:snapToGrid w:val="0"/>
        <w:spacing w:line="360" w:lineRule="auto"/>
        <w:ind w:firstLine="422" w:firstLineChars="200"/>
        <w:rPr>
          <w:b/>
          <w:szCs w:val="21"/>
        </w:rPr>
      </w:pPr>
      <w:r>
        <w:rPr>
          <w:rFonts w:hAnsi="宋体"/>
          <w:b/>
          <w:szCs w:val="21"/>
        </w:rPr>
        <w:t>（二）政府采购政策</w:t>
      </w:r>
      <w:r>
        <w:rPr>
          <w:rFonts w:hint="eastAsia" w:hAnsi="宋体"/>
          <w:b/>
          <w:szCs w:val="21"/>
        </w:rPr>
        <w:t>落实</w:t>
      </w:r>
      <w:r>
        <w:rPr>
          <w:rFonts w:hAnsi="宋体"/>
          <w:b/>
          <w:szCs w:val="21"/>
        </w:rPr>
        <w:t>要求</w:t>
      </w:r>
    </w:p>
    <w:p w14:paraId="291D988B">
      <w:pPr>
        <w:tabs>
          <w:tab w:val="left" w:pos="900"/>
        </w:tabs>
        <w:adjustRightInd w:val="0"/>
        <w:snapToGrid w:val="0"/>
        <w:spacing w:line="360" w:lineRule="auto"/>
        <w:ind w:firstLine="420" w:firstLineChars="200"/>
        <w:rPr>
          <w:rFonts w:hAnsi="宋体"/>
          <w:szCs w:val="21"/>
        </w:rPr>
      </w:pPr>
      <w:r>
        <w:rPr>
          <w:rFonts w:hint="eastAsia" w:hAnsi="宋体"/>
        </w:rPr>
        <w:t>1</w:t>
      </w:r>
      <w:r>
        <w:rPr>
          <w:rFonts w:hAnsi="宋体"/>
        </w:rPr>
        <w:t xml:space="preserve">. </w:t>
      </w:r>
      <w:r>
        <w:rPr>
          <w:rFonts w:hint="eastAsia" w:hAnsi="宋体"/>
        </w:rPr>
        <w:t>中小企业扶持政策：</w:t>
      </w:r>
      <w:r>
        <w:rPr>
          <w:rFonts w:hAnsi="宋体"/>
        </w:rPr>
        <w:t>根据《政府采购促进中小企业发展管理办法》</w:t>
      </w:r>
      <w:r>
        <w:rPr>
          <w:rFonts w:hint="eastAsia" w:hAnsi="宋体"/>
        </w:rPr>
        <w:t>（财库〔2</w:t>
      </w:r>
      <w:r>
        <w:rPr>
          <w:rFonts w:hAnsi="宋体"/>
        </w:rPr>
        <w:t>020</w:t>
      </w:r>
      <w:r>
        <w:rPr>
          <w:rFonts w:hint="eastAsia" w:hAnsi="宋体"/>
        </w:rPr>
        <w:t>〕4</w:t>
      </w:r>
      <w:r>
        <w:rPr>
          <w:rFonts w:hAnsi="宋体"/>
        </w:rPr>
        <w:t>6</w:t>
      </w:r>
      <w:r>
        <w:rPr>
          <w:rFonts w:hint="eastAsia" w:hAnsi="宋体"/>
        </w:rPr>
        <w:t>号）</w:t>
      </w:r>
      <w:r>
        <w:rPr>
          <w:rFonts w:hAnsi="宋体"/>
        </w:rPr>
        <w:t>规定，本项目</w:t>
      </w:r>
      <w:r>
        <w:rPr>
          <w:rFonts w:hint="eastAsia" w:hAnsi="宋体"/>
        </w:rPr>
        <w:t>采购标的</w:t>
      </w:r>
      <w:r>
        <w:rPr>
          <w:rFonts w:hAnsi="宋体"/>
        </w:rPr>
        <w:t>为</w:t>
      </w:r>
      <w:r>
        <w:rPr>
          <w:rFonts w:hint="eastAsia" w:hAnsi="宋体"/>
        </w:rPr>
        <w:t>中小</w:t>
      </w:r>
      <w:r>
        <w:rPr>
          <w:rFonts w:hAnsi="宋体"/>
        </w:rPr>
        <w:t>型企业</w:t>
      </w:r>
      <w:r>
        <w:rPr>
          <w:rFonts w:hint="eastAsia" w:hAnsi="宋体"/>
        </w:rPr>
        <w:t>制造、承建或承接</w:t>
      </w:r>
      <w:r>
        <w:rPr>
          <w:rFonts w:hAnsi="宋体"/>
        </w:rPr>
        <w:t>的，投标人应</w:t>
      </w:r>
      <w:r>
        <w:rPr>
          <w:rFonts w:hint="eastAsia" w:hAnsi="宋体"/>
        </w:rPr>
        <w:t>提供办法规定的</w:t>
      </w:r>
      <w:r>
        <w:rPr>
          <w:rFonts w:hAnsi="宋体"/>
          <w:szCs w:val="21"/>
        </w:rPr>
        <w:t>《中小企业声明函》</w:t>
      </w:r>
      <w:r>
        <w:rPr>
          <w:rFonts w:hint="eastAsia" w:hAnsi="宋体"/>
          <w:szCs w:val="21"/>
        </w:rPr>
        <w:t>，否则不得享受相关中小企业扶持政策</w:t>
      </w:r>
      <w:r>
        <w:rPr>
          <w:rFonts w:hAnsi="宋体"/>
        </w:rPr>
        <w:t>。投标人应对提交的中小企业声明函的真实性负责，提交的中小企业声明函不真实的，应承担相应的法律责任</w:t>
      </w:r>
      <w:r>
        <w:rPr>
          <w:rFonts w:hAnsi="宋体"/>
          <w:szCs w:val="21"/>
        </w:rPr>
        <w:t>。</w:t>
      </w:r>
    </w:p>
    <w:p w14:paraId="43BA685B">
      <w:pPr>
        <w:tabs>
          <w:tab w:val="left" w:pos="900"/>
        </w:tabs>
        <w:adjustRightInd w:val="0"/>
        <w:snapToGrid w:val="0"/>
        <w:spacing w:line="360" w:lineRule="auto"/>
        <w:ind w:firstLine="420" w:firstLineChars="200"/>
        <w:rPr>
          <w:rFonts w:hAnsi="宋体"/>
        </w:rPr>
      </w:pPr>
      <w:r>
        <w:rPr>
          <w:rFonts w:hint="eastAsia" w:hAnsi="宋体"/>
        </w:rPr>
        <w:t>本项目</w:t>
      </w:r>
      <w:bookmarkStart w:id="4" w:name="OLE_LINK23"/>
      <w:r>
        <w:rPr>
          <w:rFonts w:hint="eastAsia" w:hAnsi="宋体"/>
        </w:rPr>
        <w:t>采购标的对应的《中小企业划型标准规定》所属行业</w:t>
      </w:r>
      <w:bookmarkEnd w:id="4"/>
      <w:r>
        <w:rPr>
          <w:rFonts w:hint="eastAsia" w:hAnsi="宋体"/>
        </w:rPr>
        <w:t>为：</w:t>
      </w:r>
      <w:r>
        <w:rPr>
          <w:rFonts w:hAnsi="宋体"/>
          <w:u w:val="single"/>
        </w:rPr>
        <w:t xml:space="preserve"> </w:t>
      </w:r>
      <w:r>
        <w:rPr>
          <w:rFonts w:hint="eastAsia" w:hAnsi="宋体"/>
          <w:u w:val="single"/>
        </w:rPr>
        <w:t>工业</w:t>
      </w:r>
      <w:r>
        <w:rPr>
          <w:rFonts w:hAnsi="宋体"/>
          <w:u w:val="single"/>
        </w:rPr>
        <w:t xml:space="preserve"> </w:t>
      </w:r>
      <w:r>
        <w:rPr>
          <w:rFonts w:hint="eastAsia" w:hAnsi="宋体"/>
        </w:rPr>
        <w:t>。</w:t>
      </w:r>
    </w:p>
    <w:p w14:paraId="418CB326">
      <w:pPr>
        <w:tabs>
          <w:tab w:val="left" w:pos="900"/>
        </w:tabs>
        <w:adjustRightInd w:val="0"/>
        <w:snapToGrid w:val="0"/>
        <w:spacing w:line="360" w:lineRule="auto"/>
        <w:ind w:firstLine="420" w:firstLineChars="200"/>
        <w:rPr>
          <w:rFonts w:hAnsi="宋体"/>
        </w:rPr>
      </w:pPr>
      <w:r>
        <w:rPr>
          <w:rFonts w:hAnsi="宋体"/>
        </w:rPr>
        <w:t xml:space="preserve">2. </w:t>
      </w:r>
      <w:r>
        <w:rPr>
          <w:rFonts w:hint="eastAsia" w:hAnsi="宋体"/>
        </w:rPr>
        <w:t>进口产品政策：本采购项目</w:t>
      </w:r>
      <w:r>
        <w:rPr>
          <w:rFonts w:hAnsi="宋体"/>
        </w:rPr>
        <w:t xml:space="preserve"> </w:t>
      </w:r>
      <w:r>
        <w:rPr>
          <w:rFonts w:hint="eastAsia" w:hAnsi="宋体"/>
        </w:rPr>
        <w:t>√允许</w:t>
      </w:r>
      <w:r>
        <w:rPr>
          <w:rFonts w:hAnsi="宋体"/>
        </w:rPr>
        <w:t xml:space="preserve"> </w:t>
      </w:r>
      <w:r>
        <w:rPr>
          <w:rFonts w:hint="eastAsia" w:hAnsi="宋体"/>
        </w:rPr>
        <w:t>□不允许</w:t>
      </w:r>
      <w:r>
        <w:rPr>
          <w:rFonts w:hAnsi="宋体"/>
        </w:rPr>
        <w:t xml:space="preserve"> </w:t>
      </w:r>
      <w:r>
        <w:rPr>
          <w:rFonts w:hint="eastAsia" w:hAnsi="宋体"/>
        </w:rPr>
        <w:t>进口产品参加。（未进行勾选的，视为只接受本国产品参加）</w:t>
      </w:r>
    </w:p>
    <w:p w14:paraId="581D84B3">
      <w:pPr>
        <w:tabs>
          <w:tab w:val="left" w:pos="900"/>
        </w:tabs>
        <w:adjustRightInd w:val="0"/>
        <w:snapToGrid w:val="0"/>
        <w:spacing w:line="360" w:lineRule="auto"/>
        <w:ind w:firstLine="422" w:firstLineChars="200"/>
        <w:rPr>
          <w:rFonts w:hAnsi="宋体"/>
          <w:b/>
          <w:szCs w:val="21"/>
        </w:rPr>
      </w:pPr>
      <w:r>
        <w:rPr>
          <w:rFonts w:hint="eastAsia" w:hAnsi="宋体"/>
          <w:b/>
          <w:szCs w:val="21"/>
        </w:rPr>
        <w:t>二、</w:t>
      </w:r>
      <w:r>
        <w:rPr>
          <w:rFonts w:hAnsi="宋体"/>
          <w:b/>
          <w:szCs w:val="21"/>
        </w:rPr>
        <w:t>采购</w:t>
      </w:r>
      <w:r>
        <w:rPr>
          <w:rFonts w:hint="eastAsia" w:hAnsi="宋体"/>
          <w:b/>
          <w:szCs w:val="21"/>
        </w:rPr>
        <w:t>标的</w:t>
      </w:r>
      <w:r>
        <w:rPr>
          <w:rFonts w:hAnsi="宋体"/>
          <w:b/>
          <w:szCs w:val="21"/>
        </w:rPr>
        <w:t>需执行的国家相关标准、行业标准、地方标准或者其他标准、规范：</w:t>
      </w:r>
    </w:p>
    <w:p w14:paraId="5CE80CCC">
      <w:pPr>
        <w:tabs>
          <w:tab w:val="left" w:pos="900"/>
        </w:tabs>
        <w:adjustRightInd w:val="0"/>
        <w:snapToGrid w:val="0"/>
        <w:spacing w:line="360" w:lineRule="auto"/>
        <w:ind w:firstLine="420" w:firstLineChars="200"/>
        <w:rPr>
          <w:szCs w:val="21"/>
        </w:rPr>
      </w:pPr>
      <w:r>
        <w:rPr>
          <w:rFonts w:hint="eastAsia"/>
          <w:szCs w:val="21"/>
        </w:rPr>
        <w:t>1.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66FD96A1">
      <w:pPr>
        <w:tabs>
          <w:tab w:val="left" w:pos="900"/>
        </w:tabs>
        <w:adjustRightInd w:val="0"/>
        <w:snapToGrid w:val="0"/>
        <w:spacing w:line="360" w:lineRule="auto"/>
        <w:ind w:firstLine="422" w:firstLineChars="200"/>
        <w:rPr>
          <w:rFonts w:hAnsi="宋体"/>
          <w:b/>
          <w:szCs w:val="21"/>
        </w:rPr>
      </w:pPr>
      <w:r>
        <w:rPr>
          <w:rFonts w:hint="eastAsia" w:hAnsi="宋体"/>
          <w:b/>
          <w:szCs w:val="21"/>
        </w:rPr>
        <w:t>三、采购标的概况</w:t>
      </w:r>
    </w:p>
    <w:p w14:paraId="1A760F7D">
      <w:pPr>
        <w:adjustRightInd w:val="0"/>
        <w:snapToGrid w:val="0"/>
        <w:spacing w:line="360" w:lineRule="auto"/>
        <w:ind w:firstLine="420" w:firstLineChars="200"/>
        <w:rPr>
          <w:rFonts w:hAnsi="宋体"/>
          <w:szCs w:val="21"/>
        </w:rPr>
      </w:pPr>
      <w:r>
        <w:rPr>
          <w:rFonts w:hint="eastAsia" w:ascii="宋体" w:hAnsi="宋体"/>
          <w:szCs w:val="21"/>
        </w:rPr>
        <w:t>（一）采购项目名称：</w:t>
      </w:r>
      <w:r>
        <w:rPr>
          <w:rFonts w:hint="eastAsia" w:ascii="宋体" w:hAnsi="宋体"/>
          <w:szCs w:val="21"/>
          <w:u w:val="single"/>
        </w:rPr>
        <w:t xml:space="preserve"> </w:t>
      </w:r>
      <w:r>
        <w:rPr>
          <w:rFonts w:ascii="宋体" w:hAnsi="宋体"/>
          <w:szCs w:val="21"/>
          <w:u w:val="single"/>
        </w:rPr>
        <w:t xml:space="preserve">  </w:t>
      </w:r>
      <w:bookmarkStart w:id="5" w:name="OLE_LINK14"/>
      <w:bookmarkStart w:id="6" w:name="OLE_LINK15"/>
      <w:r>
        <w:rPr>
          <w:rFonts w:ascii="宋体" w:hAnsi="宋体"/>
          <w:szCs w:val="21"/>
          <w:u w:val="single"/>
        </w:rPr>
        <w:t xml:space="preserve"> </w:t>
      </w:r>
      <w:bookmarkStart w:id="7" w:name="OLE_LINK10"/>
      <w:bookmarkStart w:id="8" w:name="OLE_LINK11"/>
      <w:r>
        <w:rPr>
          <w:rFonts w:hint="eastAsia" w:ascii="宋体" w:hAnsi="宋体"/>
          <w:szCs w:val="21"/>
          <w:u w:val="single"/>
        </w:rPr>
        <w:t>热重分析仪-红外光谱仪联用系统</w:t>
      </w:r>
      <w:bookmarkEnd w:id="5"/>
      <w:bookmarkEnd w:id="6"/>
      <w:bookmarkEnd w:id="7"/>
      <w:bookmarkEnd w:id="8"/>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37D3C421">
      <w:pPr>
        <w:adjustRightInd w:val="0"/>
        <w:snapToGrid w:val="0"/>
        <w:spacing w:line="360" w:lineRule="auto"/>
        <w:ind w:firstLine="420" w:firstLineChars="200"/>
        <w:rPr>
          <w:rFonts w:hAnsi="宋体"/>
          <w:szCs w:val="21"/>
          <w:u w:val="single"/>
        </w:rPr>
      </w:pPr>
      <w:r>
        <w:rPr>
          <w:rFonts w:hint="eastAsia" w:hAnsi="宋体"/>
          <w:szCs w:val="21"/>
        </w:rPr>
        <w:t>（二）采购数量及计量单位：</w:t>
      </w:r>
      <w:r>
        <w:rPr>
          <w:rFonts w:ascii="宋体" w:hAnsi="宋体"/>
          <w:szCs w:val="21"/>
          <w:u w:val="single"/>
        </w:rPr>
        <w:t xml:space="preserve">  1 </w:t>
      </w:r>
      <w:r>
        <w:rPr>
          <w:rFonts w:hint="eastAsia" w:ascii="宋体" w:hAnsi="宋体"/>
          <w:szCs w:val="21"/>
          <w:u w:val="single"/>
        </w:rPr>
        <w:t>台/套</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2B5BE846">
      <w:pPr>
        <w:adjustRightInd w:val="0"/>
        <w:snapToGrid w:val="0"/>
        <w:spacing w:line="360" w:lineRule="auto"/>
        <w:ind w:firstLine="420" w:firstLineChars="200"/>
        <w:rPr>
          <w:rFonts w:hAnsi="宋体"/>
          <w:szCs w:val="21"/>
        </w:rPr>
      </w:pPr>
      <w:r>
        <w:rPr>
          <w:rFonts w:hint="eastAsia" w:hAnsi="宋体"/>
          <w:szCs w:val="21"/>
        </w:rPr>
        <w:t>（三）最高限价：人民币</w:t>
      </w:r>
      <w:r>
        <w:rPr>
          <w:rFonts w:hint="eastAsia" w:hAnsi="宋体"/>
          <w:szCs w:val="21"/>
          <w:u w:val="single"/>
        </w:rPr>
        <w:t xml:space="preserve"> </w:t>
      </w:r>
      <w:r>
        <w:rPr>
          <w:rFonts w:hAnsi="宋体"/>
          <w:szCs w:val="21"/>
          <w:u w:val="single"/>
        </w:rPr>
        <w:t xml:space="preserve">   130 </w:t>
      </w:r>
      <w:r>
        <w:rPr>
          <w:rFonts w:hint="eastAsia" w:hAnsi="宋体"/>
          <w:szCs w:val="21"/>
          <w:u w:val="single"/>
        </w:rPr>
        <w:t>万</w:t>
      </w:r>
      <w:r>
        <w:rPr>
          <w:rFonts w:hAnsi="宋体"/>
          <w:szCs w:val="21"/>
          <w:u w:val="single"/>
        </w:rPr>
        <w:t xml:space="preserve">          </w:t>
      </w:r>
      <w:r>
        <w:rPr>
          <w:rFonts w:hint="eastAsia" w:hAnsi="宋体"/>
          <w:szCs w:val="21"/>
        </w:rPr>
        <w:t>元（大写：</w:t>
      </w:r>
      <w:r>
        <w:rPr>
          <w:rFonts w:hAnsi="宋体"/>
          <w:szCs w:val="21"/>
          <w:u w:val="single"/>
        </w:rPr>
        <w:t xml:space="preserve">  </w:t>
      </w:r>
      <w:r>
        <w:rPr>
          <w:rFonts w:hint="eastAsia" w:hAnsi="宋体"/>
          <w:szCs w:val="21"/>
          <w:u w:val="single"/>
        </w:rPr>
        <w:t>壹佰叁拾万圆</w:t>
      </w:r>
      <w:r>
        <w:rPr>
          <w:rFonts w:hAnsi="宋体"/>
          <w:szCs w:val="21"/>
          <w:u w:val="single"/>
        </w:rPr>
        <w:t xml:space="preserve">    </w:t>
      </w:r>
      <w:r>
        <w:rPr>
          <w:rFonts w:hint="eastAsia" w:hAnsi="宋体"/>
          <w:szCs w:val="21"/>
        </w:rPr>
        <w:t>）</w:t>
      </w:r>
    </w:p>
    <w:p w14:paraId="6B27893B">
      <w:pPr>
        <w:adjustRightInd w:val="0"/>
        <w:snapToGrid w:val="0"/>
        <w:spacing w:line="360" w:lineRule="auto"/>
        <w:ind w:firstLine="420" w:firstLineChars="200"/>
        <w:rPr>
          <w:szCs w:val="21"/>
        </w:rPr>
      </w:pPr>
      <w:r>
        <w:rPr>
          <w:rFonts w:hint="eastAsia" w:hAnsi="宋体"/>
          <w:szCs w:val="21"/>
        </w:rPr>
        <w:t>（四）</w:t>
      </w:r>
      <w:r>
        <w:rPr>
          <w:rFonts w:hAnsi="宋体"/>
          <w:szCs w:val="21"/>
        </w:rPr>
        <w:t>交付时间：</w:t>
      </w:r>
      <w:r>
        <w:rPr>
          <w:rFonts w:hAnsi="宋体"/>
        </w:rPr>
        <w:t>合同签订后</w:t>
      </w:r>
      <w:r>
        <w:rPr>
          <w:rFonts w:hAnsi="宋体"/>
          <w:szCs w:val="21"/>
          <w:u w:val="single"/>
        </w:rPr>
        <w:t xml:space="preserve">  </w:t>
      </w:r>
      <w:r>
        <w:rPr>
          <w:rFonts w:hAnsi="宋体"/>
          <w:u w:val="single"/>
        </w:rPr>
        <w:t xml:space="preserve">  90 </w:t>
      </w:r>
      <w:r>
        <w:rPr>
          <w:rFonts w:hint="eastAsia" w:hAnsi="宋体"/>
        </w:rPr>
        <w:t>天内</w:t>
      </w:r>
    </w:p>
    <w:p w14:paraId="2893C863">
      <w:pPr>
        <w:tabs>
          <w:tab w:val="left" w:pos="420"/>
          <w:tab w:val="left" w:pos="900"/>
        </w:tabs>
        <w:adjustRightInd w:val="0"/>
        <w:snapToGrid w:val="0"/>
        <w:spacing w:line="360" w:lineRule="auto"/>
        <w:ind w:firstLine="420" w:firstLineChars="200"/>
        <w:rPr>
          <w:rFonts w:ascii="宋体" w:hAnsi="宋体"/>
          <w:szCs w:val="21"/>
        </w:rPr>
      </w:pPr>
      <w:r>
        <w:rPr>
          <w:rFonts w:hint="eastAsia" w:hAnsi="宋体"/>
          <w:szCs w:val="21"/>
        </w:rPr>
        <w:t>（五）</w:t>
      </w:r>
      <w:r>
        <w:rPr>
          <w:rFonts w:hAnsi="宋体"/>
          <w:szCs w:val="21"/>
        </w:rPr>
        <w:t>交付地点：</w:t>
      </w:r>
      <w:r>
        <w:rPr>
          <w:rFonts w:hAnsi="宋体"/>
          <w:szCs w:val="21"/>
          <w:u w:val="single"/>
        </w:rPr>
        <w:t xml:space="preserve">   </w:t>
      </w:r>
      <w:r>
        <w:rPr>
          <w:rFonts w:hint="eastAsia" w:hAnsi="宋体"/>
          <w:szCs w:val="21"/>
          <w:u w:val="single"/>
        </w:rPr>
        <w:t>西安交通大学创新港校区分析测试中心</w:t>
      </w:r>
      <w:r>
        <w:rPr>
          <w:rFonts w:hAnsi="宋体"/>
          <w:szCs w:val="21"/>
          <w:u w:val="single"/>
        </w:rPr>
        <w:t>18</w:t>
      </w:r>
      <w:r>
        <w:rPr>
          <w:rFonts w:hint="eastAsia" w:hAnsi="宋体"/>
          <w:szCs w:val="21"/>
          <w:u w:val="single"/>
        </w:rPr>
        <w:t>号副楼2</w:t>
      </w:r>
      <w:r>
        <w:rPr>
          <w:rFonts w:hAnsi="宋体"/>
          <w:szCs w:val="21"/>
          <w:u w:val="single"/>
        </w:rPr>
        <w:t xml:space="preserve">002                                                         </w:t>
      </w:r>
    </w:p>
    <w:p w14:paraId="42E8E306">
      <w:pPr>
        <w:tabs>
          <w:tab w:val="left" w:pos="900"/>
        </w:tabs>
        <w:adjustRightInd w:val="0"/>
        <w:snapToGrid w:val="0"/>
        <w:spacing w:line="360" w:lineRule="auto"/>
        <w:ind w:firstLine="420" w:firstLineChars="200"/>
        <w:rPr>
          <w:rFonts w:hAnsi="宋体"/>
          <w:szCs w:val="21"/>
        </w:rPr>
      </w:pPr>
      <w:r>
        <w:rPr>
          <w:rFonts w:hint="eastAsia" w:hAnsi="宋体"/>
          <w:szCs w:val="21"/>
        </w:rPr>
        <w:t>（六）付款进度安排：</w:t>
      </w:r>
      <w:r>
        <w:rPr>
          <w:rFonts w:ascii="Segoe UI Symbol" w:hAnsi="Segoe UI Symbol" w:cs="Segoe UI Symbol"/>
        </w:rPr>
        <w:t>☑</w:t>
      </w:r>
      <w:r>
        <w:rPr>
          <w:rFonts w:hint="eastAsia" w:hAnsi="宋体"/>
          <w:szCs w:val="21"/>
        </w:rPr>
        <w:t>按</w:t>
      </w:r>
      <w:r>
        <w:rPr>
          <w:rFonts w:hAnsi="宋体"/>
          <w:szCs w:val="21"/>
        </w:rPr>
        <w:t>采购文件</w:t>
      </w:r>
      <w:r>
        <w:rPr>
          <w:rFonts w:hint="eastAsia" w:hAnsi="宋体"/>
          <w:szCs w:val="21"/>
        </w:rPr>
        <w:t>要求。</w:t>
      </w:r>
    </w:p>
    <w:p w14:paraId="5806DD52">
      <w:pPr>
        <w:tabs>
          <w:tab w:val="left" w:pos="900"/>
        </w:tabs>
        <w:adjustRightInd w:val="0"/>
        <w:snapToGrid w:val="0"/>
        <w:spacing w:line="360" w:lineRule="auto"/>
        <w:rPr>
          <w:rFonts w:hAnsi="宋体"/>
          <w:szCs w:val="21"/>
        </w:rPr>
      </w:pPr>
    </w:p>
    <w:p w14:paraId="45124491">
      <w:pPr>
        <w:tabs>
          <w:tab w:val="left" w:pos="900"/>
        </w:tabs>
        <w:adjustRightInd w:val="0"/>
        <w:snapToGrid w:val="0"/>
        <w:spacing w:line="360" w:lineRule="auto"/>
        <w:rPr>
          <w:rFonts w:hAnsi="宋体"/>
          <w:b/>
          <w:szCs w:val="21"/>
        </w:rPr>
      </w:pPr>
      <w:r>
        <w:rPr>
          <w:rFonts w:ascii="宋体" w:hAnsi="宋体" w:cs="宋体"/>
          <w:b/>
          <w:color w:val="000000"/>
          <w:kern w:val="0"/>
          <w:sz w:val="20"/>
          <w:szCs w:val="21"/>
        </w:rPr>
        <w:t xml:space="preserve">   </w:t>
      </w:r>
      <w:r>
        <w:rPr>
          <w:rFonts w:hint="eastAsia" w:hAnsi="宋体"/>
          <w:b/>
          <w:szCs w:val="21"/>
        </w:rPr>
        <w:t>四、采购标的需满足的质量、安全、技术规格、物理特性等要求：</w:t>
      </w:r>
    </w:p>
    <w:p w14:paraId="1B97479F">
      <w:pPr>
        <w:spacing w:line="360" w:lineRule="auto"/>
        <w:rPr>
          <w:b/>
          <w:sz w:val="24"/>
        </w:rPr>
      </w:pPr>
      <w:r>
        <w:rPr>
          <w:rFonts w:hint="eastAsia"/>
        </w:rPr>
        <w:t>“*”指标为重点关注指标，不做废标项处理</w:t>
      </w:r>
    </w:p>
    <w:p w14:paraId="389F74FC">
      <w:pPr>
        <w:spacing w:line="360" w:lineRule="auto"/>
        <w:rPr>
          <w:b/>
          <w:sz w:val="24"/>
        </w:rPr>
      </w:pPr>
      <w:bookmarkStart w:id="9" w:name="OLE_LINK12"/>
      <w:bookmarkStart w:id="10" w:name="OLE_LINK13"/>
      <w:r>
        <w:rPr>
          <w:rFonts w:hint="eastAsia"/>
          <w:b/>
          <w:sz w:val="24"/>
        </w:rPr>
        <w:t>热重分析仪：</w:t>
      </w:r>
    </w:p>
    <w:p w14:paraId="5857C0EF">
      <w:pPr>
        <w:numPr>
          <w:ilvl w:val="0"/>
          <w:numId w:val="1"/>
        </w:numPr>
        <w:spacing w:line="360" w:lineRule="auto"/>
        <w:ind w:left="0" w:firstLine="0"/>
      </w:pPr>
      <w:bookmarkStart w:id="11" w:name="OLE_LINK1"/>
      <w:bookmarkStart w:id="12" w:name="OLE_LINK2"/>
      <w:r>
        <w:t>温度范围：室温~</w:t>
      </w:r>
      <w:r>
        <w:rPr>
          <w:rFonts w:hint="eastAsia"/>
        </w:rPr>
        <w:t>1</w:t>
      </w:r>
      <w:r>
        <w:t xml:space="preserve">000 </w:t>
      </w:r>
      <w:r>
        <w:rPr>
          <w:rFonts w:hint="eastAsia" w:ascii="微软雅黑" w:hAnsi="微软雅黑" w:eastAsia="微软雅黑" w:cs="微软雅黑"/>
        </w:rPr>
        <w:t>℃</w:t>
      </w:r>
    </w:p>
    <w:p w14:paraId="3991856A">
      <w:pPr>
        <w:numPr>
          <w:ilvl w:val="0"/>
          <w:numId w:val="1"/>
        </w:numPr>
        <w:spacing w:line="360" w:lineRule="auto"/>
        <w:ind w:left="0" w:firstLine="0"/>
      </w:pPr>
      <w:r>
        <w:t>温度精度（全程）：优于±0.4</w:t>
      </w:r>
      <w:r>
        <w:rPr>
          <w:rFonts w:hint="eastAsia" w:ascii="微软雅黑" w:hAnsi="微软雅黑" w:eastAsia="微软雅黑" w:cs="微软雅黑"/>
        </w:rPr>
        <w:t>℃</w:t>
      </w:r>
    </w:p>
    <w:p w14:paraId="1EB7FF43">
      <w:pPr>
        <w:numPr>
          <w:ilvl w:val="0"/>
          <w:numId w:val="1"/>
        </w:numPr>
        <w:spacing w:line="360" w:lineRule="auto"/>
        <w:ind w:left="0" w:firstLine="0"/>
      </w:pPr>
      <w:r>
        <w:rPr>
          <w:rFonts w:hint="eastAsia"/>
          <w:vertAlign w:val="superscript"/>
        </w:rPr>
        <w:t>*</w:t>
      </w:r>
      <w:r>
        <w:rPr>
          <w:rFonts w:hint="eastAsia"/>
        </w:rPr>
        <w:t>温度准确度：</w:t>
      </w:r>
      <w:r>
        <w:t>优于±</w:t>
      </w:r>
      <w:r>
        <w:rPr>
          <w:rFonts w:hint="eastAsia"/>
        </w:rPr>
        <w:t>1</w:t>
      </w:r>
      <w:r>
        <w:rPr>
          <w:rFonts w:hint="eastAsia" w:ascii="微软雅黑" w:hAnsi="微软雅黑" w:eastAsia="微软雅黑" w:cs="微软雅黑"/>
        </w:rPr>
        <w:t>℃</w:t>
      </w:r>
    </w:p>
    <w:p w14:paraId="13C87952">
      <w:pPr>
        <w:numPr>
          <w:ilvl w:val="0"/>
          <w:numId w:val="1"/>
        </w:numPr>
        <w:spacing w:line="360" w:lineRule="auto"/>
        <w:ind w:left="0" w:firstLine="0"/>
      </w:pPr>
      <w:r>
        <w:t>升温速率：</w:t>
      </w:r>
      <w:r>
        <w:rPr>
          <w:rFonts w:hint="eastAsia"/>
        </w:rPr>
        <w:t>优于</w:t>
      </w:r>
      <w:r>
        <w:t xml:space="preserve"> 0.1 </w:t>
      </w:r>
      <w:r>
        <w:rPr>
          <w:rFonts w:hint="eastAsia"/>
        </w:rPr>
        <w:t>~</w:t>
      </w:r>
      <w:r>
        <w:t xml:space="preserve"> 200 </w:t>
      </w:r>
      <w:r>
        <w:rPr>
          <w:rFonts w:hint="eastAsia" w:ascii="微软雅黑" w:hAnsi="微软雅黑" w:eastAsia="微软雅黑" w:cs="微软雅黑"/>
        </w:rPr>
        <w:t>℃</w:t>
      </w:r>
      <w:r>
        <w:t>/min</w:t>
      </w:r>
    </w:p>
    <w:p w14:paraId="0CE2F950">
      <w:pPr>
        <w:numPr>
          <w:ilvl w:val="0"/>
          <w:numId w:val="1"/>
        </w:numPr>
        <w:spacing w:line="360" w:lineRule="auto"/>
        <w:ind w:left="0" w:firstLine="0"/>
      </w:pPr>
      <w:r>
        <w:t>天平量程：</w:t>
      </w:r>
      <w:r>
        <w:rPr>
          <w:rFonts w:hint="eastAsia"/>
        </w:rPr>
        <w:t>优于</w:t>
      </w:r>
      <w:r>
        <w:t>1 g</w:t>
      </w:r>
    </w:p>
    <w:p w14:paraId="7A832037">
      <w:pPr>
        <w:numPr>
          <w:ilvl w:val="0"/>
          <w:numId w:val="1"/>
        </w:numPr>
        <w:spacing w:line="360" w:lineRule="auto"/>
        <w:ind w:left="0" w:firstLine="0"/>
      </w:pPr>
      <w:r>
        <w:t>天平</w:t>
      </w:r>
      <w:r>
        <w:rPr>
          <w:rFonts w:hint="eastAsia"/>
        </w:rPr>
        <w:t>分辨率</w:t>
      </w:r>
      <w:r>
        <w:t>：</w:t>
      </w:r>
      <w:r>
        <w:rPr>
          <w:rFonts w:hint="eastAsia"/>
        </w:rPr>
        <w:t>优于</w:t>
      </w:r>
      <w:r>
        <w:t>0.1 μg</w:t>
      </w:r>
    </w:p>
    <w:p w14:paraId="249D70C2">
      <w:pPr>
        <w:numPr>
          <w:ilvl w:val="0"/>
          <w:numId w:val="1"/>
        </w:numPr>
        <w:spacing w:line="360" w:lineRule="auto"/>
        <w:ind w:left="0" w:firstLine="0"/>
      </w:pPr>
      <w:bookmarkStart w:id="13" w:name="OLE_LINK25"/>
      <w:bookmarkStart w:id="14" w:name="OLE_LINK24"/>
      <w:r>
        <w:rPr>
          <w:rFonts w:hint="eastAsia"/>
        </w:rPr>
        <w:t>天平称量重复性</w:t>
      </w:r>
      <w:bookmarkEnd w:id="13"/>
      <w:bookmarkEnd w:id="14"/>
      <w:r>
        <w:rPr>
          <w:rFonts w:hint="eastAsia"/>
        </w:rPr>
        <w:t>：优于0</w:t>
      </w:r>
      <w:r>
        <w:t xml:space="preserve">.001 </w:t>
      </w:r>
      <w:r>
        <w:rPr>
          <w:rFonts w:hint="eastAsia"/>
        </w:rPr>
        <w:t>mg</w:t>
      </w:r>
    </w:p>
    <w:p w14:paraId="1377D9FD">
      <w:pPr>
        <w:numPr>
          <w:ilvl w:val="0"/>
          <w:numId w:val="1"/>
        </w:numPr>
        <w:spacing w:line="360" w:lineRule="auto"/>
        <w:ind w:left="0" w:firstLine="0"/>
      </w:pPr>
      <w:r>
        <w:rPr>
          <w:rFonts w:hint="eastAsia"/>
          <w:vertAlign w:val="superscript"/>
        </w:rPr>
        <w:t>*</w:t>
      </w:r>
      <w:r>
        <w:t>天平准确度：</w:t>
      </w:r>
      <w:r>
        <w:rPr>
          <w:rFonts w:hint="eastAsia"/>
        </w:rPr>
        <w:t>优于</w:t>
      </w:r>
      <w:r>
        <w:t>±0.05 %</w:t>
      </w:r>
    </w:p>
    <w:p w14:paraId="77F28A0F">
      <w:pPr>
        <w:numPr>
          <w:ilvl w:val="0"/>
          <w:numId w:val="1"/>
        </w:numPr>
        <w:spacing w:line="360" w:lineRule="auto"/>
        <w:ind w:left="0" w:firstLine="0"/>
      </w:pPr>
      <w:r>
        <w:rPr>
          <w:rFonts w:hint="eastAsia"/>
          <w:vertAlign w:val="superscript"/>
        </w:rPr>
        <w:t>*</w:t>
      </w:r>
      <w:r>
        <w:t>重量基线漂移</w:t>
      </w:r>
      <w:r>
        <w:rPr>
          <w:rFonts w:hint="eastAsia"/>
        </w:rPr>
        <w:t>：室温~</w:t>
      </w:r>
      <w:r>
        <w:t xml:space="preserve">1000 </w:t>
      </w:r>
      <w:r>
        <w:rPr>
          <w:rFonts w:hint="eastAsia" w:ascii="微软雅黑" w:hAnsi="微软雅黑" w:eastAsia="微软雅黑" w:cs="微软雅黑"/>
        </w:rPr>
        <w:t xml:space="preserve">℃ </w:t>
      </w:r>
      <w:r>
        <w:rPr>
          <w:rFonts w:hint="eastAsia"/>
        </w:rPr>
        <w:t>优于</w:t>
      </w:r>
      <w:r>
        <w:t xml:space="preserve"> 50 μg</w:t>
      </w:r>
    </w:p>
    <w:p w14:paraId="2EA768C5">
      <w:pPr>
        <w:numPr>
          <w:ilvl w:val="0"/>
          <w:numId w:val="1"/>
        </w:numPr>
        <w:spacing w:line="360" w:lineRule="auto"/>
        <w:ind w:left="0" w:firstLine="0"/>
      </w:pPr>
      <w:r>
        <w:rPr>
          <w:rFonts w:hint="eastAsia"/>
        </w:rPr>
        <w:t>温控方式：可线性升温、降温、恒温或循环</w:t>
      </w:r>
    </w:p>
    <w:p w14:paraId="676B2934">
      <w:pPr>
        <w:numPr>
          <w:ilvl w:val="0"/>
          <w:numId w:val="1"/>
        </w:numPr>
        <w:spacing w:line="360" w:lineRule="auto"/>
        <w:ind w:left="0" w:firstLine="0"/>
      </w:pPr>
      <w:r>
        <w:rPr>
          <w:rFonts w:hint="eastAsia"/>
        </w:rPr>
        <w:t>冷却速度：1</w:t>
      </w:r>
      <w:r>
        <w:t>000</w:t>
      </w:r>
      <w:r>
        <w:rPr>
          <w:rFonts w:hint="eastAsia"/>
        </w:rPr>
        <w:t>℃到30℃，不超过</w:t>
      </w:r>
      <w:r>
        <w:t xml:space="preserve">40 </w:t>
      </w:r>
      <w:r>
        <w:rPr>
          <w:rFonts w:hint="eastAsia"/>
        </w:rPr>
        <w:t>min</w:t>
      </w:r>
    </w:p>
    <w:p w14:paraId="15188F5A">
      <w:pPr>
        <w:numPr>
          <w:ilvl w:val="0"/>
          <w:numId w:val="1"/>
        </w:numPr>
        <w:spacing w:line="360" w:lineRule="auto"/>
        <w:ind w:left="0" w:firstLine="0"/>
      </w:pPr>
      <w:r>
        <w:t>具有全自动进样功能，样品位</w:t>
      </w:r>
      <w:r>
        <w:rPr>
          <w:rFonts w:hint="eastAsia"/>
        </w:rPr>
        <w:t>不少于</w:t>
      </w:r>
      <w:r>
        <w:t>25个</w:t>
      </w:r>
    </w:p>
    <w:p w14:paraId="6A4032E7">
      <w:pPr>
        <w:numPr>
          <w:ilvl w:val="0"/>
          <w:numId w:val="1"/>
        </w:numPr>
        <w:spacing w:line="360" w:lineRule="auto"/>
        <w:ind w:left="0" w:firstLine="0"/>
      </w:pPr>
      <w:r>
        <w:t>气氛</w:t>
      </w:r>
      <w:r>
        <w:rPr>
          <w:rFonts w:hint="eastAsia"/>
        </w:rPr>
        <w:t>：</w:t>
      </w:r>
      <w:r>
        <w:t>空气</w:t>
      </w:r>
      <w:r>
        <w:rPr>
          <w:rFonts w:hint="eastAsia"/>
        </w:rPr>
        <w:t>、</w:t>
      </w:r>
      <w:r>
        <w:t>惰性气体</w:t>
      </w:r>
      <w:r>
        <w:rPr>
          <w:rFonts w:hint="eastAsia"/>
        </w:rPr>
        <w:t>，真空可拓展；内置集成质量流量计；3路气体可通过软件自动切换</w:t>
      </w:r>
    </w:p>
    <w:bookmarkEnd w:id="11"/>
    <w:bookmarkEnd w:id="12"/>
    <w:p w14:paraId="3BEDC580">
      <w:pPr>
        <w:numPr>
          <w:ilvl w:val="0"/>
          <w:numId w:val="1"/>
        </w:numPr>
        <w:spacing w:line="360" w:lineRule="auto"/>
        <w:ind w:left="0" w:firstLine="0"/>
      </w:pPr>
      <w:r>
        <w:t>标准样品</w:t>
      </w:r>
      <w:r>
        <w:rPr>
          <w:rFonts w:hint="eastAsia"/>
        </w:rPr>
        <w:t>：</w:t>
      </w:r>
      <w:r>
        <w:t>仪器校准用标准金</w:t>
      </w:r>
      <w:r>
        <w:rPr>
          <w:rFonts w:hint="eastAsia"/>
        </w:rPr>
        <w:t>属样品一套（带证书），覆盖所提供设备的全温度测试区间</w:t>
      </w:r>
    </w:p>
    <w:p w14:paraId="33204338">
      <w:pPr>
        <w:numPr>
          <w:ilvl w:val="0"/>
          <w:numId w:val="1"/>
        </w:numPr>
        <w:spacing w:line="360" w:lineRule="auto"/>
        <w:ind w:left="0" w:firstLine="0"/>
      </w:pPr>
      <w:r>
        <w:t>质量（重量）校准标准品</w:t>
      </w:r>
      <w:r>
        <w:rPr>
          <w:rFonts w:hint="eastAsia"/>
        </w:rPr>
        <w:t>一套，</w:t>
      </w:r>
      <w:r>
        <w:t xml:space="preserve"> F1 级</w:t>
      </w:r>
      <w:r>
        <w:rPr>
          <w:rFonts w:hint="eastAsia"/>
        </w:rPr>
        <w:t>，</w:t>
      </w:r>
      <w:r>
        <w:t>1mg、5mg、10mg、20mg、100mg</w:t>
      </w:r>
    </w:p>
    <w:p w14:paraId="2BBE8376">
      <w:pPr>
        <w:numPr>
          <w:ilvl w:val="0"/>
          <w:numId w:val="1"/>
        </w:numPr>
        <w:spacing w:line="360" w:lineRule="auto"/>
        <w:ind w:left="0" w:firstLine="0"/>
      </w:pPr>
      <w:r>
        <w:rPr>
          <w:rFonts w:hint="eastAsia"/>
        </w:rPr>
        <w:t>样品支架：总支架数量不少于</w:t>
      </w:r>
      <w:r>
        <w:t>5</w:t>
      </w:r>
      <w:r>
        <w:rPr>
          <w:rFonts w:hint="eastAsia"/>
        </w:rPr>
        <w:t>个，常规高纯氧化铝陶瓷支架不少于</w:t>
      </w:r>
      <w:r>
        <w:t>3</w:t>
      </w:r>
      <w:r>
        <w:rPr>
          <w:rFonts w:hint="eastAsia"/>
        </w:rPr>
        <w:t>个，全陶瓷耐腐蚀支架数量不少于2个</w:t>
      </w:r>
    </w:p>
    <w:p w14:paraId="46C6160A">
      <w:pPr>
        <w:numPr>
          <w:ilvl w:val="0"/>
          <w:numId w:val="1"/>
        </w:numPr>
        <w:spacing w:line="360" w:lineRule="auto"/>
        <w:ind w:left="0" w:firstLine="0"/>
      </w:pPr>
      <w:r>
        <w:rPr>
          <w:rFonts w:hint="eastAsia"/>
        </w:rPr>
        <w:t>常用维修工具一套，进口氧化铝坩埚不少于100套（带盖），铂铑坩埚不少于20套（带盖），其他氧化铝坩埚</w:t>
      </w:r>
      <w:r>
        <w:t>3</w:t>
      </w:r>
      <w:r>
        <w:rPr>
          <w:rFonts w:hint="eastAsia"/>
        </w:rPr>
        <w:t>种量程各不少于1000套</w:t>
      </w:r>
      <w:bookmarkStart w:id="15" w:name="_Hlk227135268"/>
      <w:r>
        <w:rPr>
          <w:rFonts w:hint="eastAsia"/>
        </w:rPr>
        <w:t>（带盖）</w:t>
      </w:r>
      <w:bookmarkEnd w:id="15"/>
      <w:r>
        <w:rPr>
          <w:rFonts w:hint="eastAsia"/>
        </w:rPr>
        <w:t>，根据用户需求确定量程</w:t>
      </w:r>
    </w:p>
    <w:p w14:paraId="3848651C">
      <w:pPr>
        <w:numPr>
          <w:ilvl w:val="0"/>
          <w:numId w:val="1"/>
        </w:numPr>
        <w:spacing w:line="360" w:lineRule="auto"/>
        <w:ind w:left="0" w:firstLine="0"/>
      </w:pPr>
      <w:r>
        <w:rPr>
          <w:rFonts w:hint="eastAsia"/>
        </w:rPr>
        <w:t>专业热分析软件，包括实验方法编辑、运行、数据自动存储、编辑分析、数据处理输出等功能</w:t>
      </w:r>
    </w:p>
    <w:p w14:paraId="758BD7FA">
      <w:pPr>
        <w:spacing w:line="360" w:lineRule="auto"/>
      </w:pPr>
    </w:p>
    <w:p w14:paraId="10E97DDF">
      <w:pPr>
        <w:spacing w:line="360" w:lineRule="auto"/>
        <w:rPr>
          <w:b/>
          <w:sz w:val="24"/>
        </w:rPr>
      </w:pPr>
      <w:r>
        <w:rPr>
          <w:rFonts w:hint="eastAsia"/>
          <w:b/>
          <w:sz w:val="24"/>
        </w:rPr>
        <w:t>红外光谱仪：</w:t>
      </w:r>
    </w:p>
    <w:p w14:paraId="688E84CA">
      <w:pPr>
        <w:numPr>
          <w:ilvl w:val="0"/>
          <w:numId w:val="1"/>
        </w:numPr>
        <w:spacing w:line="360" w:lineRule="auto"/>
        <w:ind w:left="0" w:firstLine="0"/>
      </w:pPr>
      <w:bookmarkStart w:id="16" w:name="OLE_LINK8"/>
      <w:r>
        <w:rPr>
          <w:rFonts w:hint="eastAsia"/>
          <w:bCs/>
        </w:rPr>
        <w:t>红外波数范围</w:t>
      </w:r>
      <w:bookmarkEnd w:id="16"/>
      <w:r>
        <w:rPr>
          <w:rFonts w:hint="eastAsia"/>
          <w:bCs/>
        </w:rPr>
        <w:t>：覆盖5</w:t>
      </w:r>
      <w:r>
        <w:rPr>
          <w:bCs/>
        </w:rPr>
        <w:t xml:space="preserve">500-650 </w:t>
      </w:r>
      <w:r>
        <w:rPr>
          <w:rFonts w:hint="eastAsia"/>
          <w:bCs/>
        </w:rPr>
        <w:t>cm</w:t>
      </w:r>
      <w:r>
        <w:rPr>
          <w:bCs/>
          <w:vertAlign w:val="superscript"/>
        </w:rPr>
        <w:t>-1</w:t>
      </w:r>
      <w:r>
        <w:rPr>
          <w:rFonts w:hint="eastAsia"/>
          <w:bCs/>
        </w:rPr>
        <w:t>波段</w:t>
      </w:r>
      <w:r>
        <w:t xml:space="preserve"> </w:t>
      </w:r>
    </w:p>
    <w:p w14:paraId="3E891CBD">
      <w:pPr>
        <w:numPr>
          <w:ilvl w:val="0"/>
          <w:numId w:val="1"/>
        </w:numPr>
        <w:spacing w:line="360" w:lineRule="auto"/>
        <w:ind w:left="0" w:firstLine="0"/>
      </w:pPr>
      <w:r>
        <w:rPr>
          <w:rFonts w:hint="eastAsia"/>
        </w:rPr>
        <w:t>光谱分辨率：优于0.</w:t>
      </w:r>
      <w:r>
        <w:t>5</w:t>
      </w:r>
      <w:bookmarkStart w:id="17" w:name="OLE_LINK5"/>
      <w:bookmarkStart w:id="18" w:name="OLE_LINK6"/>
      <w:r>
        <w:t xml:space="preserve"> </w:t>
      </w:r>
      <w:r>
        <w:rPr>
          <w:rFonts w:hint="eastAsia"/>
        </w:rPr>
        <w:t>m</w:t>
      </w:r>
      <w:r>
        <w:rPr>
          <w:vertAlign w:val="superscript"/>
        </w:rPr>
        <w:t>-1</w:t>
      </w:r>
      <w:bookmarkEnd w:id="17"/>
      <w:bookmarkEnd w:id="18"/>
      <w:r>
        <w:t xml:space="preserve"> </w:t>
      </w:r>
    </w:p>
    <w:p w14:paraId="2D2052F5">
      <w:pPr>
        <w:numPr>
          <w:ilvl w:val="0"/>
          <w:numId w:val="1"/>
        </w:numPr>
        <w:spacing w:line="360" w:lineRule="auto"/>
        <w:ind w:left="0" w:firstLine="0"/>
      </w:pPr>
      <w:r>
        <w:rPr>
          <w:rFonts w:hint="eastAsia"/>
        </w:rPr>
        <w:t>波数精度：优于0</w:t>
      </w:r>
      <w:r>
        <w:t xml:space="preserve">.02 </w:t>
      </w:r>
      <w:r>
        <w:rPr>
          <w:rFonts w:hint="eastAsia"/>
        </w:rPr>
        <w:t>cm</w:t>
      </w:r>
      <w:r>
        <w:rPr>
          <w:vertAlign w:val="superscript"/>
        </w:rPr>
        <w:t>-1</w:t>
      </w:r>
    </w:p>
    <w:p w14:paraId="4C1B41BE">
      <w:pPr>
        <w:numPr>
          <w:ilvl w:val="0"/>
          <w:numId w:val="1"/>
        </w:numPr>
        <w:spacing w:line="360" w:lineRule="auto"/>
        <w:ind w:left="0" w:firstLine="0"/>
      </w:pPr>
      <w:r>
        <w:rPr>
          <w:rFonts w:hint="eastAsia"/>
        </w:rPr>
        <w:t>扫描速度（4 cm</w:t>
      </w:r>
      <w:r>
        <w:rPr>
          <w:vertAlign w:val="superscript"/>
        </w:rPr>
        <w:t>-1</w:t>
      </w:r>
      <w:r>
        <w:rPr>
          <w:rFonts w:hint="eastAsia"/>
        </w:rPr>
        <w:t>）：不低于3</w:t>
      </w:r>
      <w:r>
        <w:t>0</w:t>
      </w:r>
      <w:r>
        <w:rPr>
          <w:rFonts w:hint="eastAsia"/>
        </w:rPr>
        <w:t>张光谱/秒</w:t>
      </w:r>
    </w:p>
    <w:p w14:paraId="4CB5ED77">
      <w:pPr>
        <w:numPr>
          <w:ilvl w:val="0"/>
          <w:numId w:val="1"/>
        </w:numPr>
        <w:spacing w:line="360" w:lineRule="auto"/>
        <w:ind w:left="0" w:firstLine="0"/>
      </w:pPr>
      <w:r>
        <w:rPr>
          <w:rFonts w:hint="eastAsia"/>
        </w:rPr>
        <w:t>*信噪比或检出限：优于</w:t>
      </w:r>
      <w:r>
        <w:t>600</w:t>
      </w:r>
      <w:r>
        <w:rPr>
          <w:rFonts w:hint="eastAsia"/>
        </w:rPr>
        <w:t>0</w:t>
      </w:r>
      <w:r>
        <w:t>0</w:t>
      </w:r>
      <w:r>
        <w:rPr>
          <w:rFonts w:hint="eastAsia"/>
        </w:rPr>
        <w:t>：1（分辨率4</w:t>
      </w:r>
      <w:r>
        <w:t xml:space="preserve"> </w:t>
      </w:r>
      <w:r>
        <w:rPr>
          <w:rFonts w:hint="eastAsia"/>
        </w:rPr>
        <w:t>cm</w:t>
      </w:r>
      <w:r>
        <w:rPr>
          <w:vertAlign w:val="superscript"/>
        </w:rPr>
        <w:t>-1</w:t>
      </w:r>
      <w:r>
        <w:rPr>
          <w:rFonts w:hint="eastAsia"/>
        </w:rPr>
        <w:t>，KBr分束器，1分钟扫描）或检出限优于1</w:t>
      </w:r>
      <w:r>
        <w:t xml:space="preserve">0 </w:t>
      </w:r>
      <w:r>
        <w:rPr>
          <w:rFonts w:hint="eastAsia"/>
        </w:rPr>
        <w:t>ppm</w:t>
      </w:r>
    </w:p>
    <w:p w14:paraId="7A63C718">
      <w:pPr>
        <w:numPr>
          <w:ilvl w:val="0"/>
          <w:numId w:val="1"/>
        </w:numPr>
        <w:spacing w:line="360" w:lineRule="auto"/>
        <w:ind w:left="0" w:firstLine="0"/>
      </w:pPr>
      <w:r>
        <w:rPr>
          <w:rFonts w:hint="eastAsia"/>
        </w:rPr>
        <w:t>*透光率准度：优于0.</w:t>
      </w:r>
      <w:r>
        <w:t xml:space="preserve">1 </w:t>
      </w:r>
      <w:r>
        <w:rPr>
          <w:rFonts w:hint="eastAsia"/>
        </w:rPr>
        <w:t>%T</w:t>
      </w:r>
    </w:p>
    <w:p w14:paraId="33AA607F">
      <w:pPr>
        <w:numPr>
          <w:ilvl w:val="0"/>
          <w:numId w:val="1"/>
        </w:numPr>
        <w:spacing w:line="360" w:lineRule="auto"/>
        <w:ind w:left="0" w:firstLine="0"/>
      </w:pPr>
      <w:r>
        <w:rPr>
          <w:rFonts w:hint="eastAsia" w:ascii="宋体" w:hAnsi="宋体" w:cs="宋体"/>
          <w:spacing w:val="5"/>
          <w:szCs w:val="21"/>
        </w:rPr>
        <w:t>红外光源：陶瓷光源</w:t>
      </w:r>
    </w:p>
    <w:p w14:paraId="60D9CDE4">
      <w:pPr>
        <w:numPr>
          <w:ilvl w:val="0"/>
          <w:numId w:val="1"/>
        </w:numPr>
        <w:spacing w:line="360" w:lineRule="auto"/>
        <w:ind w:left="0" w:firstLine="0"/>
      </w:pPr>
      <w:r>
        <w:rPr>
          <w:rFonts w:hint="eastAsia"/>
        </w:rPr>
        <w:t>光学台：密封干燥光学台，包括可重复使用的干燥装置</w:t>
      </w:r>
    </w:p>
    <w:p w14:paraId="1EBC8C81">
      <w:pPr>
        <w:numPr>
          <w:ilvl w:val="0"/>
          <w:numId w:val="1"/>
        </w:numPr>
        <w:spacing w:line="360" w:lineRule="auto"/>
        <w:ind w:left="0" w:firstLine="0"/>
      </w:pPr>
      <w:r>
        <w:rPr>
          <w:rFonts w:hint="eastAsia"/>
        </w:rPr>
        <w:t>光学腔具备吹扫端口，可将光学腔中环境干扰组分吹扫至1ppm以下</w:t>
      </w:r>
    </w:p>
    <w:p w14:paraId="420D475D">
      <w:pPr>
        <w:numPr>
          <w:ilvl w:val="0"/>
          <w:numId w:val="1"/>
        </w:numPr>
        <w:spacing w:line="360" w:lineRule="auto"/>
        <w:ind w:left="0" w:firstLine="0"/>
      </w:pPr>
      <w:r>
        <w:rPr>
          <w:rFonts w:hint="eastAsia"/>
        </w:rPr>
        <w:t>检测器：至少包括</w:t>
      </w:r>
      <w:r>
        <w:t>MCT</w:t>
      </w:r>
      <w:r>
        <w:rPr>
          <w:rFonts w:hint="eastAsia"/>
        </w:rPr>
        <w:t>检测器，并提供所有配件（如真空泵附件，真空度至5</w:t>
      </w:r>
      <w:r>
        <w:t>*</w:t>
      </w:r>
      <w:r>
        <w:rPr>
          <w:rFonts w:hint="eastAsia"/>
        </w:rPr>
        <w:t>1</w:t>
      </w:r>
      <w:r>
        <w:t>0</w:t>
      </w:r>
      <w:r>
        <w:rPr>
          <w:vertAlign w:val="superscript"/>
        </w:rPr>
        <w:t xml:space="preserve">-7 </w:t>
      </w:r>
      <w:r>
        <w:rPr>
          <w:rFonts w:hint="eastAsia"/>
        </w:rPr>
        <w:t>mb</w:t>
      </w:r>
      <w:r>
        <w:t>ar</w:t>
      </w:r>
      <w:r>
        <w:rPr>
          <w:rFonts w:hint="eastAsia"/>
        </w:rPr>
        <w:t>），满足气体检测需求</w:t>
      </w:r>
      <w:r>
        <w:t xml:space="preserve"> </w:t>
      </w:r>
    </w:p>
    <w:p w14:paraId="12779FCB">
      <w:pPr>
        <w:numPr>
          <w:ilvl w:val="0"/>
          <w:numId w:val="1"/>
        </w:numPr>
        <w:spacing w:line="360" w:lineRule="auto"/>
        <w:ind w:left="0" w:firstLine="0"/>
      </w:pPr>
      <w:r>
        <w:rPr>
          <w:rFonts w:hint="eastAsia"/>
        </w:rPr>
        <w:t>气体吸收池：具有智能的内部温度、内部压力感应接头</w:t>
      </w:r>
    </w:p>
    <w:p w14:paraId="1239DC88">
      <w:pPr>
        <w:numPr>
          <w:ilvl w:val="0"/>
          <w:numId w:val="1"/>
        </w:numPr>
        <w:spacing w:line="360" w:lineRule="auto"/>
        <w:ind w:left="0" w:firstLine="0"/>
      </w:pPr>
      <w:r>
        <w:rPr>
          <w:rFonts w:hint="eastAsia"/>
        </w:rPr>
        <w:t>自检软件可提示仪器状态，帮助排查仪器异常原因</w:t>
      </w:r>
    </w:p>
    <w:p w14:paraId="50CE0035">
      <w:pPr>
        <w:numPr>
          <w:ilvl w:val="0"/>
          <w:numId w:val="1"/>
        </w:numPr>
        <w:spacing w:line="360" w:lineRule="auto"/>
        <w:ind w:left="0" w:firstLine="0"/>
      </w:pPr>
      <w:r>
        <w:rPr>
          <w:rFonts w:hint="eastAsia"/>
        </w:rPr>
        <w:t>中英文红外控制及数据处理软件：提供原厂正版标准谱图库，包括固体红外数据库及标准气体红外数据库，终身免费升级；提供仪器控制、谱图显示、提供各类光谱处理函数，如基线校正、标峰、光谱差减等，须提供可离线安装数据分析软件，终身免费升级</w:t>
      </w:r>
      <w:r>
        <w:t xml:space="preserve"> </w:t>
      </w:r>
    </w:p>
    <w:p w14:paraId="09EAD0F1">
      <w:pPr>
        <w:numPr>
          <w:ilvl w:val="0"/>
          <w:numId w:val="1"/>
        </w:numPr>
        <w:spacing w:line="360" w:lineRule="auto"/>
        <w:ind w:left="0" w:firstLine="0"/>
      </w:pPr>
      <w:r>
        <w:rPr>
          <w:rFonts w:hint="eastAsia"/>
        </w:rPr>
        <w:t>*无需更换配件，能够通过硬件配置或软件功能可快速实现逸出气体的定量分析</w:t>
      </w:r>
    </w:p>
    <w:p w14:paraId="0F7AFE31">
      <w:pPr>
        <w:spacing w:line="360" w:lineRule="auto"/>
        <w:rPr>
          <w:b/>
          <w:sz w:val="24"/>
        </w:rPr>
      </w:pPr>
      <w:r>
        <w:rPr>
          <w:rFonts w:hint="eastAsia"/>
          <w:b/>
          <w:sz w:val="24"/>
        </w:rPr>
        <w:t>联用功能：</w:t>
      </w:r>
    </w:p>
    <w:p w14:paraId="7C7662E2">
      <w:pPr>
        <w:numPr>
          <w:ilvl w:val="0"/>
          <w:numId w:val="1"/>
        </w:numPr>
        <w:spacing w:line="360" w:lineRule="auto"/>
        <w:ind w:left="0" w:firstLine="0"/>
      </w:pPr>
      <w:r>
        <w:rPr>
          <w:rFonts w:hint="eastAsia"/>
        </w:rPr>
        <w:t>红外气体池、传输管线等连接部件温度可显示可单独调控，连接部件最高可至</w:t>
      </w:r>
      <w:r>
        <w:t>350</w:t>
      </w:r>
      <w:r>
        <w:rPr>
          <w:rFonts w:hint="eastAsia" w:ascii="微软雅黑" w:hAnsi="微软雅黑" w:eastAsia="微软雅黑" w:cs="微软雅黑"/>
        </w:rPr>
        <w:t>℃</w:t>
      </w:r>
    </w:p>
    <w:p w14:paraId="64BC6412">
      <w:pPr>
        <w:numPr>
          <w:ilvl w:val="0"/>
          <w:numId w:val="1"/>
        </w:numPr>
        <w:spacing w:line="360" w:lineRule="auto"/>
        <w:ind w:left="0" w:firstLine="0"/>
      </w:pPr>
      <w:r>
        <w:rPr>
          <w:rFonts w:hint="eastAsia"/>
        </w:rPr>
        <w:t>热重、红外联用时可自动触发</w:t>
      </w:r>
    </w:p>
    <w:p w14:paraId="2A57FD01">
      <w:pPr>
        <w:numPr>
          <w:ilvl w:val="0"/>
          <w:numId w:val="1"/>
        </w:numPr>
        <w:spacing w:line="360" w:lineRule="auto"/>
        <w:ind w:left="0" w:firstLine="0"/>
      </w:pPr>
      <w:r>
        <w:rPr>
          <w:rFonts w:hint="eastAsia"/>
        </w:rPr>
        <w:t>设备能够拓展与质谱连接，实现质谱实时监测功能</w:t>
      </w:r>
    </w:p>
    <w:p w14:paraId="0C91C983">
      <w:pPr>
        <w:numPr>
          <w:ilvl w:val="0"/>
          <w:numId w:val="1"/>
        </w:numPr>
        <w:spacing w:line="360" w:lineRule="auto"/>
        <w:ind w:left="0" w:firstLine="0"/>
      </w:pPr>
      <w:r>
        <w:rPr>
          <w:rFonts w:hint="eastAsia"/>
        </w:rPr>
        <w:t>能够与除热重外的其他气体产生单元连接，并配置红外转接口</w:t>
      </w:r>
    </w:p>
    <w:p w14:paraId="317E9399">
      <w:pPr>
        <w:numPr>
          <w:ilvl w:val="0"/>
          <w:numId w:val="1"/>
        </w:numPr>
        <w:spacing w:line="360" w:lineRule="auto"/>
        <w:ind w:left="0" w:firstLine="0"/>
      </w:pPr>
      <w:r>
        <w:rPr>
          <w:rFonts w:hint="eastAsia"/>
        </w:rPr>
        <w:t>安装调试中现场水电气线路改造、安装调试及人员等一切费用厂家自理</w:t>
      </w:r>
    </w:p>
    <w:p w14:paraId="5E5659AF">
      <w:pPr>
        <w:numPr>
          <w:ilvl w:val="0"/>
          <w:numId w:val="1"/>
        </w:numPr>
        <w:spacing w:line="360" w:lineRule="auto"/>
        <w:ind w:left="0" w:firstLine="0"/>
      </w:pPr>
      <w:r>
        <w:rPr>
          <w:rFonts w:hint="eastAsia"/>
        </w:rPr>
        <w:t>电脑工作站一台套，主流电脑品牌（参考品牌戴尔、惠普、联想，或不低于同等次品牌），双屏显示器，Intel i9～9900K及以上，64G 内存及以上，512固态硬盘+8T HDD，独立显卡4G，DVD～RW，32英寸液晶曲面屏显示器双屏显示控制系统，OS：Windows 10 (64 bit) 及以上），质保3年</w:t>
      </w:r>
    </w:p>
    <w:p w14:paraId="20A35629">
      <w:pPr>
        <w:numPr>
          <w:ilvl w:val="0"/>
          <w:numId w:val="1"/>
        </w:numPr>
        <w:spacing w:line="360" w:lineRule="auto"/>
        <w:ind w:left="0" w:firstLine="0"/>
      </w:pPr>
      <w:r>
        <w:t>UPS</w:t>
      </w:r>
      <w:r>
        <w:rPr>
          <w:rFonts w:hint="eastAsia"/>
        </w:rPr>
        <w:t>一套，10KVA，延时至少2小时（参考品牌山特维克，或不低于同等次品牌）</w:t>
      </w:r>
    </w:p>
    <w:p w14:paraId="2D768D3A">
      <w:pPr>
        <w:numPr>
          <w:ilvl w:val="0"/>
          <w:numId w:val="1"/>
        </w:numPr>
        <w:spacing w:line="360" w:lineRule="auto"/>
        <w:ind w:left="0" w:firstLine="0"/>
      </w:pPr>
      <w:r>
        <w:rPr>
          <w:rFonts w:hint="eastAsia"/>
        </w:rPr>
        <w:t>提供所有设备必要的备件及清单（须提供窗片、连接管线、</w:t>
      </w:r>
      <w:r>
        <w:t>密封圈</w:t>
      </w:r>
      <w:r>
        <w:rPr>
          <w:rFonts w:hint="eastAsia"/>
        </w:rPr>
        <w:t>、干燥剂，均不少于</w:t>
      </w:r>
      <w:r>
        <w:t>5</w:t>
      </w:r>
      <w:r>
        <w:rPr>
          <w:rFonts w:hint="eastAsia"/>
        </w:rPr>
        <w:t>套）、耗材的折扣价</w:t>
      </w:r>
    </w:p>
    <w:bookmarkEnd w:id="9"/>
    <w:bookmarkEnd w:id="10"/>
    <w:p w14:paraId="4FEC5844">
      <w:pPr>
        <w:spacing w:line="360" w:lineRule="auto"/>
      </w:pPr>
    </w:p>
    <w:p w14:paraId="1994FA34">
      <w:pPr>
        <w:tabs>
          <w:tab w:val="left" w:pos="900"/>
        </w:tabs>
        <w:adjustRightInd w:val="0"/>
        <w:snapToGrid w:val="0"/>
        <w:spacing w:line="360" w:lineRule="auto"/>
        <w:rPr>
          <w:rFonts w:hAnsi="宋体"/>
          <w:b/>
          <w:szCs w:val="21"/>
        </w:rPr>
      </w:pPr>
      <w:r>
        <w:rPr>
          <w:rFonts w:hint="eastAsia" w:hAnsi="宋体"/>
          <w:b/>
          <w:szCs w:val="21"/>
        </w:rPr>
        <w:t>五、采购标的需满足的服务标准、期限、效率等要求</w:t>
      </w:r>
    </w:p>
    <w:p w14:paraId="5945AF42">
      <w:pPr>
        <w:tabs>
          <w:tab w:val="left" w:pos="420"/>
          <w:tab w:val="left" w:pos="900"/>
        </w:tabs>
        <w:adjustRightInd w:val="0"/>
        <w:snapToGrid w:val="0"/>
        <w:spacing w:line="360" w:lineRule="auto"/>
        <w:rPr>
          <w:rFonts w:ascii="宋体" w:hAnsi="宋体"/>
          <w:szCs w:val="21"/>
        </w:rPr>
      </w:pPr>
      <w:r>
        <w:rPr>
          <w:rFonts w:hint="eastAsia" w:ascii="宋体" w:hAnsi="宋体"/>
          <w:szCs w:val="21"/>
        </w:rPr>
        <w:t xml:space="preserve">（一）整机质保期： </w:t>
      </w:r>
      <w:r>
        <w:rPr>
          <w:rFonts w:hint="eastAsia"/>
        </w:rPr>
        <w:t>≥</w:t>
      </w:r>
      <w:r>
        <w:rPr>
          <w:rFonts w:ascii="宋体" w:hAnsi="宋体"/>
          <w:szCs w:val="21"/>
          <w:u w:val="single"/>
        </w:rPr>
        <w:t xml:space="preserve"> 3</w:t>
      </w:r>
      <w:r>
        <w:rPr>
          <w:rFonts w:hint="eastAsia" w:ascii="宋体" w:hAnsi="宋体"/>
          <w:szCs w:val="21"/>
        </w:rPr>
        <w:t>年，</w:t>
      </w:r>
      <w:r>
        <w:rPr>
          <w:rFonts w:ascii="宋体" w:hAnsi="宋体" w:cs="宋体"/>
        </w:rPr>
        <w:t>质保期内免费维保</w:t>
      </w:r>
      <w:r>
        <w:rPr>
          <w:rFonts w:hint="eastAsia"/>
        </w:rPr>
        <w:t>≥</w:t>
      </w:r>
      <w:r>
        <w:rPr>
          <w:rFonts w:ascii="宋体" w:hAnsi="宋体"/>
          <w:szCs w:val="21"/>
          <w:u w:val="single"/>
        </w:rPr>
        <w:t xml:space="preserve"> 2 </w:t>
      </w:r>
      <w:r>
        <w:rPr>
          <w:rFonts w:ascii="宋体" w:hAnsi="宋体" w:cs="宋体"/>
        </w:rPr>
        <w:t xml:space="preserve"> 次/年，免人工服务费。</w:t>
      </w:r>
      <w:r>
        <w:rPr>
          <w:rFonts w:hint="eastAsia" w:ascii="宋体" w:hAnsi="宋体"/>
          <w:szCs w:val="21"/>
        </w:rPr>
        <w:t>质保期满后，</w:t>
      </w:r>
      <w:r>
        <w:rPr>
          <w:rFonts w:hint="eastAsia" w:ascii="宋体" w:hAnsi="宋体" w:cs="宋体"/>
          <w:spacing w:val="5"/>
          <w:szCs w:val="21"/>
        </w:rPr>
        <w:t>两年内免人工。仪器重要部件，如热重炉体质保不低于5年，红外激光器质保不低于10年，干涉仪质保不低于10年，光源质保不低于5年。</w:t>
      </w:r>
      <w:r>
        <w:rPr>
          <w:rFonts w:hint="eastAsia" w:ascii="宋体" w:hAnsi="宋体" w:cs="宋体"/>
        </w:rPr>
        <w:t>支架和检测器等维修维护不受质保时间约束，支架免费维修不少于3次，检测器真空免费维护不少于3次。</w:t>
      </w:r>
      <w:r>
        <w:rPr>
          <w:rFonts w:hint="eastAsia" w:ascii="宋体" w:hAnsi="宋体" w:cs="宋体"/>
          <w:spacing w:val="5"/>
          <w:szCs w:val="21"/>
        </w:rPr>
        <w:t>质保期满后仍</w:t>
      </w:r>
      <w:r>
        <w:rPr>
          <w:rFonts w:hint="eastAsia" w:ascii="宋体" w:hAnsi="宋体"/>
          <w:szCs w:val="21"/>
        </w:rPr>
        <w:t>需提供专业维修服务，投标人在投标文件中需注明维修服务单项报价。</w:t>
      </w:r>
    </w:p>
    <w:p w14:paraId="7562932A">
      <w:pPr>
        <w:tabs>
          <w:tab w:val="left" w:pos="420"/>
          <w:tab w:val="left" w:pos="900"/>
        </w:tabs>
        <w:adjustRightInd w:val="0"/>
        <w:snapToGrid w:val="0"/>
        <w:spacing w:line="360" w:lineRule="auto"/>
        <w:rPr>
          <w:rFonts w:ascii="宋体" w:hAnsi="宋体"/>
          <w:szCs w:val="21"/>
        </w:rPr>
      </w:pPr>
      <w:r>
        <w:rPr>
          <w:rFonts w:hint="eastAsia" w:ascii="宋体" w:hAnsi="宋体"/>
          <w:szCs w:val="21"/>
        </w:rPr>
        <w:t>（二）服务响应时间：接到维修电话后4小时内给予明确答复，8小时内到达现场维修。维修人员到现场后若问题特殊无法现场修复的，中标人需在24小时内给出合理解决方案。</w:t>
      </w:r>
    </w:p>
    <w:p w14:paraId="55047D2C">
      <w:pPr>
        <w:tabs>
          <w:tab w:val="left" w:pos="420"/>
          <w:tab w:val="left" w:pos="900"/>
        </w:tabs>
        <w:adjustRightInd w:val="0"/>
        <w:snapToGrid w:val="0"/>
        <w:spacing w:line="360" w:lineRule="auto"/>
        <w:rPr>
          <w:rFonts w:ascii="宋体" w:hAnsi="宋体"/>
          <w:szCs w:val="21"/>
        </w:rPr>
      </w:pPr>
      <w:r>
        <w:rPr>
          <w:rFonts w:hint="eastAsia" w:ascii="宋体" w:hAnsi="宋体"/>
          <w:szCs w:val="21"/>
        </w:rPr>
        <w:t>（三）</w:t>
      </w:r>
      <w:r>
        <w:rPr>
          <w:rFonts w:ascii="宋体" w:hAnsi="宋体"/>
          <w:szCs w:val="21"/>
        </w:rPr>
        <w:t>培训</w:t>
      </w:r>
      <w:r>
        <w:rPr>
          <w:rFonts w:hint="eastAsia" w:ascii="宋体" w:hAnsi="宋体"/>
          <w:szCs w:val="21"/>
        </w:rPr>
        <w:t>要求：中标人需</w:t>
      </w:r>
      <w:r>
        <w:rPr>
          <w:rFonts w:ascii="宋体" w:hAnsi="宋体"/>
          <w:szCs w:val="21"/>
        </w:rPr>
        <w:t>提供培训电子资料及视频；免费为用户培训至少</w:t>
      </w:r>
      <w:r>
        <w:rPr>
          <w:rFonts w:ascii="宋体" w:hAnsi="宋体"/>
          <w:szCs w:val="21"/>
          <w:u w:val="single"/>
        </w:rPr>
        <w:t xml:space="preserve">  2   </w:t>
      </w:r>
      <w:r>
        <w:rPr>
          <w:rFonts w:ascii="宋体" w:hAnsi="宋体"/>
          <w:szCs w:val="21"/>
        </w:rPr>
        <w:t>名操作人员进行为期至少</w:t>
      </w:r>
      <w:r>
        <w:rPr>
          <w:rFonts w:ascii="宋体" w:hAnsi="宋体"/>
          <w:szCs w:val="21"/>
          <w:u w:val="single"/>
        </w:rPr>
        <w:t xml:space="preserve">   1   </w:t>
      </w:r>
      <w:r>
        <w:rPr>
          <w:rFonts w:ascii="宋体" w:hAnsi="宋体"/>
          <w:szCs w:val="21"/>
        </w:rPr>
        <w:t>天的现场操作培训以及应用培训，保证用户掌握有关设备的使用、维护、管理和应用等工作要求</w:t>
      </w:r>
      <w:r>
        <w:rPr>
          <w:rFonts w:hint="eastAsia" w:ascii="宋体" w:hAnsi="宋体"/>
          <w:szCs w:val="21"/>
        </w:rPr>
        <w:t>；同时提供</w:t>
      </w:r>
      <w:r>
        <w:rPr>
          <w:rFonts w:ascii="宋体" w:hAnsi="宋体"/>
          <w:szCs w:val="21"/>
        </w:rPr>
        <w:t>不定期的免费提供相关设备应用方面的技术咨询等。</w:t>
      </w:r>
    </w:p>
    <w:p w14:paraId="4A68654A">
      <w:pPr>
        <w:tabs>
          <w:tab w:val="left" w:pos="420"/>
          <w:tab w:val="left" w:pos="900"/>
        </w:tabs>
        <w:adjustRightInd w:val="0"/>
        <w:snapToGrid w:val="0"/>
        <w:spacing w:line="360" w:lineRule="auto"/>
        <w:ind w:firstLine="422" w:firstLineChars="200"/>
        <w:rPr>
          <w:rFonts w:ascii="宋体" w:hAnsi="宋体"/>
          <w:b/>
          <w:bCs/>
          <w:szCs w:val="21"/>
        </w:rPr>
      </w:pPr>
      <w:r>
        <w:rPr>
          <w:rFonts w:hint="eastAsia" w:ascii="宋体" w:hAnsi="宋体"/>
          <w:b/>
          <w:bCs/>
          <w:szCs w:val="21"/>
        </w:rPr>
        <w:t>（四）供应商提供进口设备的，须在投标（响应）文件中明确外贸合同卖方信息。</w:t>
      </w:r>
    </w:p>
    <w:p w14:paraId="1D1D1A0B">
      <w:pPr>
        <w:adjustRightInd w:val="0"/>
        <w:snapToGrid w:val="0"/>
        <w:spacing w:line="360" w:lineRule="auto"/>
        <w:ind w:firstLine="440" w:firstLineChars="200"/>
        <w:rPr>
          <w:rFonts w:ascii="楷体" w:hAnsi="楷体" w:eastAsia="楷体"/>
          <w:color w:val="FF0000"/>
          <w:sz w:val="22"/>
          <w:szCs w:val="22"/>
        </w:rPr>
      </w:pPr>
    </w:p>
    <w:p w14:paraId="6DC87760">
      <w:pPr>
        <w:tabs>
          <w:tab w:val="left" w:pos="420"/>
          <w:tab w:val="left" w:pos="900"/>
        </w:tabs>
        <w:adjustRightInd w:val="0"/>
        <w:snapToGrid w:val="0"/>
        <w:spacing w:line="360" w:lineRule="auto"/>
        <w:ind w:firstLine="422" w:firstLineChars="200"/>
        <w:rPr>
          <w:rFonts w:ascii="宋体" w:hAnsi="宋体"/>
          <w:b/>
          <w:szCs w:val="21"/>
        </w:rPr>
      </w:pPr>
      <w:r>
        <w:rPr>
          <w:rFonts w:hint="eastAsia" w:ascii="宋体" w:hAnsi="宋体"/>
          <w:b/>
          <w:szCs w:val="21"/>
        </w:rPr>
        <w:t>六、</w:t>
      </w:r>
      <w:r>
        <w:rPr>
          <w:rFonts w:ascii="宋体" w:hAnsi="宋体"/>
          <w:b/>
          <w:szCs w:val="21"/>
        </w:rPr>
        <w:t>采购标的的</w:t>
      </w:r>
      <w:r>
        <w:rPr>
          <w:rFonts w:hint="eastAsia" w:ascii="宋体" w:hAnsi="宋体"/>
          <w:b/>
          <w:szCs w:val="21"/>
        </w:rPr>
        <w:t>履约验收标准</w:t>
      </w:r>
    </w:p>
    <w:bookmarkEnd w:id="1"/>
    <w:bookmarkEnd w:id="2"/>
    <w:bookmarkEnd w:id="3"/>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528"/>
        <w:gridCol w:w="4250"/>
      </w:tblGrid>
      <w:tr w14:paraId="38A9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08B6F2C9">
            <w:pPr>
              <w:widowControl/>
              <w:adjustRightInd w:val="0"/>
              <w:snapToGrid w:val="0"/>
              <w:spacing w:line="360" w:lineRule="auto"/>
              <w:jc w:val="left"/>
              <w:textAlignment w:val="baseline"/>
              <w:rPr>
                <w:rFonts w:ascii="宋体" w:hAnsi="宋体"/>
                <w:b/>
                <w:bCs/>
                <w:color w:val="000000"/>
                <w:kern w:val="0"/>
                <w:szCs w:val="21"/>
              </w:rPr>
            </w:pPr>
            <w:bookmarkStart w:id="19" w:name="OLE_LINK3"/>
            <w:r>
              <w:rPr>
                <w:rFonts w:hint="eastAsia" w:ascii="宋体" w:hAnsi="宋体"/>
                <w:b/>
                <w:bCs/>
                <w:color w:val="000000"/>
                <w:kern w:val="0"/>
                <w:szCs w:val="21"/>
              </w:rPr>
              <w:t>一、货物类项目验收要求</w:t>
            </w:r>
          </w:p>
        </w:tc>
      </w:tr>
      <w:tr w14:paraId="691A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3F6DF5CA">
            <w:pPr>
              <w:widowControl/>
              <w:adjustRightInd w:val="0"/>
              <w:snapToGrid w:val="0"/>
              <w:spacing w:line="360" w:lineRule="auto"/>
              <w:jc w:val="center"/>
              <w:textAlignment w:val="baseline"/>
              <w:rPr>
                <w:rFonts w:ascii="宋体" w:hAnsi="宋体"/>
                <w:color w:val="000000"/>
                <w:kern w:val="0"/>
                <w:szCs w:val="21"/>
              </w:rPr>
            </w:pPr>
            <w:r>
              <w:rPr>
                <w:rFonts w:hint="eastAsia" w:ascii="宋体" w:hAnsi="宋体"/>
                <w:color w:val="000000"/>
                <w:kern w:val="0"/>
                <w:szCs w:val="21"/>
              </w:rPr>
              <w:t>序号</w:t>
            </w:r>
          </w:p>
        </w:tc>
        <w:tc>
          <w:tcPr>
            <w:tcW w:w="3528" w:type="dxa"/>
            <w:vAlign w:val="center"/>
          </w:tcPr>
          <w:p w14:paraId="37238EEB">
            <w:pPr>
              <w:widowControl/>
              <w:adjustRightInd w:val="0"/>
              <w:snapToGrid w:val="0"/>
              <w:spacing w:line="360" w:lineRule="auto"/>
              <w:jc w:val="center"/>
              <w:textAlignment w:val="baseline"/>
              <w:rPr>
                <w:rFonts w:ascii="宋体" w:hAnsi="宋体"/>
                <w:color w:val="000000"/>
                <w:kern w:val="0"/>
                <w:szCs w:val="21"/>
              </w:rPr>
            </w:pPr>
            <w:r>
              <w:rPr>
                <w:rFonts w:hint="eastAsia" w:ascii="宋体" w:hAnsi="宋体"/>
                <w:color w:val="000000"/>
                <w:kern w:val="0"/>
                <w:szCs w:val="21"/>
              </w:rPr>
              <w:t>功能或指标</w:t>
            </w:r>
          </w:p>
        </w:tc>
        <w:tc>
          <w:tcPr>
            <w:tcW w:w="4250" w:type="dxa"/>
            <w:vAlign w:val="center"/>
          </w:tcPr>
          <w:p w14:paraId="48861C03">
            <w:pPr>
              <w:widowControl/>
              <w:adjustRightInd w:val="0"/>
              <w:snapToGrid w:val="0"/>
              <w:spacing w:line="360" w:lineRule="auto"/>
              <w:jc w:val="center"/>
              <w:textAlignment w:val="baseline"/>
              <w:rPr>
                <w:rFonts w:ascii="宋体" w:hAnsi="宋体"/>
                <w:color w:val="000000"/>
                <w:kern w:val="0"/>
                <w:szCs w:val="21"/>
              </w:rPr>
            </w:pPr>
            <w:r>
              <w:rPr>
                <w:rFonts w:hint="eastAsia" w:ascii="宋体" w:hAnsi="宋体"/>
                <w:color w:val="000000"/>
                <w:kern w:val="0"/>
                <w:szCs w:val="21"/>
              </w:rPr>
              <w:t>验收或测试方法</w:t>
            </w:r>
          </w:p>
        </w:tc>
      </w:tr>
      <w:tr w14:paraId="7E54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6223405C">
            <w:pPr>
              <w:widowControl/>
              <w:adjustRightInd w:val="0"/>
              <w:snapToGrid w:val="0"/>
              <w:spacing w:line="360" w:lineRule="auto"/>
              <w:jc w:val="left"/>
              <w:textAlignment w:val="baseline"/>
              <w:rPr>
                <w:rFonts w:ascii="宋体" w:hAnsi="宋体"/>
                <w:b/>
                <w:color w:val="000000"/>
                <w:kern w:val="0"/>
                <w:szCs w:val="21"/>
              </w:rPr>
            </w:pPr>
            <w:bookmarkStart w:id="22" w:name="_GoBack"/>
            <w:bookmarkEnd w:id="22"/>
            <w:r>
              <w:rPr>
                <w:rFonts w:hint="eastAsia" w:ascii="宋体" w:hAnsi="宋体"/>
                <w:b/>
                <w:color w:val="000000"/>
                <w:kern w:val="0"/>
                <w:szCs w:val="21"/>
              </w:rPr>
              <w:t>项目建设单位验收要求：</w:t>
            </w:r>
          </w:p>
        </w:tc>
      </w:tr>
      <w:tr w14:paraId="20B3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14F8C3A8">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1</w:t>
            </w:r>
          </w:p>
        </w:tc>
        <w:tc>
          <w:tcPr>
            <w:tcW w:w="3528" w:type="dxa"/>
            <w:vAlign w:val="center"/>
          </w:tcPr>
          <w:p w14:paraId="1F9E0B2B">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货物外包装与外观无损伤</w:t>
            </w:r>
          </w:p>
        </w:tc>
        <w:tc>
          <w:tcPr>
            <w:tcW w:w="4250" w:type="dxa"/>
            <w:vAlign w:val="center"/>
          </w:tcPr>
          <w:p w14:paraId="23ABD874">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现场核查</w:t>
            </w:r>
          </w:p>
        </w:tc>
      </w:tr>
      <w:tr w14:paraId="7E21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087D7BA2">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2</w:t>
            </w:r>
          </w:p>
        </w:tc>
        <w:tc>
          <w:tcPr>
            <w:tcW w:w="3528" w:type="dxa"/>
            <w:vAlign w:val="center"/>
          </w:tcPr>
          <w:p w14:paraId="43FB1CCC">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货物配置、包括备品备件、耗品耗材等提供齐全，货物实物品牌、规格、型号、配置数量与采购结果、合同约定相符。</w:t>
            </w:r>
          </w:p>
        </w:tc>
        <w:tc>
          <w:tcPr>
            <w:tcW w:w="4250" w:type="dxa"/>
            <w:vAlign w:val="center"/>
          </w:tcPr>
          <w:p w14:paraId="53B3BDB8">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依据《合同》及其附件（包括但不限于《采购需求》《供应商投标（响应）文件》《投标澄清函》《技术协议》等）约定，现场核查。</w:t>
            </w:r>
          </w:p>
        </w:tc>
      </w:tr>
      <w:tr w14:paraId="175F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12C0A2E5">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3</w:t>
            </w:r>
          </w:p>
        </w:tc>
        <w:tc>
          <w:tcPr>
            <w:tcW w:w="3528" w:type="dxa"/>
            <w:vAlign w:val="center"/>
          </w:tcPr>
          <w:p w14:paraId="06C7BA5C">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所有功能和指标参数（包括边界极限值）达到采购结果合同约定要求。</w:t>
            </w:r>
          </w:p>
        </w:tc>
        <w:tc>
          <w:tcPr>
            <w:tcW w:w="4250" w:type="dxa"/>
            <w:vAlign w:val="center"/>
          </w:tcPr>
          <w:p w14:paraId="6792AA31">
            <w:pPr>
              <w:adjustRightInd w:val="0"/>
              <w:snapToGrid w:val="0"/>
              <w:spacing w:line="360" w:lineRule="auto"/>
              <w:rPr>
                <w:rFonts w:ascii="宋体" w:hAnsi="宋体"/>
                <w:kern w:val="0"/>
                <w:szCs w:val="21"/>
              </w:rPr>
            </w:pPr>
            <w:r>
              <w:rPr>
                <w:rFonts w:hint="eastAsia" w:ascii="宋体" w:hAnsi="宋体"/>
                <w:color w:val="000000"/>
                <w:kern w:val="0"/>
                <w:szCs w:val="21"/>
              </w:rPr>
              <w:t>依据《合同》及其附件（包括但不限于《采购需求》《供应商投标（响应）文件》《投标澄清函》《技术协议》等）约定，通过现场核查、现场测试、供应商应提供《供应商货物类项目完工报告》《产品出厂检测报告》《产品合格证书》《第三方检测报告》（如有）等一种或多种方式进行验收。</w:t>
            </w:r>
          </w:p>
        </w:tc>
      </w:tr>
      <w:tr w14:paraId="3FA7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093DA9C8">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4</w:t>
            </w:r>
          </w:p>
        </w:tc>
        <w:tc>
          <w:tcPr>
            <w:tcW w:w="3528" w:type="dxa"/>
            <w:vAlign w:val="center"/>
          </w:tcPr>
          <w:p w14:paraId="2A833559">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培训等合同服务要求完成情况。</w:t>
            </w:r>
          </w:p>
        </w:tc>
        <w:tc>
          <w:tcPr>
            <w:tcW w:w="4250" w:type="dxa"/>
            <w:vAlign w:val="center"/>
          </w:tcPr>
          <w:p w14:paraId="7A8521FF">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现场核查。供应商须根据合同约定提供《培训视频》影像资料等。</w:t>
            </w:r>
          </w:p>
        </w:tc>
      </w:tr>
      <w:tr w14:paraId="510B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2A771C27">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5</w:t>
            </w:r>
          </w:p>
        </w:tc>
        <w:tc>
          <w:tcPr>
            <w:tcW w:w="3528" w:type="dxa"/>
            <w:vAlign w:val="center"/>
          </w:tcPr>
          <w:p w14:paraId="7C404909">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验证测试设备的运行稳定性</w:t>
            </w:r>
          </w:p>
        </w:tc>
        <w:tc>
          <w:tcPr>
            <w:tcW w:w="4250" w:type="dxa"/>
            <w:vAlign w:val="center"/>
          </w:tcPr>
          <w:p w14:paraId="654CE714">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试运行验证测试设备运行稳定达标</w:t>
            </w:r>
          </w:p>
        </w:tc>
      </w:tr>
      <w:tr w14:paraId="5916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4" w:type="dxa"/>
            <w:vAlign w:val="center"/>
          </w:tcPr>
          <w:p w14:paraId="301801F5">
            <w:pPr>
              <w:widowControl/>
              <w:adjustRightInd w:val="0"/>
              <w:snapToGrid w:val="0"/>
              <w:spacing w:line="360" w:lineRule="auto"/>
              <w:jc w:val="center"/>
              <w:textAlignment w:val="baseline"/>
              <w:rPr>
                <w:rFonts w:ascii="宋体" w:hAnsi="宋体"/>
                <w:color w:val="000000"/>
                <w:kern w:val="0"/>
                <w:szCs w:val="21"/>
              </w:rPr>
            </w:pPr>
            <w:r>
              <w:rPr>
                <w:rFonts w:ascii="宋体" w:hAnsi="宋体"/>
                <w:color w:val="000000"/>
                <w:kern w:val="0"/>
                <w:szCs w:val="21"/>
              </w:rPr>
              <w:t>6</w:t>
            </w:r>
          </w:p>
        </w:tc>
        <w:tc>
          <w:tcPr>
            <w:tcW w:w="7778" w:type="dxa"/>
            <w:gridSpan w:val="2"/>
            <w:vAlign w:val="center"/>
          </w:tcPr>
          <w:p w14:paraId="208CAE9C">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提示：</w:t>
            </w:r>
          </w:p>
          <w:p w14:paraId="1A6B6E71">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1.经费负责人应当按照采购合同及其附件规定的每一项技术、服务、安全标准组织对供应商履约情况进行验收。</w:t>
            </w:r>
          </w:p>
          <w:p w14:paraId="25E22B25">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2.《供应商货物类项目完工报告》《项目建设单位货物类项目完工自验收报告》《第三方检测报告》（如有）等与验收相关的材料由经费负责人妥善保管存档。</w:t>
            </w:r>
          </w:p>
          <w:p w14:paraId="1AFCA3AF">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3.</w:t>
            </w:r>
            <w:bookmarkStart w:id="20" w:name="OLE_LINK4"/>
            <w:r>
              <w:rPr>
                <w:rFonts w:hint="eastAsia" w:ascii="宋体" w:hAnsi="宋体"/>
                <w:color w:val="000000"/>
                <w:kern w:val="0"/>
                <w:szCs w:val="21"/>
              </w:rPr>
              <w:t>《技术协议》</w:t>
            </w:r>
            <w:bookmarkEnd w:id="20"/>
            <w:r>
              <w:rPr>
                <w:rFonts w:hint="eastAsia" w:ascii="宋体" w:hAnsi="宋体"/>
                <w:color w:val="000000"/>
                <w:kern w:val="0"/>
                <w:szCs w:val="21"/>
              </w:rPr>
              <w:t>作为合同有效组成部分，由经费负责人和供应商应在招标完成后第一时间根据采购招标结果（即《采购需求》、《供应商投标（响应）文件》和《投标澄清函》等文件）签订，其内容应与采购招标结果保持一致。《技术协议》中一般包含配置、数量、价格、功能指标参数、服务承诺等内容。</w:t>
            </w:r>
            <w:r>
              <w:rPr>
                <w:rFonts w:ascii="宋体" w:hAnsi="宋体"/>
                <w:color w:val="000000"/>
                <w:kern w:val="0"/>
                <w:szCs w:val="21"/>
              </w:rPr>
              <w:t xml:space="preserve"> </w:t>
            </w:r>
          </w:p>
        </w:tc>
      </w:tr>
      <w:tr w14:paraId="2BA1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029152A1">
            <w:pPr>
              <w:widowControl/>
              <w:adjustRightInd w:val="0"/>
              <w:snapToGrid w:val="0"/>
              <w:spacing w:line="360" w:lineRule="auto"/>
              <w:textAlignment w:val="baseline"/>
              <w:rPr>
                <w:rFonts w:ascii="宋体" w:hAnsi="宋体"/>
                <w:color w:val="000000"/>
                <w:kern w:val="0"/>
                <w:szCs w:val="21"/>
              </w:rPr>
            </w:pPr>
            <w:r>
              <w:rPr>
                <w:rFonts w:hint="eastAsia" w:ascii="宋体" w:hAnsi="宋体"/>
                <w:b/>
                <w:color w:val="000000"/>
                <w:kern w:val="0"/>
                <w:szCs w:val="21"/>
              </w:rPr>
              <w:t>学校验收复核要求：</w:t>
            </w:r>
            <w:r>
              <w:rPr>
                <w:rFonts w:hint="eastAsia" w:ascii="宋体" w:hAnsi="宋体"/>
                <w:color w:val="000000"/>
                <w:kern w:val="0"/>
                <w:szCs w:val="21"/>
              </w:rPr>
              <w:t>经费负责人自验收通过后，将《学校采购货物类项目验收复核申请表》《学校采购项目验收报告》《供应商履约情况评价表》《供应商货物类项目完工报告》《项目建设单位货物类项目完工自验收报告》等相关资料，递交学校国资处，由国资处组织专家现场验收复核。</w:t>
            </w:r>
          </w:p>
        </w:tc>
      </w:tr>
      <w:tr w14:paraId="0CD3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2" w:type="dxa"/>
            <w:gridSpan w:val="2"/>
            <w:vAlign w:val="center"/>
          </w:tcPr>
          <w:p w14:paraId="734F6089">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验收时是否需要供应商提供样品</w:t>
            </w:r>
          </w:p>
        </w:tc>
        <w:tc>
          <w:tcPr>
            <w:tcW w:w="4250" w:type="dxa"/>
            <w:vAlign w:val="center"/>
          </w:tcPr>
          <w:p w14:paraId="0682EEF9">
            <w:pPr>
              <w:widowControl/>
              <w:adjustRightInd w:val="0"/>
              <w:snapToGrid w:val="0"/>
              <w:spacing w:line="360" w:lineRule="auto"/>
              <w:textAlignment w:val="baseline"/>
              <w:rPr>
                <w:rFonts w:ascii="宋体" w:hAnsi="宋体"/>
                <w:color w:val="000000"/>
                <w:kern w:val="0"/>
                <w:szCs w:val="21"/>
              </w:rPr>
            </w:pPr>
            <w:r>
              <w:rPr>
                <w:rFonts w:hint="eastAsia" w:ascii="宋体" w:hAnsi="宋体" w:cs="宋体"/>
                <w:color w:val="000000"/>
                <w:kern w:val="0"/>
                <w:szCs w:val="21"/>
              </w:rPr>
              <w:t>■</w:t>
            </w:r>
            <w:r>
              <w:rPr>
                <w:rFonts w:hint="eastAsia" w:ascii="宋体" w:hAnsi="宋体"/>
                <w:color w:val="000000"/>
                <w:kern w:val="0"/>
                <w:szCs w:val="21"/>
              </w:rPr>
              <w:t xml:space="preserve">是 </w:t>
            </w:r>
            <w:r>
              <w:rPr>
                <w:rFonts w:hint="eastAsia" w:ascii="宋体" w:hAnsi="宋体" w:cs="宋体"/>
                <w:color w:val="000000"/>
                <w:kern w:val="0"/>
                <w:szCs w:val="21"/>
              </w:rPr>
              <w:t>□</w:t>
            </w:r>
            <w:r>
              <w:rPr>
                <w:rFonts w:hint="eastAsia" w:ascii="宋体" w:hAnsi="宋体"/>
                <w:color w:val="000000"/>
                <w:kern w:val="0"/>
                <w:szCs w:val="21"/>
              </w:rPr>
              <w:t>否</w:t>
            </w:r>
          </w:p>
        </w:tc>
      </w:tr>
      <w:tr w14:paraId="3056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2" w:type="dxa"/>
            <w:gridSpan w:val="2"/>
            <w:vAlign w:val="center"/>
          </w:tcPr>
          <w:p w14:paraId="1ED7400F">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验收时是否需供应商提供必要的其他设备</w:t>
            </w:r>
          </w:p>
        </w:tc>
        <w:tc>
          <w:tcPr>
            <w:tcW w:w="4250" w:type="dxa"/>
            <w:vAlign w:val="center"/>
          </w:tcPr>
          <w:p w14:paraId="533E07AC">
            <w:pPr>
              <w:widowControl/>
              <w:adjustRightInd w:val="0"/>
              <w:snapToGrid w:val="0"/>
              <w:spacing w:line="360" w:lineRule="auto"/>
              <w:textAlignment w:val="baseline"/>
              <w:rPr>
                <w:rFonts w:ascii="宋体" w:hAnsi="宋体"/>
                <w:color w:val="000000"/>
                <w:kern w:val="0"/>
                <w:szCs w:val="21"/>
              </w:rPr>
            </w:pPr>
            <w:r>
              <w:rPr>
                <w:rFonts w:hint="eastAsia" w:ascii="宋体" w:hAnsi="宋体" w:cs="宋体"/>
                <w:color w:val="000000"/>
                <w:kern w:val="0"/>
                <w:szCs w:val="21"/>
              </w:rPr>
              <w:t>□</w:t>
            </w:r>
            <w:r>
              <w:rPr>
                <w:rFonts w:ascii="宋体" w:hAnsi="宋体"/>
                <w:color w:val="000000"/>
                <w:kern w:val="0"/>
                <w:szCs w:val="21"/>
              </w:rPr>
              <w:t>是</w:t>
            </w:r>
            <w:r>
              <w:rPr>
                <w:rFonts w:hint="eastAsia" w:ascii="宋体" w:hAnsi="宋体"/>
                <w:color w:val="000000"/>
                <w:kern w:val="0"/>
                <w:szCs w:val="21"/>
              </w:rPr>
              <w:t xml:space="preserve"> </w:t>
            </w:r>
            <w:r>
              <w:rPr>
                <w:rFonts w:hint="eastAsia" w:ascii="宋体" w:hAnsi="宋体" w:cs="宋体"/>
                <w:color w:val="000000"/>
                <w:kern w:val="0"/>
                <w:szCs w:val="21"/>
              </w:rPr>
              <w:t>■</w:t>
            </w:r>
            <w:r>
              <w:rPr>
                <w:rFonts w:ascii="宋体" w:hAnsi="宋体"/>
                <w:color w:val="000000"/>
                <w:kern w:val="0"/>
                <w:szCs w:val="21"/>
              </w:rPr>
              <w:t>否</w:t>
            </w:r>
          </w:p>
        </w:tc>
      </w:tr>
      <w:tr w14:paraId="2F6D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2581349B">
            <w:pPr>
              <w:widowControl/>
              <w:adjustRightInd w:val="0"/>
              <w:snapToGrid w:val="0"/>
              <w:spacing w:line="360" w:lineRule="auto"/>
              <w:textAlignment w:val="baseline"/>
              <w:rPr>
                <w:rFonts w:ascii="宋体" w:hAnsi="宋体" w:cs="宋体"/>
                <w:color w:val="000000"/>
                <w:kern w:val="0"/>
                <w:szCs w:val="21"/>
              </w:rPr>
            </w:pPr>
            <w:r>
              <w:rPr>
                <w:rFonts w:hint="eastAsia" w:ascii="宋体" w:hAnsi="宋体"/>
                <w:color w:val="000000"/>
                <w:kern w:val="0"/>
                <w:szCs w:val="21"/>
              </w:rPr>
              <w:t>二、</w:t>
            </w:r>
            <w:r>
              <w:rPr>
                <w:rFonts w:hint="eastAsia" w:ascii="宋体" w:hAnsi="宋体"/>
                <w:b/>
                <w:bCs/>
                <w:color w:val="000000"/>
                <w:kern w:val="0"/>
                <w:szCs w:val="21"/>
              </w:rPr>
              <w:t>服务类项目验收要求</w:t>
            </w:r>
          </w:p>
        </w:tc>
      </w:tr>
      <w:tr w14:paraId="7033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1493BEEA">
            <w:pPr>
              <w:widowControl/>
              <w:adjustRightInd w:val="0"/>
              <w:snapToGrid w:val="0"/>
              <w:spacing w:line="360" w:lineRule="auto"/>
              <w:textAlignment w:val="baseline"/>
              <w:rPr>
                <w:rFonts w:ascii="宋体" w:hAnsi="宋体" w:cs="宋体"/>
                <w:color w:val="000000"/>
                <w:kern w:val="0"/>
                <w:szCs w:val="21"/>
              </w:rPr>
            </w:pPr>
            <w:r>
              <w:rPr>
                <w:rFonts w:hint="eastAsia" w:ascii="宋体" w:hAnsi="宋体"/>
                <w:b/>
                <w:color w:val="000000"/>
                <w:kern w:val="0"/>
                <w:szCs w:val="21"/>
              </w:rPr>
              <w:t>项目建设单位验收要求：</w:t>
            </w:r>
            <w:bookmarkStart w:id="21" w:name="OLE_LINK35"/>
            <w:r>
              <w:rPr>
                <w:rFonts w:hint="eastAsia" w:ascii="宋体" w:hAnsi="宋体"/>
                <w:szCs w:val="21"/>
              </w:rPr>
              <w:t>根据项目特点对服务期内的服务履约实施情况进行考核，结合考核情况和服务效果进行验收。验收报告须经国资处备案。</w:t>
            </w:r>
            <w:bookmarkEnd w:id="21"/>
          </w:p>
        </w:tc>
      </w:tr>
      <w:tr w14:paraId="3BB2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5EA2BB40">
            <w:pPr>
              <w:widowControl/>
              <w:adjustRightInd w:val="0"/>
              <w:snapToGrid w:val="0"/>
              <w:spacing w:line="360" w:lineRule="auto"/>
              <w:textAlignment w:val="baseline"/>
              <w:rPr>
                <w:rFonts w:ascii="宋体" w:hAnsi="宋体" w:cs="宋体"/>
                <w:color w:val="000000"/>
                <w:kern w:val="0"/>
                <w:szCs w:val="21"/>
              </w:rPr>
            </w:pPr>
            <w:r>
              <w:rPr>
                <w:rFonts w:hint="eastAsia" w:ascii="宋体" w:hAnsi="宋体"/>
                <w:b/>
                <w:color w:val="000000"/>
                <w:kern w:val="0"/>
                <w:szCs w:val="21"/>
              </w:rPr>
              <w:t>学校验收备案要求：</w:t>
            </w:r>
            <w:r>
              <w:rPr>
                <w:rFonts w:hint="eastAsia" w:ascii="宋体" w:hAnsi="宋体"/>
                <w:bCs/>
                <w:color w:val="000000"/>
                <w:kern w:val="0"/>
                <w:szCs w:val="21"/>
              </w:rPr>
              <w:t>项目单位提供《学校采购服务类项目验收报告》《服务类供应商履约情况评价表》</w:t>
            </w:r>
            <w:r>
              <w:rPr>
                <w:rFonts w:hint="eastAsia" w:ascii="宋体" w:hAnsi="宋体"/>
                <w:szCs w:val="21"/>
              </w:rPr>
              <w:t>。国资处可根据项目情况采用抽查等方式进行复核。</w:t>
            </w:r>
          </w:p>
        </w:tc>
      </w:tr>
      <w:tr w14:paraId="7972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3"/>
            <w:vAlign w:val="center"/>
          </w:tcPr>
          <w:p w14:paraId="1F22D87E">
            <w:pPr>
              <w:widowControl/>
              <w:adjustRightInd w:val="0"/>
              <w:snapToGrid w:val="0"/>
              <w:spacing w:line="360" w:lineRule="auto"/>
              <w:jc w:val="left"/>
              <w:textAlignment w:val="baseline"/>
              <w:rPr>
                <w:rFonts w:ascii="宋体" w:hAnsi="宋体"/>
                <w:color w:val="000000"/>
                <w:kern w:val="0"/>
                <w:szCs w:val="21"/>
              </w:rPr>
            </w:pPr>
            <w:r>
              <w:rPr>
                <w:rFonts w:hint="eastAsia" w:ascii="宋体" w:hAnsi="宋体"/>
                <w:b/>
                <w:bCs/>
                <w:color w:val="000000"/>
                <w:kern w:val="0"/>
                <w:szCs w:val="21"/>
              </w:rPr>
              <w:t>三、除现场验收外，需提供的其他验收要求</w:t>
            </w:r>
          </w:p>
        </w:tc>
      </w:tr>
      <w:tr w14:paraId="426E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2" w:type="dxa"/>
            <w:gridSpan w:val="2"/>
            <w:vAlign w:val="center"/>
          </w:tcPr>
          <w:p w14:paraId="7906A42A">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验收时是否</w:t>
            </w:r>
            <w:r>
              <w:rPr>
                <w:rFonts w:ascii="宋体" w:hAnsi="宋体"/>
                <w:color w:val="000000"/>
                <w:kern w:val="0"/>
                <w:szCs w:val="21"/>
              </w:rPr>
              <w:t>需提供第三方检测报告</w:t>
            </w:r>
          </w:p>
        </w:tc>
        <w:tc>
          <w:tcPr>
            <w:tcW w:w="4250" w:type="dxa"/>
            <w:vAlign w:val="center"/>
          </w:tcPr>
          <w:p w14:paraId="3080E3F6">
            <w:pPr>
              <w:widowControl/>
              <w:adjustRightInd w:val="0"/>
              <w:snapToGrid w:val="0"/>
              <w:spacing w:line="360" w:lineRule="auto"/>
              <w:textAlignment w:val="baseline"/>
              <w:rPr>
                <w:rFonts w:ascii="宋体" w:hAnsi="宋体" w:cs="宋体"/>
                <w:color w:val="000000"/>
                <w:kern w:val="0"/>
                <w:szCs w:val="21"/>
              </w:rPr>
            </w:pPr>
          </w:p>
          <w:p w14:paraId="1FE8FC0F">
            <w:pPr>
              <w:widowControl/>
              <w:adjustRightInd w:val="0"/>
              <w:snapToGrid w:val="0"/>
              <w:spacing w:line="360" w:lineRule="auto"/>
              <w:textAlignment w:val="baseline"/>
              <w:rPr>
                <w:rFonts w:ascii="宋体" w:hAnsi="宋体"/>
                <w:color w:val="000000"/>
                <w:kern w:val="0"/>
                <w:szCs w:val="21"/>
              </w:rPr>
            </w:pPr>
            <w:r>
              <w:rPr>
                <w:rFonts w:hint="eastAsia" w:ascii="宋体" w:hAnsi="宋体" w:cs="宋体"/>
                <w:color w:val="000000"/>
                <w:kern w:val="0"/>
                <w:szCs w:val="21"/>
              </w:rPr>
              <w:t>□</w:t>
            </w:r>
            <w:r>
              <w:rPr>
                <w:rFonts w:ascii="宋体" w:hAnsi="宋体"/>
                <w:color w:val="000000"/>
                <w:kern w:val="0"/>
                <w:szCs w:val="21"/>
              </w:rPr>
              <w:t>是</w:t>
            </w:r>
            <w:r>
              <w:rPr>
                <w:rFonts w:hint="eastAsia" w:ascii="宋体" w:hAnsi="宋体"/>
                <w:color w:val="000000"/>
                <w:kern w:val="0"/>
                <w:szCs w:val="21"/>
              </w:rPr>
              <w:t xml:space="preserve"> </w:t>
            </w:r>
            <w:r>
              <w:rPr>
                <w:rFonts w:hint="eastAsia" w:ascii="宋体" w:hAnsi="宋体" w:cs="宋体"/>
                <w:color w:val="000000"/>
                <w:kern w:val="0"/>
                <w:szCs w:val="21"/>
              </w:rPr>
              <w:t>■</w:t>
            </w:r>
            <w:r>
              <w:rPr>
                <w:rFonts w:ascii="宋体" w:hAnsi="宋体"/>
                <w:color w:val="000000"/>
                <w:kern w:val="0"/>
                <w:szCs w:val="21"/>
              </w:rPr>
              <w:t>否</w:t>
            </w:r>
          </w:p>
          <w:p w14:paraId="3A5C5BD3">
            <w:pPr>
              <w:widowControl/>
              <w:adjustRightInd w:val="0"/>
              <w:snapToGrid w:val="0"/>
              <w:spacing w:line="360" w:lineRule="auto"/>
              <w:textAlignment w:val="baseline"/>
              <w:rPr>
                <w:rFonts w:ascii="宋体" w:hAnsi="宋体"/>
                <w:color w:val="000000"/>
                <w:kern w:val="0"/>
                <w:szCs w:val="21"/>
              </w:rPr>
            </w:pPr>
          </w:p>
          <w:p w14:paraId="31DC482F">
            <w:pPr>
              <w:widowControl/>
              <w:adjustRightInd w:val="0"/>
              <w:snapToGrid w:val="0"/>
              <w:spacing w:line="360" w:lineRule="auto"/>
              <w:textAlignment w:val="baseline"/>
              <w:rPr>
                <w:rFonts w:ascii="宋体" w:hAnsi="宋体"/>
                <w:color w:val="000000"/>
                <w:kern w:val="0"/>
                <w:szCs w:val="21"/>
              </w:rPr>
            </w:pPr>
            <w:r>
              <w:rPr>
                <w:rFonts w:hint="eastAsia" w:ascii="宋体" w:hAnsi="宋体"/>
                <w:color w:val="000000"/>
                <w:kern w:val="0"/>
                <w:szCs w:val="21"/>
              </w:rPr>
              <w:t>如需提供第三方检测报告，需满足下列要求：</w:t>
            </w:r>
          </w:p>
          <w:p w14:paraId="2D9BBEAE">
            <w:pPr>
              <w:widowControl/>
              <w:adjustRightInd w:val="0"/>
              <w:snapToGrid w:val="0"/>
              <w:spacing w:line="360" w:lineRule="auto"/>
              <w:textAlignment w:val="baseline"/>
              <w:rPr>
                <w:rFonts w:ascii="宋体" w:hAnsi="宋体"/>
                <w:color w:val="000000"/>
                <w:kern w:val="0"/>
                <w:szCs w:val="21"/>
              </w:rPr>
            </w:pPr>
            <w:r>
              <w:rPr>
                <w:rFonts w:ascii="宋体" w:hAnsi="宋体"/>
                <w:color w:val="000000"/>
                <w:kern w:val="0"/>
                <w:szCs w:val="21"/>
              </w:rPr>
              <w:t>对于检测机构的要求：国家正规检测机构，出具的检测报告由验收复核专家认可之后作为验收复核通过的主要依据。</w:t>
            </w:r>
          </w:p>
          <w:p w14:paraId="675A7AFF">
            <w:pPr>
              <w:widowControl/>
              <w:adjustRightInd w:val="0"/>
              <w:snapToGrid w:val="0"/>
              <w:spacing w:line="360" w:lineRule="auto"/>
              <w:textAlignment w:val="baseline"/>
              <w:rPr>
                <w:rFonts w:ascii="宋体" w:hAnsi="宋体"/>
                <w:color w:val="000000"/>
                <w:kern w:val="0"/>
                <w:szCs w:val="21"/>
              </w:rPr>
            </w:pPr>
            <w:r>
              <w:rPr>
                <w:rFonts w:ascii="宋体" w:hAnsi="宋体"/>
                <w:color w:val="000000"/>
                <w:kern w:val="0"/>
                <w:szCs w:val="21"/>
              </w:rPr>
              <w:t>对于检测执行标准的要求：各项检测项目标准以检测机构按照行业相关要求最新适用并执行的标准为准。</w:t>
            </w:r>
          </w:p>
        </w:tc>
      </w:tr>
      <w:bookmarkEnd w:id="19"/>
    </w:tbl>
    <w:p w14:paraId="26B32260">
      <w:pPr>
        <w:spacing w:line="360" w:lineRule="auto"/>
      </w:pPr>
    </w:p>
    <w:bookmarkEnd w:id="0"/>
    <w:p w14:paraId="0606D4AE">
      <w:pPr>
        <w:spacing w:line="360" w:lineRule="auto"/>
      </w:pPr>
    </w:p>
    <w:p w14:paraId="6E0C332C">
      <w:pPr>
        <w:spacing w:line="360" w:lineRule="auto"/>
      </w:pPr>
    </w:p>
    <w:p w14:paraId="484E0B44">
      <w:pPr>
        <w:spacing w:line="360" w:lineRule="auto"/>
      </w:pPr>
    </w:p>
    <w:p w14:paraId="3A256037">
      <w:pPr>
        <w:spacing w:line="360" w:lineRule="auto"/>
      </w:pPr>
    </w:p>
    <w:p w14:paraId="2B5F4C2D">
      <w:pPr>
        <w:spacing w:line="360" w:lineRule="auto"/>
      </w:pPr>
    </w:p>
    <w:p w14:paraId="13BECE69">
      <w:pPr>
        <w:spacing w:line="360" w:lineRule="auto"/>
      </w:pPr>
    </w:p>
    <w:p w14:paraId="589FDCF7">
      <w:pPr>
        <w:spacing w:line="360" w:lineRule="auto"/>
      </w:pPr>
    </w:p>
    <w:p w14:paraId="26019273">
      <w:pPr>
        <w:spacing w:line="360" w:lineRule="auto"/>
      </w:pPr>
    </w:p>
    <w:p w14:paraId="337ABC82">
      <w:pPr>
        <w:spacing w:line="360" w:lineRule="auto"/>
      </w:pPr>
    </w:p>
    <w:p w14:paraId="2961DC49">
      <w:pPr>
        <w:spacing w:line="360" w:lineRule="auto"/>
      </w:pPr>
    </w:p>
    <w:p w14:paraId="53747286">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5C1FFB4-4710-4EED-9F2F-69350BC21921}"/>
  </w:font>
  <w:font w:name="宋体">
    <w:panose1 w:val="02010600030101010101"/>
    <w:charset w:val="86"/>
    <w:family w:val="auto"/>
    <w:pitch w:val="default"/>
    <w:sig w:usb0="00000203" w:usb1="288F0000" w:usb2="00000006" w:usb3="00000000" w:csb0="00040001" w:csb1="00000000"/>
    <w:embedRegular r:id="rId2" w:fontKey="{0F3ED874-55FB-48DD-939C-23D809096C27}"/>
  </w:font>
  <w:font w:name="Wingdings">
    <w:panose1 w:val="05000000000000000000"/>
    <w:charset w:val="02"/>
    <w:family w:val="auto"/>
    <w:pitch w:val="default"/>
    <w:sig w:usb0="00000000" w:usb1="00000000" w:usb2="00000000" w:usb3="00000000" w:csb0="80000000" w:csb1="00000000"/>
    <w:embedRegular r:id="rId3" w:fontKey="{3678CCFB-489C-4F11-B961-94BEFBE20B88}"/>
  </w:font>
  <w:font w:name="Arial">
    <w:panose1 w:val="020B0604020202020204"/>
    <w:charset w:val="01"/>
    <w:family w:val="swiss"/>
    <w:pitch w:val="default"/>
    <w:sig w:usb0="E0002EFF" w:usb1="C000785B" w:usb2="00000009" w:usb3="00000000" w:csb0="400001FF" w:csb1="FFFF0000"/>
    <w:embedRegular r:id="rId4" w:fontKey="{BC124D77-FFC1-4158-A732-9706A33021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F5C4035-09CF-4C78-8AC8-25B98750198F}"/>
  </w:font>
  <w:font w:name="Symbol">
    <w:panose1 w:val="05050102010706020507"/>
    <w:charset w:val="02"/>
    <w:family w:val="roman"/>
    <w:pitch w:val="default"/>
    <w:sig w:usb0="00000000" w:usb1="00000000" w:usb2="00000000" w:usb3="00000000" w:csb0="80000000" w:csb1="00000000"/>
    <w:embedRegular r:id="rId6" w:fontKey="{5C7FE55B-CCC2-44C5-947F-7B12571E9A13}"/>
  </w:font>
  <w:font w:name="Calibri">
    <w:panose1 w:val="020F0502020204030204"/>
    <w:charset w:val="00"/>
    <w:family w:val="swiss"/>
    <w:pitch w:val="default"/>
    <w:sig w:usb0="E4002EFF" w:usb1="C000247B" w:usb2="00000009" w:usb3="00000000" w:csb0="200001FF" w:csb1="00000000"/>
    <w:embedRegular r:id="rId7" w:fontKey="{C45C3131-EB14-4DD5-AF39-EB9B6136095E}"/>
  </w:font>
  <w:font w:name="Arial">
    <w:panose1 w:val="020B0604020202020204"/>
    <w:charset w:val="00"/>
    <w:family w:val="swiss"/>
    <w:pitch w:val="default"/>
    <w:sig w:usb0="E0002EFF" w:usb1="C000785B" w:usb2="00000009" w:usb3="00000000" w:csb0="400001FF" w:csb1="FFFF0000"/>
    <w:embedRegular r:id="rId8" w:fontKey="{0764090C-7E14-4E09-9B58-C23589315EB7}"/>
  </w:font>
  <w:font w:name="楷体">
    <w:panose1 w:val="02010609060101010101"/>
    <w:charset w:val="86"/>
    <w:family w:val="modern"/>
    <w:pitch w:val="default"/>
    <w:sig w:usb0="800002BF" w:usb1="38CF7CFA" w:usb2="00000016" w:usb3="00000000" w:csb0="00040001" w:csb1="00000000"/>
    <w:embedRegular r:id="rId9" w:fontKey="{39E42468-84CE-4272-8597-12C99AAE052B}"/>
  </w:font>
  <w:font w:name="Segoe UI Symbol">
    <w:panose1 w:val="020B0502040204020203"/>
    <w:charset w:val="00"/>
    <w:family w:val="swiss"/>
    <w:pitch w:val="default"/>
    <w:sig w:usb0="800001E3" w:usb1="1200FFEF" w:usb2="00040000" w:usb3="04000000" w:csb0="00000001" w:csb1="40000000"/>
    <w:embedRegular r:id="rId10" w:fontKey="{09900984-7FFD-437A-94D8-2DBE9E67DA59}"/>
  </w:font>
  <w:font w:name="微软雅黑">
    <w:panose1 w:val="020B0503020204020204"/>
    <w:charset w:val="86"/>
    <w:family w:val="swiss"/>
    <w:pitch w:val="default"/>
    <w:sig w:usb0="80000287" w:usb1="2ACF3C50" w:usb2="00000016" w:usb3="00000000" w:csb0="0004001F" w:csb1="00000000"/>
    <w:embedRegular r:id="rId11" w:fontKey="{FC2EBD46-2FB3-41AD-BDDD-FFC4F97794F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A67B50"/>
    <w:multiLevelType w:val="multilevel"/>
    <w:tmpl w:val="55A67B5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343"/>
    <w:rsid w:val="000023B7"/>
    <w:rsid w:val="00006C82"/>
    <w:rsid w:val="00027AAD"/>
    <w:rsid w:val="00040A41"/>
    <w:rsid w:val="00046888"/>
    <w:rsid w:val="000549ED"/>
    <w:rsid w:val="00056B3D"/>
    <w:rsid w:val="00065ACE"/>
    <w:rsid w:val="000870ED"/>
    <w:rsid w:val="000941D4"/>
    <w:rsid w:val="000971BE"/>
    <w:rsid w:val="000A22A1"/>
    <w:rsid w:val="000B0E5E"/>
    <w:rsid w:val="000C7EF9"/>
    <w:rsid w:val="000F3A95"/>
    <w:rsid w:val="0011238D"/>
    <w:rsid w:val="00120D09"/>
    <w:rsid w:val="0015034B"/>
    <w:rsid w:val="00160449"/>
    <w:rsid w:val="001724D3"/>
    <w:rsid w:val="00175918"/>
    <w:rsid w:val="001801D0"/>
    <w:rsid w:val="00194F8F"/>
    <w:rsid w:val="001A1CA6"/>
    <w:rsid w:val="001A5B90"/>
    <w:rsid w:val="001D0B7A"/>
    <w:rsid w:val="001D72F1"/>
    <w:rsid w:val="001F51CB"/>
    <w:rsid w:val="002118D5"/>
    <w:rsid w:val="002231F0"/>
    <w:rsid w:val="00266619"/>
    <w:rsid w:val="002716A4"/>
    <w:rsid w:val="00285B89"/>
    <w:rsid w:val="002955CE"/>
    <w:rsid w:val="00295A78"/>
    <w:rsid w:val="002A04B2"/>
    <w:rsid w:val="002A17AA"/>
    <w:rsid w:val="002E260A"/>
    <w:rsid w:val="003071A1"/>
    <w:rsid w:val="00315A88"/>
    <w:rsid w:val="00315FAB"/>
    <w:rsid w:val="003177FC"/>
    <w:rsid w:val="00331965"/>
    <w:rsid w:val="00334921"/>
    <w:rsid w:val="00336685"/>
    <w:rsid w:val="00372118"/>
    <w:rsid w:val="00380126"/>
    <w:rsid w:val="0038193D"/>
    <w:rsid w:val="003B3C15"/>
    <w:rsid w:val="003D379C"/>
    <w:rsid w:val="00400231"/>
    <w:rsid w:val="004236FB"/>
    <w:rsid w:val="00446E20"/>
    <w:rsid w:val="00452B5A"/>
    <w:rsid w:val="0047426B"/>
    <w:rsid w:val="004A3476"/>
    <w:rsid w:val="004B30DD"/>
    <w:rsid w:val="004C7811"/>
    <w:rsid w:val="004E7F88"/>
    <w:rsid w:val="005106D6"/>
    <w:rsid w:val="00511614"/>
    <w:rsid w:val="00515E73"/>
    <w:rsid w:val="00536410"/>
    <w:rsid w:val="00560E84"/>
    <w:rsid w:val="00596E16"/>
    <w:rsid w:val="005D4B16"/>
    <w:rsid w:val="00616B14"/>
    <w:rsid w:val="0064227F"/>
    <w:rsid w:val="00646213"/>
    <w:rsid w:val="0064698B"/>
    <w:rsid w:val="006473A5"/>
    <w:rsid w:val="00647AF7"/>
    <w:rsid w:val="006632D4"/>
    <w:rsid w:val="006800B1"/>
    <w:rsid w:val="0069183C"/>
    <w:rsid w:val="006A2774"/>
    <w:rsid w:val="006B7E49"/>
    <w:rsid w:val="006E7B83"/>
    <w:rsid w:val="006F2B4A"/>
    <w:rsid w:val="006F7CEB"/>
    <w:rsid w:val="007008D7"/>
    <w:rsid w:val="00730471"/>
    <w:rsid w:val="00753CE5"/>
    <w:rsid w:val="00754533"/>
    <w:rsid w:val="007624E5"/>
    <w:rsid w:val="0076510E"/>
    <w:rsid w:val="00770ADE"/>
    <w:rsid w:val="00772203"/>
    <w:rsid w:val="0078395B"/>
    <w:rsid w:val="007863D2"/>
    <w:rsid w:val="00791B98"/>
    <w:rsid w:val="007A053C"/>
    <w:rsid w:val="007C1498"/>
    <w:rsid w:val="007D3643"/>
    <w:rsid w:val="007D398A"/>
    <w:rsid w:val="007E74C2"/>
    <w:rsid w:val="00801DD9"/>
    <w:rsid w:val="00805003"/>
    <w:rsid w:val="00813494"/>
    <w:rsid w:val="00815670"/>
    <w:rsid w:val="00816A67"/>
    <w:rsid w:val="00825147"/>
    <w:rsid w:val="008307AE"/>
    <w:rsid w:val="0083194C"/>
    <w:rsid w:val="00842F9E"/>
    <w:rsid w:val="00856502"/>
    <w:rsid w:val="0086371F"/>
    <w:rsid w:val="00894B2F"/>
    <w:rsid w:val="008B0C3E"/>
    <w:rsid w:val="008D4108"/>
    <w:rsid w:val="00945834"/>
    <w:rsid w:val="0094790C"/>
    <w:rsid w:val="00953E63"/>
    <w:rsid w:val="00961343"/>
    <w:rsid w:val="00962AA8"/>
    <w:rsid w:val="00962BAB"/>
    <w:rsid w:val="00973282"/>
    <w:rsid w:val="009741EB"/>
    <w:rsid w:val="009845BF"/>
    <w:rsid w:val="009928D3"/>
    <w:rsid w:val="009E50D4"/>
    <w:rsid w:val="00A02210"/>
    <w:rsid w:val="00A02C06"/>
    <w:rsid w:val="00A11CC7"/>
    <w:rsid w:val="00A2577D"/>
    <w:rsid w:val="00A2759F"/>
    <w:rsid w:val="00A35FA2"/>
    <w:rsid w:val="00A765DC"/>
    <w:rsid w:val="00AA50D7"/>
    <w:rsid w:val="00AD08D3"/>
    <w:rsid w:val="00AF0260"/>
    <w:rsid w:val="00B23B8D"/>
    <w:rsid w:val="00B278AE"/>
    <w:rsid w:val="00B3307D"/>
    <w:rsid w:val="00B4189E"/>
    <w:rsid w:val="00B56A13"/>
    <w:rsid w:val="00B60C01"/>
    <w:rsid w:val="00B6235C"/>
    <w:rsid w:val="00B76368"/>
    <w:rsid w:val="00B76BBE"/>
    <w:rsid w:val="00B93EB4"/>
    <w:rsid w:val="00BA6BD0"/>
    <w:rsid w:val="00BB2EC8"/>
    <w:rsid w:val="00BB58E4"/>
    <w:rsid w:val="00BB5F41"/>
    <w:rsid w:val="00BC4790"/>
    <w:rsid w:val="00BD553D"/>
    <w:rsid w:val="00C14D67"/>
    <w:rsid w:val="00C225DA"/>
    <w:rsid w:val="00C32DF5"/>
    <w:rsid w:val="00C718C9"/>
    <w:rsid w:val="00C845ED"/>
    <w:rsid w:val="00C85B90"/>
    <w:rsid w:val="00CB67CE"/>
    <w:rsid w:val="00CC239F"/>
    <w:rsid w:val="00D20889"/>
    <w:rsid w:val="00D36142"/>
    <w:rsid w:val="00D40D1E"/>
    <w:rsid w:val="00D55FDA"/>
    <w:rsid w:val="00D632CA"/>
    <w:rsid w:val="00D6723B"/>
    <w:rsid w:val="00D74D7B"/>
    <w:rsid w:val="00D80397"/>
    <w:rsid w:val="00D8099D"/>
    <w:rsid w:val="00D82597"/>
    <w:rsid w:val="00DB005A"/>
    <w:rsid w:val="00DB05DF"/>
    <w:rsid w:val="00DC3CF4"/>
    <w:rsid w:val="00DD2184"/>
    <w:rsid w:val="00DF6746"/>
    <w:rsid w:val="00E16F4E"/>
    <w:rsid w:val="00E7249A"/>
    <w:rsid w:val="00E85A32"/>
    <w:rsid w:val="00EA0606"/>
    <w:rsid w:val="00EA6ADF"/>
    <w:rsid w:val="00EC08DF"/>
    <w:rsid w:val="00EC6923"/>
    <w:rsid w:val="00ED64A5"/>
    <w:rsid w:val="00F122E3"/>
    <w:rsid w:val="00F13487"/>
    <w:rsid w:val="00F301FF"/>
    <w:rsid w:val="00F40AE6"/>
    <w:rsid w:val="00F5615A"/>
    <w:rsid w:val="00F5737B"/>
    <w:rsid w:val="00F67C66"/>
    <w:rsid w:val="00F75169"/>
    <w:rsid w:val="00F9196F"/>
    <w:rsid w:val="00FD2FCF"/>
    <w:rsid w:val="00FE6302"/>
    <w:rsid w:val="0C2F7876"/>
    <w:rsid w:val="0E345190"/>
    <w:rsid w:val="44B76DA1"/>
    <w:rsid w:val="73CC6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ascii="Arial" w:hAnsi="Arial" w:eastAsia="黑体"/>
      <w:sz w:val="20"/>
    </w:rPr>
  </w:style>
  <w:style w:type="paragraph" w:styleId="3">
    <w:name w:val="Balloon Text"/>
    <w:basedOn w:val="1"/>
    <w:link w:val="16"/>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qFormat/>
    <w:uiPriority w:val="0"/>
    <w:pPr>
      <w:spacing w:before="240" w:after="60"/>
      <w:jc w:val="center"/>
      <w:outlineLvl w:val="0"/>
    </w:pPr>
    <w:rPr>
      <w:rFonts w:ascii="Arial" w:hAnsi="Arial" w:cs="Arial"/>
      <w:b/>
      <w:bCs/>
      <w:sz w:val="32"/>
      <w:szCs w:val="32"/>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unhideWhenUsed/>
    <w:qFormat/>
    <w:uiPriority w:val="99"/>
    <w:rPr>
      <w:color w:val="0000FF"/>
      <w:u w:val="single"/>
    </w:rPr>
  </w:style>
  <w:style w:type="paragraph" w:styleId="12">
    <w:name w:val="List Paragraph"/>
    <w:basedOn w:val="1"/>
    <w:qFormat/>
    <w:uiPriority w:val="34"/>
    <w:pPr>
      <w:ind w:firstLine="420" w:firstLineChars="200"/>
    </w:pPr>
  </w:style>
  <w:style w:type="paragraph" w:customStyle="1" w:styleId="13">
    <w:name w:val="Table Paragraph"/>
    <w:basedOn w:val="1"/>
    <w:qFormat/>
    <w:uiPriority w:val="1"/>
  </w:style>
  <w:style w:type="character" w:customStyle="1" w:styleId="14">
    <w:name w:val="页眉 字符"/>
    <w:basedOn w:val="9"/>
    <w:link w:val="5"/>
    <w:qFormat/>
    <w:uiPriority w:val="0"/>
    <w:rPr>
      <w:rFonts w:ascii="Calibri" w:hAnsi="Calibri" w:eastAsia="宋体" w:cs="Times New Roman"/>
      <w:kern w:val="2"/>
      <w:sz w:val="18"/>
      <w:szCs w:val="18"/>
    </w:rPr>
  </w:style>
  <w:style w:type="character" w:customStyle="1" w:styleId="15">
    <w:name w:val="页脚 字符"/>
    <w:basedOn w:val="9"/>
    <w:link w:val="4"/>
    <w:qFormat/>
    <w:uiPriority w:val="0"/>
    <w:rPr>
      <w:rFonts w:ascii="Calibri" w:hAnsi="Calibri" w:eastAsia="宋体" w:cs="Times New Roman"/>
      <w:kern w:val="2"/>
      <w:sz w:val="18"/>
      <w:szCs w:val="18"/>
    </w:rPr>
  </w:style>
  <w:style w:type="character" w:customStyle="1" w:styleId="16">
    <w:name w:val="批注框文本 字符"/>
    <w:basedOn w:val="9"/>
    <w:link w:val="3"/>
    <w:qFormat/>
    <w:uiPriority w:val="0"/>
    <w:rPr>
      <w:rFonts w:ascii="Calibri" w:hAnsi="Calibri" w:eastAsia="宋体" w:cs="Times New Roman"/>
      <w:kern w:val="2"/>
      <w:sz w:val="18"/>
      <w:szCs w:val="18"/>
    </w:rPr>
  </w:style>
  <w:style w:type="paragraph" w:customStyle="1" w:styleId="17">
    <w:name w:val="修订1"/>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856111D-244B-4A2C-AAE3-CCBE6E7D4753}">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6</Pages>
  <Words>3661</Words>
  <Characters>3848</Characters>
  <Lines>30</Lines>
  <Paragraphs>8</Paragraphs>
  <TotalTime>92</TotalTime>
  <ScaleCrop>false</ScaleCrop>
  <LinksUpToDate>false</LinksUpToDate>
  <CharactersWithSpaces>4108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2026-04-21T07:25:00Z</dcterms:created>
  <dc:creator>work</dc:creator>
  <cp:lastModifiedBy>侯媚</cp:lastModifiedBy>
  <cp:lastPrinted>2026-04-09T03:50:00Z</cp:lastPrinted>
  <dcterms:modified xsi:type="dcterms:W3CDTF">2026-04-22T08:24:44Z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eyJoZGlkIjoiMmViMjU5Y2FlYTM0YWM0MDY1Nzg3ODU4MmYzN2IzMjUiLCJ1c2VySWQiOiI1MDk1NzgwNzkifQ==</vt:lpwstr>
  </property>
  <property fmtid="{D5CDD505-2E9C-101B-9397-08002B2CF9AE}" pid="4" name="ICV">
    <vt:lpwstr>9198BC7830B44C17B81C777662C76A3F_13</vt:lpwstr>
  </property>
</Properties>
</file>