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9AE1B">
      <w:pPr>
        <w:pStyle w:val="6"/>
        <w:rPr>
          <w:rFonts w:ascii="宋体" w:hAnsi="宋体"/>
          <w:color w:val="000000" w:themeColor="text1"/>
          <w:sz w:val="36"/>
          <w14:textFill>
            <w14:solidFill>
              <w14:schemeClr w14:val="tx1"/>
            </w14:solidFill>
          </w14:textFill>
        </w:rPr>
      </w:pPr>
      <w:bookmarkStart w:id="0" w:name="_Toc38367762"/>
      <w:r>
        <w:rPr>
          <w:rFonts w:hint="eastAsia" w:ascii="宋体" w:hAnsi="宋体"/>
          <w:color w:val="000000" w:themeColor="text1"/>
          <w:sz w:val="36"/>
          <w14:textFill>
            <w14:solidFill>
              <w14:schemeClr w14:val="tx1"/>
            </w14:solidFill>
          </w14:textFill>
        </w:rPr>
        <w:t>【激光粉末床金属增材制造设备】</w:t>
      </w:r>
      <w:r>
        <w:rPr>
          <w:rFonts w:ascii="宋体" w:hAnsi="宋体"/>
          <w:color w:val="000000" w:themeColor="text1"/>
          <w:sz w:val="36"/>
          <w14:textFill>
            <w14:solidFill>
              <w14:schemeClr w14:val="tx1"/>
            </w14:solidFill>
          </w14:textFill>
        </w:rPr>
        <w:t>采购需求</w:t>
      </w:r>
      <w:bookmarkEnd w:id="0"/>
    </w:p>
    <w:p w14:paraId="55A061A3">
      <w:pPr>
        <w:tabs>
          <w:tab w:val="left" w:pos="900"/>
        </w:tabs>
        <w:spacing w:before="156" w:beforeLines="50" w:line="360" w:lineRule="auto"/>
        <w:rPr>
          <w:b/>
          <w:color w:val="000000" w:themeColor="text1"/>
          <w:szCs w:val="21"/>
          <w14:textFill>
            <w14:solidFill>
              <w14:schemeClr w14:val="tx1"/>
            </w14:solidFill>
          </w14:textFill>
        </w:rPr>
      </w:pPr>
      <w:bookmarkStart w:id="1" w:name="_Toc219271393"/>
      <w:bookmarkStart w:id="2" w:name="_Toc158978330"/>
      <w:bookmarkStart w:id="3" w:name="_Toc172360661"/>
      <w:r>
        <w:rPr>
          <w:rFonts w:hint="eastAsia" w:hAnsi="宋体"/>
          <w:b/>
          <w:color w:val="000000" w:themeColor="text1"/>
          <w:szCs w:val="21"/>
          <w14:textFill>
            <w14:solidFill>
              <w14:schemeClr w14:val="tx1"/>
            </w14:solidFill>
          </w14:textFill>
        </w:rPr>
        <w:t>一、</w:t>
      </w:r>
      <w:r>
        <w:rPr>
          <w:rFonts w:hAnsi="宋体"/>
          <w:b/>
          <w:color w:val="000000" w:themeColor="text1"/>
          <w:szCs w:val="21"/>
          <w14:textFill>
            <w14:solidFill>
              <w14:schemeClr w14:val="tx1"/>
            </w14:solidFill>
          </w14:textFill>
        </w:rPr>
        <w:t>采购</w:t>
      </w:r>
      <w:r>
        <w:rPr>
          <w:rFonts w:hint="eastAsia" w:hAnsi="宋体"/>
          <w:b/>
          <w:color w:val="000000" w:themeColor="text1"/>
          <w:szCs w:val="21"/>
          <w14:textFill>
            <w14:solidFill>
              <w14:schemeClr w14:val="tx1"/>
            </w14:solidFill>
          </w14:textFill>
        </w:rPr>
        <w:t>标的</w:t>
      </w:r>
      <w:r>
        <w:rPr>
          <w:rFonts w:hAnsi="宋体"/>
          <w:b/>
          <w:color w:val="000000" w:themeColor="text1"/>
          <w:szCs w:val="21"/>
          <w14:textFill>
            <w14:solidFill>
              <w14:schemeClr w14:val="tx1"/>
            </w14:solidFill>
          </w14:textFill>
        </w:rPr>
        <w:t>需实现的功能或者目标，以及为落实政府采购政策需满足的要求：</w:t>
      </w:r>
    </w:p>
    <w:p w14:paraId="04CE88A1">
      <w:pPr>
        <w:tabs>
          <w:tab w:val="left" w:pos="900"/>
        </w:tabs>
        <w:spacing w:before="156" w:beforeLines="50" w:line="360" w:lineRule="auto"/>
        <w:ind w:firstLine="316" w:firstLineChars="150"/>
        <w:rPr>
          <w:b/>
          <w:color w:val="000000" w:themeColor="text1"/>
          <w:szCs w:val="21"/>
          <w14:textFill>
            <w14:solidFill>
              <w14:schemeClr w14:val="tx1"/>
            </w14:solidFill>
          </w14:textFill>
        </w:rPr>
      </w:pPr>
      <w:bookmarkStart w:id="4" w:name="OLE_LINK3"/>
      <w:r>
        <w:rPr>
          <w:rFonts w:hAnsi="宋体"/>
          <w:b/>
          <w:color w:val="000000" w:themeColor="text1"/>
          <w:szCs w:val="21"/>
          <w14:textFill>
            <w14:solidFill>
              <w14:schemeClr w14:val="tx1"/>
            </w14:solidFill>
          </w14:textFill>
        </w:rPr>
        <w:t>（一）采购</w:t>
      </w:r>
      <w:r>
        <w:rPr>
          <w:rFonts w:hint="eastAsia" w:hAnsi="宋体"/>
          <w:b/>
          <w:color w:val="000000" w:themeColor="text1"/>
          <w:szCs w:val="21"/>
          <w14:textFill>
            <w14:solidFill>
              <w14:schemeClr w14:val="tx1"/>
            </w14:solidFill>
          </w14:textFill>
        </w:rPr>
        <w:t>标的</w:t>
      </w:r>
      <w:r>
        <w:rPr>
          <w:rFonts w:hAnsi="宋体"/>
          <w:b/>
          <w:color w:val="000000" w:themeColor="text1"/>
          <w:szCs w:val="21"/>
          <w14:textFill>
            <w14:solidFill>
              <w14:schemeClr w14:val="tx1"/>
            </w14:solidFill>
          </w14:textFill>
        </w:rPr>
        <w:t>需实现的功能或者目标</w:t>
      </w:r>
    </w:p>
    <w:p w14:paraId="1F042DB0">
      <w:pPr>
        <w:tabs>
          <w:tab w:val="left" w:pos="900"/>
        </w:tabs>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项目采购激光粉末床金属增材制造设备1套，主要用于高性能金属材料的增材制造成形，涵盖难熔合金（铌合金、钽合金）、钛合金、高温合金等材料。设备需具备高精度、高稳定性的成形能力，能够实现复杂内流道、点阵结构、薄壁异形等难加工结构的一体化快速制造，支撑航空航天、医疗器械等领域关键金属零部件的研制与小批量生产。同时，设备须配备较高的打印腔体控氧能力和较高的基板加热温度，以满足高熔点、高化学活性、易开裂合金的成形要求。</w:t>
      </w:r>
    </w:p>
    <w:bookmarkEnd w:id="4"/>
    <w:p w14:paraId="02F15A92">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14:paraId="002C386F">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44F21378">
      <w:pPr>
        <w:tabs>
          <w:tab w:val="left" w:pos="900"/>
        </w:tabs>
        <w:spacing w:line="360" w:lineRule="auto"/>
        <w:ind w:left="420"/>
        <w:rPr>
          <w:rFonts w:hAnsi="宋体"/>
          <w:color w:val="000000" w:themeColor="text1"/>
          <w:szCs w:val="24"/>
          <w14:textFill>
            <w14:solidFill>
              <w14:schemeClr w14:val="tx1"/>
            </w14:solidFill>
          </w14:textFill>
        </w:rPr>
      </w:pPr>
      <w:r>
        <w:rPr>
          <w:rFonts w:hint="eastAsia" w:hAnsi="宋体"/>
          <w:color w:val="000000" w:themeColor="text1"/>
          <w:szCs w:val="24"/>
          <w14:textFill>
            <w14:solidFill>
              <w14:schemeClr w14:val="tx1"/>
            </w14:solidFill>
          </w14:textFill>
        </w:rPr>
        <w:t>本项目采购标的对应的《中小企业划型标准规定》所属行业为：</w:t>
      </w:r>
      <w:r>
        <w:rPr>
          <w:rFonts w:hint="eastAsia" w:hAnsi="宋体"/>
          <w:color w:val="000000" w:themeColor="text1"/>
          <w:szCs w:val="24"/>
          <w:u w:val="single"/>
          <w14:textFill>
            <w14:solidFill>
              <w14:schemeClr w14:val="tx1"/>
            </w14:solidFill>
          </w14:textFill>
        </w:rPr>
        <w:t xml:space="preserve"> </w:t>
      </w:r>
      <w:r>
        <w:rPr>
          <w:rFonts w:hAnsi="宋体"/>
          <w:color w:val="000000" w:themeColor="text1"/>
          <w:szCs w:val="24"/>
          <w:u w:val="single"/>
          <w14:textFill>
            <w14:solidFill>
              <w14:schemeClr w14:val="tx1"/>
            </w14:solidFill>
          </w14:textFill>
        </w:rPr>
        <w:t xml:space="preserve"> </w:t>
      </w:r>
      <w:r>
        <w:rPr>
          <w:rFonts w:hint="eastAsia" w:hAnsi="宋体"/>
          <w:color w:val="000000" w:themeColor="text1"/>
          <w:szCs w:val="24"/>
          <w:u w:val="single"/>
          <w14:textFill>
            <w14:solidFill>
              <w14:schemeClr w14:val="tx1"/>
            </w14:solidFill>
          </w14:textFill>
        </w:rPr>
        <w:t>工业</w:t>
      </w:r>
      <w:r>
        <w:rPr>
          <w:rFonts w:hAnsi="宋体"/>
          <w:color w:val="000000" w:themeColor="text1"/>
          <w:szCs w:val="24"/>
          <w:u w:val="single"/>
          <w14:textFill>
            <w14:solidFill>
              <w14:schemeClr w14:val="tx1"/>
            </w14:solidFill>
          </w14:textFill>
        </w:rPr>
        <w:t xml:space="preserve">    </w:t>
      </w:r>
      <w:r>
        <w:rPr>
          <w:rFonts w:hint="eastAsia" w:hAnsi="宋体"/>
          <w:color w:val="000000" w:themeColor="text1"/>
          <w:szCs w:val="24"/>
          <w14:textFill>
            <w14:solidFill>
              <w14:schemeClr w14:val="tx1"/>
            </w14:solidFill>
          </w14:textFill>
        </w:rPr>
        <w:t>。</w:t>
      </w:r>
    </w:p>
    <w:p w14:paraId="18089917">
      <w:pPr>
        <w:tabs>
          <w:tab w:val="left" w:pos="900"/>
        </w:tabs>
        <w:spacing w:line="360" w:lineRule="auto"/>
        <w:ind w:left="420"/>
        <w:rPr>
          <w:rFonts w:hAnsi="宋体"/>
          <w:color w:val="000000" w:themeColor="text1"/>
          <w:szCs w:val="24"/>
          <w14:textFill>
            <w14:solidFill>
              <w14:schemeClr w14:val="tx1"/>
            </w14:solidFill>
          </w14:textFill>
        </w:rPr>
      </w:pPr>
      <w:r>
        <w:rPr>
          <w:rFonts w:hAnsi="宋体"/>
          <w:color w:val="000000" w:themeColor="text1"/>
          <w:szCs w:val="24"/>
          <w14:textFill>
            <w14:solidFill>
              <w14:schemeClr w14:val="tx1"/>
            </w14:solidFill>
          </w14:textFill>
        </w:rPr>
        <w:t xml:space="preserve">2. </w:t>
      </w:r>
      <w:r>
        <w:rPr>
          <w:rFonts w:hint="eastAsia" w:hAnsi="宋体"/>
          <w:color w:val="000000" w:themeColor="text1"/>
          <w:szCs w:val="24"/>
          <w14:textFill>
            <w14:solidFill>
              <w14:schemeClr w14:val="tx1"/>
            </w14:solidFill>
          </w14:textFill>
        </w:rPr>
        <w:t>进口产品政策：本采购项目</w:t>
      </w:r>
      <w:r>
        <w:rPr>
          <w:rFonts w:hAnsi="宋体"/>
          <w:color w:val="000000" w:themeColor="text1"/>
          <w:szCs w:val="24"/>
          <w14:textFill>
            <w14:solidFill>
              <w14:schemeClr w14:val="tx1"/>
            </w14:solidFill>
          </w14:textFill>
        </w:rPr>
        <w:t xml:space="preserve"> </w:t>
      </w:r>
      <w:r>
        <w:rPr>
          <w:rFonts w:hint="eastAsia" w:cs="宋体" w:asciiTheme="minorEastAsia" w:hAnsiTheme="minorEastAsia"/>
          <w:b/>
          <w:color w:val="000000" w:themeColor="text1"/>
          <w:kern w:val="0"/>
          <w:sz w:val="24"/>
          <w:szCs w:val="24"/>
          <w14:textFill>
            <w14:solidFill>
              <w14:schemeClr w14:val="tx1"/>
            </w14:solidFill>
          </w14:textFill>
        </w:rPr>
        <w:sym w:font="Wingdings 2" w:char="F052"/>
      </w:r>
      <w:r>
        <w:rPr>
          <w:rFonts w:hint="eastAsia" w:hAnsi="宋体"/>
          <w:color w:val="000000" w:themeColor="text1"/>
          <w:szCs w:val="24"/>
          <w14:textFill>
            <w14:solidFill>
              <w14:schemeClr w14:val="tx1"/>
            </w14:solidFill>
          </w14:textFill>
        </w:rPr>
        <w:t>允许</w:t>
      </w:r>
      <w:r>
        <w:rPr>
          <w:rFonts w:hAnsi="宋体"/>
          <w:color w:val="000000" w:themeColor="text1"/>
          <w:szCs w:val="24"/>
          <w14:textFill>
            <w14:solidFill>
              <w14:schemeClr w14:val="tx1"/>
            </w14:solidFill>
          </w14:textFill>
        </w:rPr>
        <w:t xml:space="preserve"> </w:t>
      </w:r>
      <w:r>
        <w:rPr>
          <w:rFonts w:hint="eastAsia" w:hAnsi="宋体"/>
          <w:color w:val="000000" w:themeColor="text1"/>
          <w:szCs w:val="24"/>
          <w14:textFill>
            <w14:solidFill>
              <w14:schemeClr w14:val="tx1"/>
            </w14:solidFill>
          </w14:textFill>
        </w:rPr>
        <w:t>□不允许</w:t>
      </w:r>
      <w:r>
        <w:rPr>
          <w:rFonts w:hAnsi="宋体"/>
          <w:color w:val="000000" w:themeColor="text1"/>
          <w:szCs w:val="24"/>
          <w14:textFill>
            <w14:solidFill>
              <w14:schemeClr w14:val="tx1"/>
            </w14:solidFill>
          </w14:textFill>
        </w:rPr>
        <w:t xml:space="preserve"> </w:t>
      </w:r>
      <w:r>
        <w:rPr>
          <w:rFonts w:hint="eastAsia" w:hAnsi="宋体"/>
          <w:color w:val="000000" w:themeColor="text1"/>
          <w:szCs w:val="24"/>
          <w14:textFill>
            <w14:solidFill>
              <w14:schemeClr w14:val="tx1"/>
            </w14:solidFill>
          </w14:textFill>
        </w:rPr>
        <w:t>进口产品参加。（未进行勾选的，视为只接受本国产品参加）</w:t>
      </w:r>
    </w:p>
    <w:p w14:paraId="36500258">
      <w:pPr>
        <w:tabs>
          <w:tab w:val="left" w:pos="900"/>
        </w:tabs>
        <w:spacing w:line="360" w:lineRule="auto"/>
        <w:ind w:left="420"/>
        <w:rPr>
          <w:rFonts w:hAnsi="宋体"/>
          <w:color w:val="000000" w:themeColor="text1"/>
          <w:szCs w:val="24"/>
          <w14:textFill>
            <w14:solidFill>
              <w14:schemeClr w14:val="tx1"/>
            </w14:solidFill>
          </w14:textFill>
        </w:rPr>
      </w:pPr>
    </w:p>
    <w:p w14:paraId="381F635F">
      <w:pPr>
        <w:tabs>
          <w:tab w:val="left" w:pos="900"/>
        </w:tabs>
        <w:spacing w:before="156" w:beforeLines="50" w:line="360" w:lineRule="auto"/>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二、</w:t>
      </w:r>
      <w:r>
        <w:rPr>
          <w:rFonts w:hAnsi="宋体"/>
          <w:b/>
          <w:color w:val="000000" w:themeColor="text1"/>
          <w:szCs w:val="21"/>
          <w14:textFill>
            <w14:solidFill>
              <w14:schemeClr w14:val="tx1"/>
            </w14:solidFill>
          </w14:textFill>
        </w:rPr>
        <w:t>采购</w:t>
      </w:r>
      <w:r>
        <w:rPr>
          <w:rFonts w:hint="eastAsia" w:hAnsi="宋体"/>
          <w:b/>
          <w:color w:val="000000" w:themeColor="text1"/>
          <w:szCs w:val="21"/>
          <w14:textFill>
            <w14:solidFill>
              <w14:schemeClr w14:val="tx1"/>
            </w14:solidFill>
          </w14:textFill>
        </w:rPr>
        <w:t>标的</w:t>
      </w:r>
      <w:r>
        <w:rPr>
          <w:rFonts w:hAnsi="宋体"/>
          <w:b/>
          <w:color w:val="000000" w:themeColor="text1"/>
          <w:szCs w:val="21"/>
          <w14:textFill>
            <w14:solidFill>
              <w14:schemeClr w14:val="tx1"/>
            </w14:solidFill>
          </w14:textFill>
        </w:rPr>
        <w:t>需执行的国家相关标准、行业标准、地方标准或者其他标准、规范：</w:t>
      </w:r>
    </w:p>
    <w:p w14:paraId="0C92288C">
      <w:pPr>
        <w:tabs>
          <w:tab w:val="left" w:pos="900"/>
        </w:tabs>
        <w:spacing w:before="156" w:beforeLines="50"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9C5C186">
      <w:pPr>
        <w:tabs>
          <w:tab w:val="left" w:pos="900"/>
        </w:tabs>
        <w:spacing w:before="156" w:beforeLines="50" w:line="360" w:lineRule="auto"/>
        <w:rPr>
          <w:color w:val="000000" w:themeColor="text1"/>
          <w:szCs w:val="21"/>
          <w:shd w:val="clear" w:color="auto" w:fill="FFFFFF"/>
          <w14:textFill>
            <w14:solidFill>
              <w14:schemeClr w14:val="tx1"/>
            </w14:solidFill>
          </w14:textFill>
        </w:rPr>
      </w:pPr>
    </w:p>
    <w:p w14:paraId="6EE2541E">
      <w:pPr>
        <w:tabs>
          <w:tab w:val="left" w:pos="900"/>
        </w:tabs>
        <w:spacing w:before="156" w:beforeLines="50" w:line="360" w:lineRule="auto"/>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三、采购标的概况</w:t>
      </w:r>
    </w:p>
    <w:p w14:paraId="7BC1EDF8">
      <w:pPr>
        <w:spacing w:before="156" w:beforeLines="50" w:line="360" w:lineRule="auto"/>
        <w:rPr>
          <w:rFonts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（一）采购项目名称：</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激光粉末床金属增材制造设备</w:t>
      </w:r>
      <w:r>
        <w:rPr>
          <w:rFonts w:ascii="宋体" w:hAnsi="宋体"/>
          <w:color w:val="000000" w:themeColor="text1"/>
          <w:szCs w:val="21"/>
          <w:u w:val="single"/>
          <w14:textFill>
            <w14:solidFill>
              <w14:schemeClr w14:val="tx1"/>
            </w14:solidFill>
          </w14:textFill>
        </w:rPr>
        <w:t xml:space="preserve">      </w:t>
      </w:r>
      <w:r>
        <w:rPr>
          <w:rFonts w:hAnsi="宋体"/>
          <w:color w:val="000000" w:themeColor="text1"/>
          <w:szCs w:val="21"/>
          <w14:textFill>
            <w14:solidFill>
              <w14:schemeClr w14:val="tx1"/>
            </w14:solidFill>
          </w14:textFill>
        </w:rPr>
        <w:t xml:space="preserve">   </w:t>
      </w:r>
    </w:p>
    <w:p w14:paraId="59D332A9">
      <w:pPr>
        <w:spacing w:before="156" w:beforeLines="50" w:line="360" w:lineRule="auto"/>
        <w:rPr>
          <w:rFonts w:hAnsi="宋体"/>
          <w:color w:val="000000" w:themeColor="text1"/>
          <w:szCs w:val="21"/>
          <w:u w:val="single"/>
          <w14:textFill>
            <w14:solidFill>
              <w14:schemeClr w14:val="tx1"/>
            </w14:solidFill>
          </w14:textFill>
        </w:rPr>
      </w:pPr>
      <w:r>
        <w:rPr>
          <w:rFonts w:hint="eastAsia" w:hAnsi="宋体"/>
          <w:color w:val="000000" w:themeColor="text1"/>
          <w:szCs w:val="21"/>
          <w14:textFill>
            <w14:solidFill>
              <w14:schemeClr w14:val="tx1"/>
            </w14:solidFill>
          </w14:textFill>
        </w:rPr>
        <w:t>（二）采购数量及计量单位：</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1套</w:t>
      </w:r>
      <w:r>
        <w:rPr>
          <w:rFonts w:hAnsi="宋体"/>
          <w:color w:val="000000" w:themeColor="text1"/>
          <w:szCs w:val="21"/>
          <w:u w:val="single"/>
          <w14:textFill>
            <w14:solidFill>
              <w14:schemeClr w14:val="tx1"/>
            </w14:solidFill>
          </w14:textFill>
        </w:rPr>
        <w:t xml:space="preserve">     </w:t>
      </w:r>
    </w:p>
    <w:p w14:paraId="164B6912">
      <w:pPr>
        <w:spacing w:before="156" w:beforeLines="50" w:line="360" w:lineRule="auto"/>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（三）最高限价：人民币</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    1986000   </w:t>
      </w:r>
      <w:r>
        <w:rPr>
          <w:rFonts w:hint="eastAsia" w:hAnsi="宋体"/>
          <w:color w:val="000000" w:themeColor="text1"/>
          <w:szCs w:val="21"/>
          <w14:textFill>
            <w14:solidFill>
              <w14:schemeClr w14:val="tx1"/>
            </w14:solidFill>
          </w14:textFill>
        </w:rPr>
        <w:t>元。</w:t>
      </w:r>
    </w:p>
    <w:p w14:paraId="660A8BB0">
      <w:pPr>
        <w:spacing w:before="156" w:beforeLines="50" w:line="360" w:lineRule="auto"/>
        <w:rPr>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（四）</w:t>
      </w:r>
      <w:r>
        <w:rPr>
          <w:rFonts w:hAnsi="宋体"/>
          <w:color w:val="000000" w:themeColor="text1"/>
          <w:szCs w:val="21"/>
          <w14:textFill>
            <w14:solidFill>
              <w14:schemeClr w14:val="tx1"/>
            </w14:solidFill>
          </w14:textFill>
        </w:rPr>
        <w:t>交付时间：</w:t>
      </w:r>
      <w:r>
        <w:rPr>
          <w:rFonts w:hAnsi="宋体"/>
          <w:color w:val="000000" w:themeColor="text1"/>
          <w14:textFill>
            <w14:solidFill>
              <w14:schemeClr w14:val="tx1"/>
            </w14:solidFill>
          </w14:textFill>
        </w:rPr>
        <w:t>合同签订后</w:t>
      </w:r>
      <w:r>
        <w:rPr>
          <w:rFonts w:hAnsi="宋体"/>
          <w:color w:val="000000" w:themeColor="text1"/>
          <w:u w:val="single"/>
          <w14:textFill>
            <w14:solidFill>
              <w14:schemeClr w14:val="tx1"/>
            </w14:solidFill>
          </w14:textFill>
        </w:rPr>
        <w:t xml:space="preserve">  180    </w:t>
      </w:r>
      <w:r>
        <w:rPr>
          <w:rFonts w:hint="eastAsia" w:hAnsi="宋体"/>
          <w:color w:val="000000" w:themeColor="text1"/>
          <w14:textFill>
            <w14:solidFill>
              <w14:schemeClr w14:val="tx1"/>
            </w14:solidFill>
          </w14:textFill>
        </w:rPr>
        <w:t>天内。</w:t>
      </w:r>
    </w:p>
    <w:p w14:paraId="3D9DC8F6">
      <w:pPr>
        <w:tabs>
          <w:tab w:val="left" w:pos="900"/>
        </w:tabs>
        <w:spacing w:before="156" w:beforeLines="50" w:line="360" w:lineRule="auto"/>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（五）</w:t>
      </w:r>
      <w:r>
        <w:rPr>
          <w:rFonts w:hAnsi="宋体"/>
          <w:color w:val="000000" w:themeColor="text1"/>
          <w:szCs w:val="21"/>
          <w14:textFill>
            <w14:solidFill>
              <w14:schemeClr w14:val="tx1"/>
            </w14:solidFill>
          </w14:textFill>
        </w:rPr>
        <w:t>交付地点：</w:t>
      </w:r>
      <w:r>
        <w:rPr>
          <w:rFonts w:hint="eastAsia" w:hAnsi="宋体"/>
          <w:color w:val="000000" w:themeColor="text1"/>
          <w:szCs w:val="21"/>
          <w:u w:val="single"/>
          <w14:textFill>
            <w14:solidFill>
              <w14:schemeClr w14:val="tx1"/>
            </w14:solidFill>
          </w14:textFill>
        </w:rPr>
        <w:t xml:space="preserve"> </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u w:val="single"/>
          <w14:textFill>
            <w14:solidFill>
              <w14:schemeClr w14:val="tx1"/>
            </w14:solidFill>
          </w14:textFill>
        </w:rPr>
        <w:t>西安交通大学创新港校区3号巨构</w:t>
      </w:r>
      <w:r>
        <w:rPr>
          <w:rFonts w:hAnsi="宋体"/>
          <w:color w:val="000000" w:themeColor="text1"/>
          <w:szCs w:val="21"/>
          <w:u w:val="single"/>
          <w14:textFill>
            <w14:solidFill>
              <w14:schemeClr w14:val="tx1"/>
            </w14:solidFill>
          </w14:textFill>
        </w:rPr>
        <w:t xml:space="preserve">    </w:t>
      </w:r>
      <w:r>
        <w:rPr>
          <w:rFonts w:hint="eastAsia" w:hAnsi="宋体"/>
          <w:color w:val="000000" w:themeColor="text1"/>
          <w:szCs w:val="21"/>
          <w14:textFill>
            <w14:solidFill>
              <w14:schemeClr w14:val="tx1"/>
            </w14:solidFill>
          </w14:textFill>
        </w:rPr>
        <w:t>。</w:t>
      </w:r>
    </w:p>
    <w:p w14:paraId="3CAAE024">
      <w:pPr>
        <w:tabs>
          <w:tab w:val="left" w:pos="900"/>
        </w:tabs>
        <w:spacing w:before="156" w:beforeLines="50" w:line="360" w:lineRule="auto"/>
        <w:rPr>
          <w:rFonts w:hAnsi="宋体"/>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（六）付款进度安排：</w:t>
      </w:r>
      <w:r>
        <w:rPr>
          <w:rFonts w:hint="eastAsia" w:cs="宋体" w:asciiTheme="minorEastAsia" w:hAnsiTheme="minorEastAsia"/>
          <w:b/>
          <w:color w:val="000000" w:themeColor="text1"/>
          <w:kern w:val="0"/>
          <w:sz w:val="24"/>
          <w:szCs w:val="24"/>
          <w14:textFill>
            <w14:solidFill>
              <w14:schemeClr w14:val="tx1"/>
            </w14:solidFill>
          </w14:textFill>
        </w:rPr>
        <w:sym w:font="Wingdings 2" w:char="F052"/>
      </w:r>
      <w:r>
        <w:rPr>
          <w:rFonts w:hint="eastAsia" w:hAnsi="宋体"/>
          <w:color w:val="000000" w:themeColor="text1"/>
          <w:szCs w:val="21"/>
          <w14:textFill>
            <w14:solidFill>
              <w14:schemeClr w14:val="tx1"/>
            </w14:solidFill>
          </w14:textFill>
        </w:rPr>
        <w:t xml:space="preserve"> 按采购文件要求。</w:t>
      </w:r>
    </w:p>
    <w:p w14:paraId="4F2031F0">
      <w:pPr>
        <w:tabs>
          <w:tab w:val="left" w:pos="900"/>
        </w:tabs>
        <w:spacing w:before="156" w:beforeLines="50" w:line="360" w:lineRule="auto"/>
        <w:rPr>
          <w:rFonts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ab/>
      </w:r>
      <w:r>
        <w:rPr>
          <w:rFonts w:hAnsi="宋体"/>
          <w:color w:val="000000" w:themeColor="text1"/>
          <w:szCs w:val="21"/>
          <w14:textFill>
            <w14:solidFill>
              <w14:schemeClr w14:val="tx1"/>
            </w14:solidFill>
          </w14:textFill>
        </w:rPr>
        <w:tab/>
      </w:r>
      <w:r>
        <w:rPr>
          <w:rFonts w:hAnsi="宋体"/>
          <w:color w:val="000000" w:themeColor="text1"/>
          <w:szCs w:val="21"/>
          <w14:textFill>
            <w14:solidFill>
              <w14:schemeClr w14:val="tx1"/>
            </w14:solidFill>
          </w14:textFill>
        </w:rPr>
        <w:tab/>
      </w:r>
      <w:r>
        <w:rPr>
          <w:rFonts w:hAnsi="宋体"/>
          <w:color w:val="000000" w:themeColor="text1"/>
          <w:szCs w:val="21"/>
          <w14:textFill>
            <w14:solidFill>
              <w14:schemeClr w14:val="tx1"/>
            </w14:solidFill>
          </w14:textFill>
        </w:rPr>
        <w:tab/>
      </w:r>
      <w:r>
        <w:rPr>
          <w:rFonts w:hint="eastAsia" w:hAnsi="宋体"/>
          <w:b/>
          <w:color w:val="000000" w:themeColor="text1"/>
          <w:szCs w:val="21"/>
          <w14:textFill>
            <w14:solidFill>
              <w14:schemeClr w14:val="tx1"/>
            </w14:solidFill>
          </w14:textFill>
        </w:rPr>
        <w:t>□</w:t>
      </w:r>
      <w:r>
        <w:rPr>
          <w:rFonts w:hAnsi="宋体"/>
          <w:color w:val="000000" w:themeColor="text1"/>
          <w:szCs w:val="21"/>
          <w14:textFill>
            <w14:solidFill>
              <w14:schemeClr w14:val="tx1"/>
            </w14:solidFill>
          </w14:textFill>
        </w:rPr>
        <w:t>其他要求</w:t>
      </w:r>
      <w:r>
        <w:rPr>
          <w:rFonts w:hint="eastAsia" w:hAnsi="宋体"/>
          <w:color w:val="000000" w:themeColor="text1"/>
          <w:szCs w:val="21"/>
          <w14:textFill>
            <w14:solidFill>
              <w14:schemeClr w14:val="tx1"/>
            </w14:solidFill>
          </w14:textFill>
        </w:rPr>
        <w:t>：</w:t>
      </w:r>
      <w:r>
        <w:rPr>
          <w:rFonts w:hAnsi="宋体"/>
          <w:color w:val="000000" w:themeColor="text1"/>
          <w:szCs w:val="21"/>
          <w:u w:val="single"/>
          <w14:textFill>
            <w14:solidFill>
              <w14:schemeClr w14:val="tx1"/>
            </w14:solidFill>
          </w14:textFill>
        </w:rPr>
        <w:t xml:space="preserve">                                  </w:t>
      </w:r>
      <w:r>
        <w:rPr>
          <w:rFonts w:hAnsi="宋体"/>
          <w:color w:val="000000" w:themeColor="text1"/>
          <w:szCs w:val="21"/>
          <w14:textFill>
            <w14:solidFill>
              <w14:schemeClr w14:val="tx1"/>
            </w14:solidFill>
          </w14:textFill>
        </w:rPr>
        <w:t xml:space="preserve"> </w:t>
      </w:r>
      <w:r>
        <w:rPr>
          <w:rFonts w:hint="eastAsia" w:hAnsi="宋体"/>
          <w:color w:val="000000" w:themeColor="text1"/>
          <w:szCs w:val="21"/>
          <w14:textFill>
            <w14:solidFill>
              <w14:schemeClr w14:val="tx1"/>
            </w14:solidFill>
          </w14:textFill>
        </w:rPr>
        <w:t>。</w:t>
      </w:r>
    </w:p>
    <w:p w14:paraId="2B05FB49">
      <w:pPr>
        <w:tabs>
          <w:tab w:val="left" w:pos="900"/>
        </w:tabs>
        <w:spacing w:before="156" w:beforeLines="50" w:line="360" w:lineRule="auto"/>
        <w:rPr>
          <w:rFonts w:hAnsi="宋体"/>
          <w:b/>
          <w:color w:val="000000" w:themeColor="text1"/>
          <w:szCs w:val="21"/>
          <w14:textFill>
            <w14:solidFill>
              <w14:schemeClr w14:val="tx1"/>
            </w14:solidFill>
          </w14:textFill>
        </w:rPr>
      </w:pPr>
      <w:r>
        <w:rPr>
          <w:rFonts w:hAnsi="宋体"/>
          <w:b/>
          <w:color w:val="000000" w:themeColor="text1"/>
          <w:szCs w:val="21"/>
          <w14:textFill>
            <w14:solidFill>
              <w14:schemeClr w14:val="tx1"/>
            </w14:solidFill>
          </w14:textFill>
        </w:rPr>
        <w:tab/>
      </w:r>
      <w:r>
        <w:rPr>
          <w:rFonts w:hint="eastAsia" w:hAnsi="宋体"/>
          <w:b/>
          <w:color w:val="000000" w:themeColor="text1"/>
          <w:szCs w:val="21"/>
          <w14:textFill>
            <w14:solidFill>
              <w14:schemeClr w14:val="tx1"/>
            </w14:solidFill>
          </w14:textFill>
        </w:rPr>
        <w:t>四、采购标的需满足的质量、安全、技术规格、物理特性等要求：</w:t>
      </w:r>
    </w:p>
    <w:p w14:paraId="305BA148">
      <w:pPr>
        <w:tabs>
          <w:tab w:val="left" w:pos="900"/>
        </w:tabs>
        <w:spacing w:before="156" w:beforeLines="50" w:line="360" w:lineRule="auto"/>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★项为重点关注指标，不满足视为投标无效</w:t>
      </w:r>
    </w:p>
    <w:tbl>
      <w:tblPr>
        <w:tblStyle w:val="20"/>
        <w:tblW w:w="7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5" w:type="dxa"/>
          <w:left w:w="108" w:type="dxa"/>
          <w:bottom w:w="48" w:type="dxa"/>
          <w:right w:w="89" w:type="dxa"/>
        </w:tblCellMar>
      </w:tblPr>
      <w:tblGrid>
        <w:gridCol w:w="1007"/>
        <w:gridCol w:w="2325"/>
        <w:gridCol w:w="4389"/>
      </w:tblGrid>
      <w:tr w14:paraId="5C67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90" w:hRule="atLeast"/>
        </w:trPr>
        <w:tc>
          <w:tcPr>
            <w:tcW w:w="1007" w:type="dxa"/>
            <w:vAlign w:val="center"/>
          </w:tcPr>
          <w:p w14:paraId="46471DB3">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2325" w:type="dxa"/>
            <w:vAlign w:val="center"/>
          </w:tcPr>
          <w:p w14:paraId="314B2E00">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4389" w:type="dxa"/>
            <w:vAlign w:val="center"/>
          </w:tcPr>
          <w:p w14:paraId="2C3084E7">
            <w:pPr>
              <w:spacing w:line="320" w:lineRule="atLeast"/>
              <w:ind w:right="16"/>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需求</w:t>
            </w:r>
          </w:p>
        </w:tc>
      </w:tr>
      <w:tr w14:paraId="00C2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90" w:hRule="atLeast"/>
        </w:trPr>
        <w:tc>
          <w:tcPr>
            <w:tcW w:w="1007" w:type="dxa"/>
            <w:vAlign w:val="center"/>
          </w:tcPr>
          <w:p w14:paraId="0267D3A6">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325" w:type="dxa"/>
            <w:vAlign w:val="center"/>
          </w:tcPr>
          <w:p w14:paraId="642F4532">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适用材料</w:t>
            </w:r>
          </w:p>
        </w:tc>
        <w:tc>
          <w:tcPr>
            <w:tcW w:w="4389" w:type="dxa"/>
            <w:vAlign w:val="center"/>
          </w:tcPr>
          <w:p w14:paraId="047E6A5C">
            <w:pPr>
              <w:spacing w:before="156" w:beforeLines="50"/>
              <w:rPr>
                <w:color w:val="000000" w:themeColor="text1"/>
                <w:spacing w:val="-3"/>
                <w:w w:val="95"/>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设备具有难熔合金</w:t>
            </w:r>
            <w:r>
              <w:rPr>
                <w:rFonts w:hint="eastAsia"/>
                <w:color w:val="000000" w:themeColor="text1"/>
                <w:szCs w:val="21"/>
                <w14:textFill>
                  <w14:solidFill>
                    <w14:schemeClr w14:val="tx1"/>
                  </w14:solidFill>
                </w14:textFill>
              </w:rPr>
              <w:t>（铌合金和钽合金）</w:t>
            </w:r>
            <w:r>
              <w:rPr>
                <w:color w:val="000000" w:themeColor="text1"/>
                <w:szCs w:val="21"/>
                <w14:textFill>
                  <w14:solidFill>
                    <w14:schemeClr w14:val="tx1"/>
                  </w14:solidFill>
                </w14:textFill>
              </w:rPr>
              <w:t>、钛合金、高温合金</w:t>
            </w:r>
            <w:r>
              <w:rPr>
                <w:rFonts w:hint="eastAsia"/>
                <w:color w:val="000000" w:themeColor="text1"/>
                <w:szCs w:val="21"/>
                <w14:textFill>
                  <w14:solidFill>
                    <w14:schemeClr w14:val="tx1"/>
                  </w14:solidFill>
                </w14:textFill>
              </w:rPr>
              <w:t>（In</w:t>
            </w:r>
            <w:r>
              <w:rPr>
                <w:color w:val="000000" w:themeColor="text1"/>
                <w:szCs w:val="21"/>
                <w14:textFill>
                  <w14:solidFill>
                    <w14:schemeClr w14:val="tx1"/>
                  </w14:solidFill>
                </w14:textFill>
              </w:rPr>
              <w:t>718</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、铝合金、不锈钢等材料的成熟工艺包，并可提供不少于5种材料的成熟工艺参数包。</w:t>
            </w:r>
          </w:p>
        </w:tc>
      </w:tr>
      <w:tr w14:paraId="3542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6CF52357">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2325" w:type="dxa"/>
            <w:vAlign w:val="center"/>
          </w:tcPr>
          <w:p w14:paraId="13599EF1">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光学系统</w:t>
            </w:r>
          </w:p>
        </w:tc>
        <w:tc>
          <w:tcPr>
            <w:tcW w:w="4389" w:type="dxa"/>
            <w:vAlign w:val="center"/>
          </w:tcPr>
          <w:p w14:paraId="51C32263">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2.1. </w:t>
            </w:r>
            <w:r>
              <w:rPr>
                <w:rFonts w:ascii="Segoe UI Symbol" w:hAnsi="Segoe UI Symbol" w:cs="Segoe UI Symbol"/>
                <w:color w:val="000000" w:themeColor="text1"/>
                <w:szCs w:val="21"/>
                <w14:textFill>
                  <w14:solidFill>
                    <w14:schemeClr w14:val="tx1"/>
                  </w14:solidFill>
                </w14:textFill>
              </w:rPr>
              <w:t>★</w:t>
            </w:r>
            <w:r>
              <w:rPr>
                <w:color w:val="000000" w:themeColor="text1"/>
                <w:szCs w:val="21"/>
                <w14:textFill>
                  <w14:solidFill>
                    <w14:schemeClr w14:val="tx1"/>
                  </w14:solidFill>
                </w14:textFill>
              </w:rPr>
              <w:t>激光器采用单模光纤激光器，采用同等或优于IPG、Rofin、SPI品牌光纤激光器；</w:t>
            </w:r>
          </w:p>
          <w:p w14:paraId="460B1950">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2.2. 激光数量：1个；激光功率≥400W，激光波长1060~1080nm，M2≤1.1；</w:t>
            </w:r>
          </w:p>
          <w:p w14:paraId="32D6FABD">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2.3. </w:t>
            </w:r>
            <w:r>
              <w:rPr>
                <w:rFonts w:ascii="Segoe UI Symbol" w:hAnsi="Segoe UI Symbol" w:cs="Segoe UI Symbol"/>
                <w:color w:val="000000" w:themeColor="text1"/>
                <w:szCs w:val="21"/>
                <w14:textFill>
                  <w14:solidFill>
                    <w14:schemeClr w14:val="tx1"/>
                  </w14:solidFill>
                </w14:textFill>
              </w:rPr>
              <w:t>★</w:t>
            </w:r>
            <w:r>
              <w:rPr>
                <w:color w:val="000000" w:themeColor="text1"/>
                <w:szCs w:val="21"/>
                <w14:textFill>
                  <w14:solidFill>
                    <w14:schemeClr w14:val="tx1"/>
                  </w14:solidFill>
                </w14:textFill>
              </w:rPr>
              <w:t>采用F-theta lens聚焦，聚焦光斑直径满足≤80μm ± 5 μm范围</w:t>
            </w:r>
            <w:r>
              <w:rPr>
                <w:rFonts w:hint="eastAsia"/>
                <w:color w:val="000000" w:themeColor="text1"/>
                <w:szCs w:val="21"/>
                <w14:textFill>
                  <w14:solidFill>
                    <w14:schemeClr w14:val="tx1"/>
                  </w14:solidFill>
                </w14:textFill>
              </w:rPr>
              <w:t>，须具有减低到</w:t>
            </w:r>
            <w:r>
              <w:rPr>
                <w:color w:val="000000" w:themeColor="text1"/>
                <w:szCs w:val="21"/>
                <w14:textFill>
                  <w14:solidFill>
                    <w14:schemeClr w14:val="tx1"/>
                  </w14:solidFill>
                </w14:textFill>
              </w:rPr>
              <w:t>50μm</w:t>
            </w:r>
            <w:r>
              <w:rPr>
                <w:rFonts w:hint="eastAsia"/>
                <w:color w:val="000000" w:themeColor="text1"/>
                <w:szCs w:val="21"/>
                <w14:textFill>
                  <w14:solidFill>
                    <w14:schemeClr w14:val="tx1"/>
                  </w14:solidFill>
                </w14:textFill>
              </w:rPr>
              <w:t>左右的能力。</w:t>
            </w:r>
          </w:p>
          <w:p w14:paraId="7C5DF4FB">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2.4. 全幅面尺寸95%校准点定位精度≤±0.1 mm；</w:t>
            </w:r>
          </w:p>
          <w:p w14:paraId="3B8C3699">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2.5. 设备应具有镜头保护气系统；</w:t>
            </w:r>
          </w:p>
          <w:p w14:paraId="0D175757">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2.6. 激光参数全开放功能：支持；</w:t>
            </w:r>
          </w:p>
          <w:p w14:paraId="537E4A38">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2.7. 激光功率可灵活动态调节：支持；</w:t>
            </w:r>
          </w:p>
          <w:p w14:paraId="2EF2273A">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2.8. 激光光斑实时可调：支持；</w:t>
            </w:r>
          </w:p>
          <w:p w14:paraId="1AD7B098">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2.9. 激光调制参数可调节：支持；</w:t>
            </w:r>
          </w:p>
          <w:p w14:paraId="5F9E667F">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2.10. 可调节激光延迟：支持；</w:t>
            </w:r>
          </w:p>
          <w:p w14:paraId="5ACF0794">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2.11. 可调节激光关闭延迟：支持；</w:t>
            </w:r>
          </w:p>
          <w:p w14:paraId="536292C1">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2.12. 可调节标记延迟：支持；</w:t>
            </w:r>
          </w:p>
          <w:p w14:paraId="07A4D5BA">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2.13. 可调节多聚延迟：支持；</w:t>
            </w:r>
          </w:p>
          <w:p w14:paraId="59A7EB5A">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2.14. 焦距 f ≤420 毫米；</w:t>
            </w:r>
          </w:p>
          <w:p w14:paraId="19FCD109">
            <w:pPr>
              <w:spacing w:before="156" w:beforeLines="50" w:line="320" w:lineRule="atLeast"/>
              <w:ind w:right="16"/>
              <w:rPr>
                <w:color w:val="000000" w:themeColor="text1"/>
                <w:szCs w:val="21"/>
                <w14:textFill>
                  <w14:solidFill>
                    <w14:schemeClr w14:val="tx1"/>
                  </w14:solidFill>
                </w14:textFill>
              </w:rPr>
            </w:pPr>
            <w:r>
              <w:rPr>
                <w:color w:val="000000" w:themeColor="text1"/>
                <w:szCs w:val="21"/>
                <w14:textFill>
                  <w14:solidFill>
                    <w14:schemeClr w14:val="tx1"/>
                  </w14:solidFill>
                </w14:textFill>
              </w:rPr>
              <w:t>2.15. 操作模式：连续工作模式；</w:t>
            </w:r>
          </w:p>
          <w:p w14:paraId="086C13DA">
            <w:pPr>
              <w:widowControl/>
              <w:spacing w:before="156" w:beforeLines="50" w:after="120"/>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2.16. 冷却方式：空气；</w:t>
            </w:r>
          </w:p>
        </w:tc>
      </w:tr>
      <w:tr w14:paraId="292A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6E240ABC">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2325" w:type="dxa"/>
            <w:vAlign w:val="center"/>
          </w:tcPr>
          <w:p w14:paraId="77BCAF67">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成形加工系统</w:t>
            </w:r>
          </w:p>
        </w:tc>
        <w:tc>
          <w:tcPr>
            <w:tcW w:w="4389" w:type="dxa"/>
            <w:vAlign w:val="center"/>
          </w:tcPr>
          <w:p w14:paraId="44C0E243">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3.1. </w:t>
            </w:r>
            <w:r>
              <w:rPr>
                <w:rFonts w:ascii="Segoe UI Symbol" w:hAnsi="Segoe UI Symbol" w:cs="Segoe UI Symbol"/>
                <w:color w:val="000000" w:themeColor="text1"/>
                <w:szCs w:val="21"/>
                <w14:textFill>
                  <w14:solidFill>
                    <w14:schemeClr w14:val="tx1"/>
                  </w14:solidFill>
                </w14:textFill>
              </w:rPr>
              <w:t>★</w:t>
            </w:r>
            <w:r>
              <w:rPr>
                <w:color w:val="000000" w:themeColor="text1"/>
                <w:szCs w:val="21"/>
                <w14:textFill>
                  <w14:solidFill>
                    <w14:schemeClr w14:val="tx1"/>
                  </w14:solidFill>
                </w14:textFill>
              </w:rPr>
              <w:t>最大有效成形尺寸：</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φ140mm×190mm（D×H）。</w:t>
            </w:r>
          </w:p>
          <w:p w14:paraId="36B4FE8E">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3.2. </w:t>
            </w:r>
            <w:r>
              <w:rPr>
                <w:rFonts w:ascii="Segoe UI Symbol" w:hAnsi="Segoe UI Symbol" w:cs="Segoe UI Symbol"/>
                <w:color w:val="000000" w:themeColor="text1"/>
                <w:szCs w:val="21"/>
                <w14:textFill>
                  <w14:solidFill>
                    <w14:schemeClr w14:val="tx1"/>
                  </w14:solidFill>
                </w14:textFill>
              </w:rPr>
              <w:t>★</w:t>
            </w:r>
            <w:r>
              <w:rPr>
                <w:color w:val="000000" w:themeColor="text1"/>
                <w:szCs w:val="21"/>
                <w14:textFill>
                  <w14:solidFill>
                    <w14:schemeClr w14:val="tx1"/>
                  </w14:solidFill>
                </w14:textFill>
              </w:rPr>
              <w:t>支持更小平台切换成形打印，小缸模块具备与大缸相同的运动精度与成型精度。有效成形尺寸</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φ55mm×190mm（D×H），提供小平台设计方案及相关材料证明；同时送粉缸应与小成形平台功能相匹配，节约粉末。</w:t>
            </w:r>
          </w:p>
          <w:p w14:paraId="58965BBC">
            <w:pPr>
              <w:spacing w:before="156" w:beforeLines="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3.3. </w:t>
            </w:r>
            <w:r>
              <w:rPr>
                <w:rFonts w:ascii="Segoe UI Symbol" w:hAnsi="Segoe UI Symbol" w:cs="Segoe UI Symbol"/>
                <w:color w:val="000000" w:themeColor="text1"/>
                <w:szCs w:val="21"/>
                <w:highlight w:val="none"/>
                <w14:textFill>
                  <w14:solidFill>
                    <w14:schemeClr w14:val="tx1"/>
                  </w14:solidFill>
                </w14:textFill>
              </w:rPr>
              <w:t>★</w:t>
            </w:r>
            <w:r>
              <w:rPr>
                <w:rFonts w:hint="eastAsia" w:ascii="Segoe UI Symbol" w:hAnsi="Segoe UI Symbol" w:cs="Segoe UI Symbol"/>
                <w:color w:val="000000" w:themeColor="text1"/>
                <w:szCs w:val="21"/>
                <w:highlight w:val="none"/>
                <w:lang w:val="en-US" w:eastAsia="zh-CN"/>
                <w14:textFill>
                  <w14:solidFill>
                    <w14:schemeClr w14:val="tx1"/>
                  </w14:solidFill>
                </w14:textFill>
              </w:rPr>
              <w:t>须具有</w:t>
            </w:r>
            <w:r>
              <w:rPr>
                <w:color w:val="000000" w:themeColor="text1"/>
                <w:szCs w:val="21"/>
                <w:highlight w:val="none"/>
                <w14:textFill>
                  <w14:solidFill>
                    <w14:schemeClr w14:val="tx1"/>
                  </w14:solidFill>
                </w14:textFill>
              </w:rPr>
              <w:t>基板加热</w:t>
            </w:r>
            <w:r>
              <w:rPr>
                <w:rFonts w:hint="eastAsia"/>
                <w:color w:val="000000" w:themeColor="text1"/>
                <w:szCs w:val="21"/>
                <w:highlight w:val="none"/>
                <w:lang w:val="en-US" w:eastAsia="zh-CN"/>
                <w14:textFill>
                  <w14:solidFill>
                    <w14:schemeClr w14:val="tx1"/>
                  </w14:solidFill>
                </w14:textFill>
              </w:rPr>
              <w:t>功能</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基板</w:t>
            </w:r>
            <w:r>
              <w:rPr>
                <w:color w:val="000000" w:themeColor="text1"/>
                <w:szCs w:val="21"/>
                <w:highlight w:val="none"/>
                <w14:textFill>
                  <w14:solidFill>
                    <w14:schemeClr w14:val="tx1"/>
                  </w14:solidFill>
                </w14:textFill>
              </w:rPr>
              <w:t>预热温度</w:t>
            </w:r>
            <w:r>
              <w:rPr>
                <w:rFonts w:hint="eastAsia"/>
                <w:color w:val="000000" w:themeColor="text1"/>
                <w:szCs w:val="21"/>
                <w:highlight w:val="none"/>
                <w14:textFill>
                  <w14:solidFill>
                    <w14:schemeClr w14:val="tx1"/>
                  </w14:solidFill>
                </w14:textFill>
              </w:rPr>
              <w:t>不低于</w:t>
            </w:r>
            <w:r>
              <w:rPr>
                <w:color w:val="000000" w:themeColor="text1"/>
                <w:szCs w:val="21"/>
                <w:highlight w:val="none"/>
                <w14:textFill>
                  <w14:solidFill>
                    <w14:schemeClr w14:val="tx1"/>
                  </w14:solidFill>
                </w14:textFill>
              </w:rPr>
              <w:t>500℃，同时须具备升级更高加热温度的能力，</w:t>
            </w:r>
            <w:r>
              <w:rPr>
                <w:rFonts w:hint="eastAsia"/>
                <w:color w:val="000000" w:themeColor="text1"/>
                <w:szCs w:val="21"/>
                <w:highlight w:val="none"/>
                <w14:textFill>
                  <w14:solidFill>
                    <w14:schemeClr w14:val="tx1"/>
                  </w14:solidFill>
                </w14:textFill>
              </w:rPr>
              <w:t>例如可达到</w:t>
            </w:r>
            <w:r>
              <w:rPr>
                <w:color w:val="000000" w:themeColor="text1"/>
                <w:szCs w:val="21"/>
                <w:highlight w:val="none"/>
                <w14:textFill>
                  <w14:solidFill>
                    <w14:schemeClr w14:val="tx1"/>
                  </w14:solidFill>
                </w14:textFill>
              </w:rPr>
              <w:t>8</w:t>
            </w:r>
            <w:r>
              <w:rPr>
                <w:rFonts w:hint="eastAsia"/>
                <w:color w:val="000000" w:themeColor="text1"/>
                <w:szCs w:val="21"/>
                <w:highlight w:val="none"/>
                <w14:textFill>
                  <w14:solidFill>
                    <w14:schemeClr w14:val="tx1"/>
                  </w14:solidFill>
                </w14:textFill>
              </w:rPr>
              <w:t>00℃，确保对材料进行高温原位热处理。</w:t>
            </w:r>
            <w:r>
              <w:rPr>
                <w:color w:val="000000" w:themeColor="text1"/>
                <w:szCs w:val="21"/>
                <w:highlight w:val="none"/>
                <w14:textFill>
                  <w14:solidFill>
                    <w14:schemeClr w14:val="tx1"/>
                  </w14:solidFill>
                </w14:textFill>
              </w:rPr>
              <w:t>投标时需提供加热技术设计方案，提供设备最高预热温度实际监控视频佐证；</w:t>
            </w:r>
          </w:p>
          <w:p w14:paraId="1B4A2672">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3.4. </w:t>
            </w:r>
            <w:r>
              <w:rPr>
                <w:rFonts w:ascii="Segoe UI Symbol" w:hAnsi="Segoe UI Symbol" w:cs="Segoe UI Symbol"/>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设备须预留近真空打印环境（绝对气压需低于 2 mbar）及快速抽气功能（小于10 分钟）的接口或安装条件。</w:t>
            </w:r>
            <w:r>
              <w:rPr>
                <w:color w:val="000000" w:themeColor="text1"/>
                <w:szCs w:val="21"/>
                <w14:textFill>
                  <w14:solidFill>
                    <w14:schemeClr w14:val="tx1"/>
                  </w14:solidFill>
                </w14:textFill>
              </w:rPr>
              <w:t>打印过程中最高氧含量≤100ppm，设备氧含量阈值可调，打印过程中惰性气体消耗≤5L/min(工况下)；</w:t>
            </w:r>
          </w:p>
          <w:p w14:paraId="5100DCFB">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3.5. 铺层厚度：10-200μm；</w:t>
            </w:r>
          </w:p>
        </w:tc>
      </w:tr>
      <w:tr w14:paraId="0AAA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59371996">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2325" w:type="dxa"/>
            <w:vAlign w:val="center"/>
          </w:tcPr>
          <w:p w14:paraId="31DD65A9">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控制系统</w:t>
            </w:r>
          </w:p>
        </w:tc>
        <w:tc>
          <w:tcPr>
            <w:tcW w:w="4389" w:type="dxa"/>
            <w:vAlign w:val="center"/>
          </w:tcPr>
          <w:p w14:paraId="3DDB5A02">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4.1. 设备允许打印过程中工艺参数调整，提供调整控制证明截图；</w:t>
            </w:r>
          </w:p>
          <w:p w14:paraId="2318C6F6">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4.2. 采用PLC数字控制系统，能够实时反馈设备的运行情况如各轴扭矩，位置等信息，具有数据采集、显示、储存等功能；</w:t>
            </w:r>
          </w:p>
          <w:p w14:paraId="563D59CB">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4.3. 采用安全控制器进行了安全回路的设计，安全继电器等级可达到SIL3级；</w:t>
            </w:r>
          </w:p>
        </w:tc>
      </w:tr>
      <w:tr w14:paraId="4D4E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4FD0A8F4">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2325" w:type="dxa"/>
            <w:vAlign w:val="center"/>
          </w:tcPr>
          <w:p w14:paraId="12EE80B8">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质量监控系统</w:t>
            </w:r>
          </w:p>
        </w:tc>
        <w:tc>
          <w:tcPr>
            <w:tcW w:w="4389" w:type="dxa"/>
            <w:vAlign w:val="center"/>
          </w:tcPr>
          <w:p w14:paraId="24A77F25">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5.1. 实时监测、显示并记录零件成形关键信息，以上信息应至少包含平台温度、舱内温度、舱内压力、打印进度以及成形舱内氧含量等，提供软件监控截图；</w:t>
            </w:r>
          </w:p>
          <w:p w14:paraId="48C56E6E">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5.2. 成形舱配置氧含量及压力传感器，量程：0~1000 </w:t>
            </w:r>
            <w:r>
              <w:rPr>
                <w:rFonts w:hint="eastAsia"/>
                <w:color w:val="000000" w:themeColor="text1"/>
                <w:szCs w:val="21"/>
                <w14:textFill>
                  <w14:solidFill>
                    <w14:schemeClr w14:val="tx1"/>
                  </w14:solidFill>
                </w14:textFill>
              </w:rPr>
              <w:t>pp</w:t>
            </w:r>
            <w:r>
              <w:rPr>
                <w:color w:val="000000" w:themeColor="text1"/>
                <w:szCs w:val="21"/>
                <w14:textFill>
                  <w14:solidFill>
                    <w14:schemeClr w14:val="tx1"/>
                  </w14:solidFill>
                </w14:textFill>
              </w:rPr>
              <w:t>m，测量精度:实际测量值的±5%；具有氧含量及压力异常报警功能，且压力超标时可自动泄压；</w:t>
            </w:r>
          </w:p>
          <w:p w14:paraId="592A5072">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5.3. 具备自诊断故障功能，可实现实时监控并分级诊断，对故障进行监测、记录，分析；</w:t>
            </w:r>
          </w:p>
          <w:p w14:paraId="22F5DDE3">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5.4. 具备工作报表模块，可生成工作报表，工作报表包含零件信息、暂停信息、打印日志、操作日志、报警日志、工时记录、生产记录等，支持用户自由进行内容和时间筛选。</w:t>
            </w:r>
          </w:p>
        </w:tc>
      </w:tr>
      <w:tr w14:paraId="50B3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6091CB39">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2325" w:type="dxa"/>
            <w:vAlign w:val="center"/>
          </w:tcPr>
          <w:p w14:paraId="542E28F1">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循环过滤系统</w:t>
            </w:r>
          </w:p>
        </w:tc>
        <w:tc>
          <w:tcPr>
            <w:tcW w:w="4389" w:type="dxa"/>
            <w:vAlign w:val="center"/>
          </w:tcPr>
          <w:p w14:paraId="438E99EC">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6.1. </w:t>
            </w:r>
            <w:r>
              <w:rPr>
                <w:rFonts w:ascii="Segoe UI Symbol" w:hAnsi="Segoe UI Symbol" w:cs="Segoe UI Symbol"/>
                <w:color w:val="000000" w:themeColor="text1"/>
                <w:szCs w:val="21"/>
                <w14:textFill>
                  <w14:solidFill>
                    <w14:schemeClr w14:val="tx1"/>
                  </w14:solidFill>
                </w14:textFill>
              </w:rPr>
              <w:t>★</w:t>
            </w:r>
            <w:r>
              <w:rPr>
                <w:color w:val="000000" w:themeColor="text1"/>
                <w:szCs w:val="21"/>
                <w14:textFill>
                  <w14:solidFill>
                    <w14:schemeClr w14:val="tx1"/>
                  </w14:solidFill>
                </w14:textFill>
              </w:rPr>
              <w:t>采用圆柱式滤芯三级过滤，滤芯级别不低于H13级别，设计有可注水滤芯箱，提供注水滤芯箱实物图；</w:t>
            </w:r>
          </w:p>
        </w:tc>
      </w:tr>
      <w:tr w14:paraId="7FC2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1F093A91">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p>
        </w:tc>
        <w:tc>
          <w:tcPr>
            <w:tcW w:w="2325" w:type="dxa"/>
            <w:vAlign w:val="center"/>
          </w:tcPr>
          <w:p w14:paraId="40187EE1">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数据处理软件</w:t>
            </w:r>
          </w:p>
        </w:tc>
        <w:tc>
          <w:tcPr>
            <w:tcW w:w="4389" w:type="dxa"/>
            <w:vAlign w:val="center"/>
          </w:tcPr>
          <w:p w14:paraId="6FA4D2D8">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 支持自由可编程过程序列；</w:t>
            </w:r>
          </w:p>
          <w:p w14:paraId="21399F3B">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7.2. 烟气抽排体积流量控制，最高可达3 m/s；</w:t>
            </w:r>
          </w:p>
          <w:p w14:paraId="3A9E7087">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7.3. 支持所有SLM相关工艺参数的开放获取；</w:t>
            </w:r>
          </w:p>
          <w:p w14:paraId="6B4FB991">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7.4. 通过可配置API集成更多传感器；</w:t>
            </w:r>
          </w:p>
          <w:p w14:paraId="6C8ED74D">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7.5. 具备单层路径模拟规划模块；</w:t>
            </w:r>
          </w:p>
          <w:p w14:paraId="3EE686E8">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7.6. 确保图形和规划的连贯性，需要在AutoCAD环境下，实时进行填充测试；</w:t>
            </w:r>
          </w:p>
          <w:p w14:paraId="2CD23558">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7.7. 支持任意轮廓单层或者多图层路径规划功能；</w:t>
            </w:r>
          </w:p>
          <w:p w14:paraId="17553A40">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7.8. 支持闭合线条实现蛇形、外围、圆圈等多种路径自动填充；</w:t>
            </w:r>
          </w:p>
          <w:p w14:paraId="3BA87574">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7.9. 自动填充可自定义设置填充线间距，支持转角圆角参数调节；</w:t>
            </w:r>
          </w:p>
          <w:p w14:paraId="48AEB290">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7.10. 具备角度、弧长基准式填充，同时搭载孤岛检测与孤岛填充功能；</w:t>
            </w:r>
          </w:p>
          <w:p w14:paraId="71052CD4">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7.11. 配备路径反转运行功能；</w:t>
            </w:r>
          </w:p>
          <w:p w14:paraId="6E95BE25">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7.12. 内置多类路径排序模式，含原点、近邻、手动选择等不少于三种排布方式；</w:t>
            </w:r>
          </w:p>
          <w:p w14:paraId="01AC7879">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7.13. 具备换单快门、双快门功能，快门延迟时间可调；</w:t>
            </w:r>
          </w:p>
          <w:p w14:paraId="1890A2CC">
            <w:pPr>
              <w:spacing w:before="156" w:before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7.14. 具备展示打印顺序，支持按打印顺序依次变更显示颜色功能；</w:t>
            </w:r>
          </w:p>
        </w:tc>
      </w:tr>
      <w:tr w14:paraId="7D6B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381" w:hRule="atLeast"/>
        </w:trPr>
        <w:tc>
          <w:tcPr>
            <w:tcW w:w="1007" w:type="dxa"/>
            <w:vAlign w:val="center"/>
          </w:tcPr>
          <w:p w14:paraId="2C77D582">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2325" w:type="dxa"/>
            <w:vAlign w:val="center"/>
          </w:tcPr>
          <w:p w14:paraId="0C469926">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安全防护措施</w:t>
            </w:r>
          </w:p>
        </w:tc>
        <w:tc>
          <w:tcPr>
            <w:tcW w:w="4389" w:type="dxa"/>
            <w:vAlign w:val="center"/>
          </w:tcPr>
          <w:p w14:paraId="34BE23AA">
            <w:pPr>
              <w:widowControl/>
              <w:spacing w:before="156" w:beforeLines="50" w:after="12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8.1. 成形舱门上具有安全门锁，与激光器和运动轴有安全互锁；有急停按钮，按下后设备立即停止运行，保证操作和使用安全；</w:t>
            </w:r>
          </w:p>
        </w:tc>
      </w:tr>
      <w:tr w14:paraId="11D5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5" w:type="dxa"/>
            <w:left w:w="108" w:type="dxa"/>
            <w:bottom w:w="48" w:type="dxa"/>
            <w:right w:w="89" w:type="dxa"/>
          </w:tblCellMar>
        </w:tblPrEx>
        <w:trPr>
          <w:trHeight w:val="90" w:hRule="atLeast"/>
        </w:trPr>
        <w:tc>
          <w:tcPr>
            <w:tcW w:w="1007" w:type="dxa"/>
            <w:vAlign w:val="center"/>
          </w:tcPr>
          <w:p w14:paraId="0EE41CDC">
            <w:pPr>
              <w:spacing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w:t>
            </w:r>
          </w:p>
        </w:tc>
        <w:tc>
          <w:tcPr>
            <w:tcW w:w="2325" w:type="dxa"/>
            <w:vAlign w:val="center"/>
          </w:tcPr>
          <w:p w14:paraId="6033E449">
            <w:pPr>
              <w:spacing w:before="156" w:beforeLines="50" w:line="32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耗材清单</w:t>
            </w:r>
          </w:p>
        </w:tc>
        <w:tc>
          <w:tcPr>
            <w:tcW w:w="4389" w:type="dxa"/>
            <w:vAlign w:val="center"/>
          </w:tcPr>
          <w:p w14:paraId="71923A57">
            <w:pPr>
              <w:widowControl/>
              <w:spacing w:after="120"/>
              <w:jc w:val="left"/>
              <w:rPr>
                <w:color w:val="000000" w:themeColor="text1"/>
                <w:kern w:val="0"/>
                <w:sz w:val="24"/>
                <w:szCs w:val="24"/>
                <w14:textFill>
                  <w14:solidFill>
                    <w14:schemeClr w14:val="tx1"/>
                  </w14:solidFill>
                </w14:textFill>
              </w:rPr>
            </w:pPr>
            <w:r>
              <w:rPr>
                <w:rFonts w:hint="eastAsia"/>
                <w:color w:val="000000" w:themeColor="text1"/>
                <w:kern w:val="0"/>
                <w:szCs w:val="21"/>
                <w14:textFill>
                  <w14:solidFill>
                    <w14:schemeClr w14:val="tx1"/>
                  </w14:solidFill>
                </w14:textFill>
              </w:rPr>
              <w:t>9</w:t>
            </w:r>
            <w:r>
              <w:rPr>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1</w:t>
            </w:r>
            <w:r>
              <w:rPr>
                <w:color w:val="000000" w:themeColor="text1"/>
                <w:kern w:val="0"/>
                <w:szCs w:val="21"/>
                <w14:textFill>
                  <w14:solidFill>
                    <w14:schemeClr w14:val="tx1"/>
                  </w14:solidFill>
                </w14:textFill>
              </w:rPr>
              <w:t xml:space="preserve"> </w:t>
            </w:r>
            <w:r>
              <w:rPr>
                <w:rFonts w:hint="eastAsia"/>
                <w:color w:val="000000" w:themeColor="text1"/>
                <w:kern w:val="0"/>
                <w:szCs w:val="21"/>
                <w14:textFill>
                  <w14:solidFill>
                    <w14:schemeClr w14:val="tx1"/>
                  </w14:solidFill>
                </w14:textFill>
              </w:rPr>
              <w:t>提供耗材的价格单，确保后续购买耗材价格稳定。</w:t>
            </w:r>
          </w:p>
        </w:tc>
      </w:tr>
    </w:tbl>
    <w:p w14:paraId="709C9D06">
      <w:pPr>
        <w:tabs>
          <w:tab w:val="left" w:pos="900"/>
        </w:tabs>
        <w:spacing w:before="156" w:beforeLines="50" w:line="360" w:lineRule="auto"/>
        <w:rPr>
          <w:color w:val="000000" w:themeColor="text1"/>
          <w:szCs w:val="21"/>
          <w14:textFill>
            <w14:solidFill>
              <w14:schemeClr w14:val="tx1"/>
            </w14:solidFill>
          </w14:textFill>
        </w:rPr>
      </w:pPr>
    </w:p>
    <w:p w14:paraId="668062FC">
      <w:pPr>
        <w:tabs>
          <w:tab w:val="left" w:pos="900"/>
        </w:tabs>
        <w:spacing w:before="156" w:beforeLines="50" w:line="360" w:lineRule="auto"/>
        <w:rPr>
          <w:rFonts w:hAnsi="宋体"/>
          <w:b/>
          <w:color w:val="000000" w:themeColor="text1"/>
          <w:szCs w:val="21"/>
          <w14:textFill>
            <w14:solidFill>
              <w14:schemeClr w14:val="tx1"/>
            </w14:solidFill>
          </w14:textFill>
        </w:rPr>
      </w:pPr>
      <w:r>
        <w:rPr>
          <w:rFonts w:hint="eastAsia" w:hAnsi="宋体"/>
          <w:b/>
          <w:color w:val="000000" w:themeColor="text1"/>
          <w:szCs w:val="21"/>
          <w14:textFill>
            <w14:solidFill>
              <w14:schemeClr w14:val="tx1"/>
            </w14:solidFill>
          </w14:textFill>
        </w:rPr>
        <w:t>五、采购标的需满足的服务标准、期限、效率等要求</w:t>
      </w:r>
    </w:p>
    <w:p w14:paraId="66625129">
      <w:pPr>
        <w:tabs>
          <w:tab w:val="left" w:pos="420"/>
          <w:tab w:val="left" w:pos="900"/>
        </w:tabs>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（一）质保期： </w:t>
      </w:r>
      <w:r>
        <w:rPr>
          <w:rFonts w:ascii="宋体" w:hAnsi="宋体"/>
          <w:color w:val="000000" w:themeColor="text1"/>
          <w:szCs w:val="21"/>
          <w:u w:val="single"/>
          <w14:textFill>
            <w14:solidFill>
              <w14:schemeClr w14:val="tx1"/>
            </w14:solidFill>
          </w14:textFill>
        </w:rPr>
        <w:t xml:space="preserve">  </w:t>
      </w:r>
      <w:r>
        <w:rPr>
          <w:rFonts w:ascii="宋体" w:hAnsi="宋体" w:cs="宋体"/>
          <w:b/>
          <w:bCs/>
          <w:color w:val="000000" w:themeColor="text1"/>
          <w:u w:val="single"/>
          <w14:textFill>
            <w14:solidFill>
              <w14:schemeClr w14:val="tx1"/>
            </w14:solidFill>
          </w14:textFill>
        </w:rPr>
        <w:t>≥</w:t>
      </w:r>
      <w:r>
        <w:rPr>
          <w:rFonts w:ascii="宋体" w:hAnsi="宋体"/>
          <w:b/>
          <w:bCs/>
          <w:color w:val="000000" w:themeColor="text1"/>
          <w:szCs w:val="21"/>
          <w:u w:val="single"/>
          <w14:textFill>
            <w14:solidFill>
              <w14:schemeClr w14:val="tx1"/>
            </w14:solidFill>
          </w14:textFill>
        </w:rPr>
        <w:t xml:space="preserve"> 1</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ascii="宋体" w:hAnsi="宋体" w:cs="宋体"/>
          <w:color w:val="000000" w:themeColor="text1"/>
          <w14:textFill>
            <w14:solidFill>
              <w14:schemeClr w14:val="tx1"/>
            </w14:solidFill>
          </w14:textFill>
        </w:rPr>
        <w:t>质保期内</w:t>
      </w:r>
      <w:r>
        <w:rPr>
          <w:rFonts w:hint="eastAsia" w:ascii="宋体" w:hAnsi="宋体" w:cs="宋体"/>
          <w:color w:val="000000" w:themeColor="text1"/>
          <w14:textFill>
            <w14:solidFill>
              <w14:schemeClr w14:val="tx1"/>
            </w14:solidFill>
          </w14:textFill>
        </w:rPr>
        <w:t xml:space="preserve"> </w:t>
      </w:r>
      <w:r>
        <w:rPr>
          <w:rFonts w:ascii="宋体" w:hAnsi="宋体" w:cs="宋体"/>
          <w:b/>
          <w:bCs/>
          <w:color w:val="000000" w:themeColor="text1"/>
          <w:u w:val="single"/>
          <w14:textFill>
            <w14:solidFill>
              <w14:schemeClr w14:val="tx1"/>
            </w14:solidFill>
          </w14:textFill>
        </w:rPr>
        <w:t>免费维保</w:t>
      </w:r>
      <w:r>
        <w:rPr>
          <w:rFonts w:hint="eastAsia" w:ascii="宋体" w:hAnsi="宋体" w:cs="宋体"/>
          <w:color w:val="000000" w:themeColor="text1"/>
          <w14:textFill>
            <w14:solidFill>
              <w14:schemeClr w14:val="tx1"/>
            </w14:solidFill>
          </w14:textFill>
        </w:rPr>
        <w:t xml:space="preserve"> </w:t>
      </w:r>
      <w:r>
        <w:rPr>
          <w:rFonts w:ascii="宋体" w:hAnsi="宋体" w:cs="宋体"/>
          <w:color w:val="000000" w:themeColor="text1"/>
          <w14:textFill>
            <w14:solidFill>
              <w14:schemeClr w14:val="tx1"/>
            </w14:solidFill>
          </w14:textFill>
        </w:rPr>
        <w:t>≥2次/年，免人工服务费。</w:t>
      </w:r>
      <w:r>
        <w:rPr>
          <w:rFonts w:hint="eastAsia" w:ascii="宋体" w:hAnsi="宋体"/>
          <w:color w:val="000000" w:themeColor="text1"/>
          <w:szCs w:val="21"/>
          <w14:textFill>
            <w14:solidFill>
              <w14:schemeClr w14:val="tx1"/>
            </w14:solidFill>
          </w14:textFill>
        </w:rPr>
        <w:t>质保期满后，仍需提供专业维修服务，投标人在投标文件中需注明维修服务单项报价。</w:t>
      </w:r>
    </w:p>
    <w:p w14:paraId="64D07626">
      <w:pPr>
        <w:tabs>
          <w:tab w:val="left" w:pos="420"/>
          <w:tab w:val="left" w:pos="900"/>
        </w:tabs>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szCs w:val="21"/>
        </w:rPr>
        <w:t>（二）</w:t>
      </w:r>
      <w:r>
        <w:rPr>
          <w:rFonts w:hint="eastAsia" w:ascii="宋体" w:hAnsi="宋体"/>
          <w:color w:val="000000" w:themeColor="text1"/>
          <w:szCs w:val="21"/>
          <w14:textFill>
            <w14:solidFill>
              <w14:schemeClr w14:val="tx1"/>
            </w14:solidFill>
          </w14:textFill>
        </w:rPr>
        <w:t>服务响应时间：接到维修电话后4小时内给予明确答复，8小时内到达现场维修。维修人员到现场后若问题特殊无法现场修复的，供货方需在24小时内给出合理解决方案。</w:t>
      </w:r>
    </w:p>
    <w:p w14:paraId="2C516AFE">
      <w:pPr>
        <w:tabs>
          <w:tab w:val="left" w:pos="420"/>
          <w:tab w:val="left" w:pos="709"/>
        </w:tabs>
        <w:spacing w:before="156" w:line="360" w:lineRule="auto"/>
        <w:rPr>
          <w:rFonts w:ascii="宋体" w:hAnsi="宋体" w:cs="宋体"/>
          <w:color w:val="000000" w:themeColor="text1"/>
          <w14:textFill>
            <w14:solidFill>
              <w14:schemeClr w14:val="tx1"/>
            </w14:solidFill>
          </w14:textFill>
        </w:rPr>
      </w:pPr>
      <w:r>
        <w:rPr>
          <w:rFonts w:hint="eastAsia" w:ascii="宋体" w:hAnsi="宋体"/>
          <w:szCs w:val="21"/>
        </w:rPr>
        <w:t>（三）</w:t>
      </w:r>
      <w:r>
        <w:rPr>
          <w:rFonts w:ascii="宋体" w:hAnsi="宋体"/>
          <w:color w:val="000000" w:themeColor="text1"/>
          <w:szCs w:val="21"/>
          <w14:textFill>
            <w14:solidFill>
              <w14:schemeClr w14:val="tx1"/>
            </w14:solidFill>
          </w14:textFill>
        </w:rPr>
        <w:t>培训</w:t>
      </w:r>
      <w:r>
        <w:rPr>
          <w:rFonts w:hint="eastAsia" w:ascii="宋体" w:hAnsi="宋体"/>
          <w:color w:val="000000" w:themeColor="text1"/>
          <w:szCs w:val="21"/>
          <w14:textFill>
            <w14:solidFill>
              <w14:schemeClr w14:val="tx1"/>
            </w14:solidFill>
          </w14:textFill>
        </w:rPr>
        <w:t>要求：</w:t>
      </w:r>
      <w:r>
        <w:rPr>
          <w:rFonts w:ascii="宋体" w:hAnsi="宋体" w:cs="宋体"/>
          <w:color w:val="000000" w:themeColor="text1"/>
          <w14:textFill>
            <w14:solidFill>
              <w14:schemeClr w14:val="tx1"/>
            </w14:solidFill>
          </w14:textFill>
        </w:rPr>
        <w:t>提供培训电子资料及视频；供方免费为用户培训至少</w:t>
      </w:r>
      <w:r>
        <w:rPr>
          <w:rFonts w:ascii="宋体" w:hAnsi="宋体" w:cs="宋体"/>
          <w:b/>
          <w:bCs/>
          <w:color w:val="000000" w:themeColor="text1"/>
          <w:u w:val="single"/>
          <w14:textFill>
            <w14:solidFill>
              <w14:schemeClr w14:val="tx1"/>
            </w14:solidFill>
          </w14:textFill>
        </w:rPr>
        <w:t xml:space="preserve"> 5 </w:t>
      </w:r>
      <w:r>
        <w:rPr>
          <w:rFonts w:ascii="宋体" w:hAnsi="宋体" w:cs="宋体"/>
          <w:color w:val="000000" w:themeColor="text1"/>
          <w14:textFill>
            <w14:solidFill>
              <w14:schemeClr w14:val="tx1"/>
            </w14:solidFill>
          </w14:textFill>
        </w:rPr>
        <w:t>名操作人员进行为期至少</w:t>
      </w:r>
      <w:r>
        <w:rPr>
          <w:rFonts w:ascii="宋体" w:hAnsi="宋体" w:cs="宋体"/>
          <w:b/>
          <w:bCs/>
          <w:color w:val="000000" w:themeColor="text1"/>
          <w:u w:val="single"/>
          <w14:textFill>
            <w14:solidFill>
              <w14:schemeClr w14:val="tx1"/>
            </w14:solidFill>
          </w14:textFill>
        </w:rPr>
        <w:t xml:space="preserve"> 5  </w:t>
      </w:r>
      <w:r>
        <w:rPr>
          <w:rFonts w:ascii="宋体" w:hAnsi="宋体" w:cs="宋体"/>
          <w:color w:val="000000" w:themeColor="text1"/>
          <w14:textFill>
            <w14:solidFill>
              <w14:schemeClr w14:val="tx1"/>
            </w14:solidFill>
          </w14:textFill>
        </w:rPr>
        <w:t xml:space="preserve">天的现场操作培训以及应用培训，保证用户掌握有关设备的使用、维护、管理和应用等工作要求。不定期的免费提供相关设备应用方面的技术咨询等。 </w:t>
      </w:r>
    </w:p>
    <w:p w14:paraId="4A826E49">
      <w:pPr>
        <w:tabs>
          <w:tab w:val="left" w:pos="420"/>
          <w:tab w:val="left" w:pos="900"/>
        </w:tabs>
        <w:adjustRightInd w:val="0"/>
        <w:snapToGrid w:val="0"/>
        <w:spacing w:line="360" w:lineRule="auto"/>
        <w:rPr>
          <w:rFonts w:ascii="宋体" w:hAnsi="宋体"/>
          <w:b/>
          <w:bCs/>
          <w:szCs w:val="21"/>
        </w:rPr>
      </w:pPr>
      <w:r>
        <w:rPr>
          <w:rFonts w:hint="eastAsia" w:ascii="宋体" w:hAnsi="宋体"/>
          <w:b/>
          <w:bCs/>
          <w:szCs w:val="21"/>
        </w:rPr>
        <w:t>（四）供应商提供进口设备的，须在投标（响应）文件中明确外贸合同卖方信息。</w:t>
      </w:r>
    </w:p>
    <w:p w14:paraId="08CDC276">
      <w:pPr>
        <w:tabs>
          <w:tab w:val="left" w:pos="420"/>
          <w:tab w:val="left" w:pos="900"/>
        </w:tabs>
        <w:spacing w:before="156" w:beforeLines="50" w:line="360" w:lineRule="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w:t>
      </w:r>
      <w:r>
        <w:rPr>
          <w:rFonts w:ascii="宋体" w:hAnsi="宋体"/>
          <w:b/>
          <w:color w:val="000000" w:themeColor="text1"/>
          <w:szCs w:val="21"/>
          <w14:textFill>
            <w14:solidFill>
              <w14:schemeClr w14:val="tx1"/>
            </w14:solidFill>
          </w14:textFill>
        </w:rPr>
        <w:t>采购标的</w:t>
      </w:r>
      <w:r>
        <w:rPr>
          <w:rFonts w:hint="eastAsia" w:ascii="宋体" w:hAnsi="宋体"/>
          <w:b/>
          <w:color w:val="000000" w:themeColor="text1"/>
          <w:szCs w:val="21"/>
          <w14:textFill>
            <w14:solidFill>
              <w14:schemeClr w14:val="tx1"/>
            </w14:solidFill>
          </w14:textFill>
        </w:rPr>
        <w:t>履约验收标准</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3469"/>
        <w:gridCol w:w="4304"/>
      </w:tblGrid>
      <w:tr w14:paraId="2200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72863733">
            <w:pPr>
              <w:widowControl/>
              <w:adjustRightInd w:val="0"/>
              <w:snapToGrid w:val="0"/>
              <w:jc w:val="left"/>
              <w:textAlignment w:val="baseline"/>
              <w:rPr>
                <w:rFonts w:ascii="宋体" w:hAnsi="宋体"/>
                <w:b/>
                <w:bCs/>
                <w:color w:val="000000"/>
                <w:kern w:val="0"/>
                <w:szCs w:val="21"/>
              </w:rPr>
            </w:pPr>
            <w:r>
              <w:rPr>
                <w:rFonts w:hint="eastAsia" w:ascii="宋体" w:hAnsi="宋体"/>
                <w:b/>
                <w:bCs/>
                <w:color w:val="000000"/>
                <w:kern w:val="0"/>
                <w:szCs w:val="21"/>
              </w:rPr>
              <w:t>一、货物类项目验收要求</w:t>
            </w:r>
          </w:p>
        </w:tc>
      </w:tr>
      <w:tr w14:paraId="3280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0CA37E9E">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序号</w:t>
            </w:r>
          </w:p>
        </w:tc>
        <w:tc>
          <w:tcPr>
            <w:tcW w:w="3469" w:type="dxa"/>
            <w:vAlign w:val="center"/>
          </w:tcPr>
          <w:p w14:paraId="773D3316">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功能或指标</w:t>
            </w:r>
          </w:p>
        </w:tc>
        <w:tc>
          <w:tcPr>
            <w:tcW w:w="4304" w:type="dxa"/>
            <w:vAlign w:val="center"/>
          </w:tcPr>
          <w:p w14:paraId="01DDBBF9">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验收或测试方法</w:t>
            </w:r>
          </w:p>
        </w:tc>
      </w:tr>
      <w:tr w14:paraId="0694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14F7EEE7">
            <w:pPr>
              <w:widowControl/>
              <w:adjustRightInd w:val="0"/>
              <w:snapToGrid w:val="0"/>
              <w:jc w:val="left"/>
              <w:textAlignment w:val="baseline"/>
              <w:rPr>
                <w:rFonts w:ascii="宋体" w:hAnsi="宋体"/>
                <w:b/>
                <w:color w:val="000000"/>
                <w:kern w:val="0"/>
                <w:szCs w:val="21"/>
              </w:rPr>
            </w:pPr>
            <w:r>
              <w:rPr>
                <w:rFonts w:hint="eastAsia" w:ascii="宋体" w:hAnsi="宋体"/>
                <w:b/>
                <w:color w:val="000000"/>
                <w:kern w:val="0"/>
                <w:szCs w:val="21"/>
              </w:rPr>
              <w:t>项目建设单位验收要求：</w:t>
            </w:r>
          </w:p>
        </w:tc>
      </w:tr>
      <w:tr w14:paraId="194A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15A0D4A2">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469" w:type="dxa"/>
            <w:vAlign w:val="center"/>
          </w:tcPr>
          <w:p w14:paraId="560A011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货物外包装与外观无损伤</w:t>
            </w:r>
          </w:p>
        </w:tc>
        <w:tc>
          <w:tcPr>
            <w:tcW w:w="4304" w:type="dxa"/>
            <w:vAlign w:val="center"/>
          </w:tcPr>
          <w:p w14:paraId="58D90967">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w:t>
            </w:r>
          </w:p>
        </w:tc>
      </w:tr>
      <w:tr w14:paraId="0D14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5C546AB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469" w:type="dxa"/>
            <w:vAlign w:val="center"/>
          </w:tcPr>
          <w:p w14:paraId="2D8FDDE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货物配置、包括备品备件、耗品耗材等提供齐全，货物实物品牌、规格、型号、配置数量与采购结果、合同约定相符。</w:t>
            </w:r>
          </w:p>
        </w:tc>
        <w:tc>
          <w:tcPr>
            <w:tcW w:w="4304" w:type="dxa"/>
            <w:vAlign w:val="center"/>
          </w:tcPr>
          <w:p w14:paraId="0341C45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依据《合同》及其附件（包括但不限于《采购需求》《供应商投标（响应）文件》《投标澄清函》《技术协议》等）约定，现场核查。</w:t>
            </w:r>
          </w:p>
        </w:tc>
      </w:tr>
      <w:tr w14:paraId="0C1C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7581F47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469" w:type="dxa"/>
            <w:vAlign w:val="center"/>
          </w:tcPr>
          <w:p w14:paraId="158BE4C5">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所有功能和指标参数（包括边界极限值）达到采购结果合同约定要求。</w:t>
            </w:r>
          </w:p>
        </w:tc>
        <w:tc>
          <w:tcPr>
            <w:tcW w:w="4304" w:type="dxa"/>
            <w:vAlign w:val="center"/>
          </w:tcPr>
          <w:p w14:paraId="32D40DA5">
            <w:pPr>
              <w:adjustRightInd w:val="0"/>
              <w:snapToGrid w:val="0"/>
              <w:rPr>
                <w:rFonts w:ascii="宋体" w:hAnsi="宋体"/>
                <w:kern w:val="0"/>
                <w:szCs w:val="21"/>
              </w:rPr>
            </w:pPr>
            <w:r>
              <w:rPr>
                <w:rFonts w:hint="eastAsia" w:ascii="宋体" w:hAnsi="宋体"/>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10EC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305C38A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469" w:type="dxa"/>
            <w:vAlign w:val="center"/>
          </w:tcPr>
          <w:p w14:paraId="5CF5967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培训等合同服务要求完成情况。</w:t>
            </w:r>
          </w:p>
        </w:tc>
        <w:tc>
          <w:tcPr>
            <w:tcW w:w="4304" w:type="dxa"/>
            <w:vAlign w:val="center"/>
          </w:tcPr>
          <w:p w14:paraId="54991CA1">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现场核查。供应商须根据合同约定提供《培训视频》影像资料等。</w:t>
            </w:r>
          </w:p>
        </w:tc>
      </w:tr>
      <w:tr w14:paraId="50FE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507E3F8E">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469" w:type="dxa"/>
            <w:vAlign w:val="center"/>
          </w:tcPr>
          <w:p w14:paraId="16590BB2">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验证测试设备的运行稳定性</w:t>
            </w:r>
          </w:p>
        </w:tc>
        <w:tc>
          <w:tcPr>
            <w:tcW w:w="4304" w:type="dxa"/>
            <w:vAlign w:val="center"/>
          </w:tcPr>
          <w:p w14:paraId="71226EB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试运行验证测试设备运行稳定达标</w:t>
            </w:r>
          </w:p>
        </w:tc>
      </w:tr>
      <w:tr w14:paraId="20A7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9" w:type="dxa"/>
            <w:vAlign w:val="center"/>
          </w:tcPr>
          <w:p w14:paraId="5320DD8C">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7773" w:type="dxa"/>
            <w:gridSpan w:val="2"/>
            <w:vAlign w:val="center"/>
          </w:tcPr>
          <w:p w14:paraId="2EE0213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提示：</w:t>
            </w:r>
          </w:p>
          <w:p w14:paraId="6767479E">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1.经费负责人应当按照采购合同及其附件规定的每一项技术、服务、安全标准组织对供应商履约情况进行验收。</w:t>
            </w:r>
          </w:p>
          <w:p w14:paraId="00337648">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2.《供应商货物类项目完工报告》《项目建设单位货物类项目完工自验收报告》《第三方检测报告》（如有）等与验收相关的材料由经费负责人妥善保管存档。</w:t>
            </w:r>
          </w:p>
          <w:p w14:paraId="514D61A0">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3.</w:t>
            </w:r>
            <w:bookmarkStart w:id="5" w:name="OLE_LINK4"/>
            <w:r>
              <w:rPr>
                <w:rFonts w:hint="eastAsia" w:ascii="宋体" w:hAnsi="宋体"/>
                <w:color w:val="000000"/>
                <w:kern w:val="0"/>
                <w:szCs w:val="21"/>
              </w:rPr>
              <w:t>《技术协议》</w:t>
            </w:r>
            <w:bookmarkEnd w:id="5"/>
            <w:r>
              <w:rPr>
                <w:rFonts w:hint="eastAsia" w:ascii="宋体" w:hAnsi="宋体"/>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14:paraId="04CD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46173EB5">
            <w:pPr>
              <w:widowControl/>
              <w:adjustRightInd w:val="0"/>
              <w:snapToGrid w:val="0"/>
              <w:textAlignment w:val="baseline"/>
              <w:rPr>
                <w:rFonts w:ascii="宋体" w:hAnsi="宋体"/>
                <w:color w:val="000000"/>
                <w:kern w:val="0"/>
                <w:szCs w:val="21"/>
              </w:rPr>
            </w:pPr>
            <w:r>
              <w:rPr>
                <w:rFonts w:hint="eastAsia" w:ascii="宋体" w:hAnsi="宋体"/>
                <w:b/>
                <w:color w:val="000000"/>
                <w:kern w:val="0"/>
                <w:szCs w:val="21"/>
              </w:rPr>
              <w:t>学校验收复核要求：</w:t>
            </w:r>
            <w:r>
              <w:rPr>
                <w:rFonts w:hint="eastAsia" w:ascii="宋体" w:hAnsi="宋体"/>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191C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18" w:type="dxa"/>
            <w:gridSpan w:val="2"/>
            <w:vAlign w:val="center"/>
          </w:tcPr>
          <w:p w14:paraId="5CAD047B">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验收时是否需要供应商提供样品</w:t>
            </w:r>
          </w:p>
        </w:tc>
        <w:tc>
          <w:tcPr>
            <w:tcW w:w="4304" w:type="dxa"/>
            <w:vAlign w:val="center"/>
          </w:tcPr>
          <w:p w14:paraId="7491D16D">
            <w:pPr>
              <w:widowControl/>
              <w:adjustRightInd w:val="0"/>
              <w:snapToGrid w:val="0"/>
              <w:textAlignment w:val="baseline"/>
              <w:rPr>
                <w:rFonts w:ascii="宋体" w:hAnsi="宋体"/>
                <w:color w:val="000000"/>
                <w:kern w:val="0"/>
                <w:szCs w:val="21"/>
              </w:rPr>
            </w:pPr>
            <w:r>
              <w:rPr>
                <w:rFonts w:hint="eastAsia" w:cs="宋体" w:asciiTheme="minorEastAsia" w:hAnsiTheme="minorEastAsia"/>
                <w:b/>
                <w:color w:val="000000" w:themeColor="text1"/>
                <w:kern w:val="0"/>
                <w:sz w:val="24"/>
                <w:szCs w:val="24"/>
                <w14:textFill>
                  <w14:solidFill>
                    <w14:schemeClr w14:val="tx1"/>
                  </w14:solidFill>
                </w14:textFill>
              </w:rPr>
              <w:sym w:font="Wingdings 2" w:char="F052"/>
            </w:r>
            <w:r>
              <w:rPr>
                <w:rFonts w:hint="eastAsia" w:ascii="宋体" w:hAnsi="宋体"/>
                <w:color w:val="000000"/>
                <w:kern w:val="0"/>
                <w:szCs w:val="21"/>
              </w:rPr>
              <w:t xml:space="preserve">是 </w:t>
            </w:r>
            <w:r>
              <w:rPr>
                <w:rFonts w:hint="eastAsia" w:ascii="宋体" w:hAnsi="宋体" w:cs="宋体"/>
                <w:color w:val="000000"/>
                <w:kern w:val="0"/>
                <w:szCs w:val="21"/>
              </w:rPr>
              <w:t>□</w:t>
            </w:r>
            <w:r>
              <w:rPr>
                <w:rFonts w:hint="eastAsia" w:ascii="宋体" w:hAnsi="宋体"/>
                <w:color w:val="000000"/>
                <w:kern w:val="0"/>
                <w:szCs w:val="21"/>
              </w:rPr>
              <w:t>否</w:t>
            </w:r>
          </w:p>
        </w:tc>
      </w:tr>
      <w:tr w14:paraId="79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18" w:type="dxa"/>
            <w:gridSpan w:val="2"/>
            <w:vAlign w:val="center"/>
          </w:tcPr>
          <w:p w14:paraId="6927E7A7">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验收时是否需供应商提供必要的其他设备</w:t>
            </w:r>
          </w:p>
        </w:tc>
        <w:tc>
          <w:tcPr>
            <w:tcW w:w="4304" w:type="dxa"/>
            <w:vAlign w:val="center"/>
          </w:tcPr>
          <w:p w14:paraId="3AEEE2A9">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cs="宋体" w:asciiTheme="minorEastAsia" w:hAnsiTheme="minorEastAsia"/>
                <w:b/>
                <w:color w:val="000000" w:themeColor="text1"/>
                <w:kern w:val="0"/>
                <w:sz w:val="24"/>
                <w:szCs w:val="24"/>
                <w14:textFill>
                  <w14:solidFill>
                    <w14:schemeClr w14:val="tx1"/>
                  </w14:solidFill>
                </w14:textFill>
              </w:rPr>
              <w:sym w:font="Wingdings 2" w:char="F052"/>
            </w:r>
            <w:r>
              <w:rPr>
                <w:rFonts w:ascii="宋体" w:hAnsi="宋体"/>
                <w:color w:val="000000"/>
                <w:kern w:val="0"/>
                <w:szCs w:val="21"/>
              </w:rPr>
              <w:t>否</w:t>
            </w:r>
          </w:p>
        </w:tc>
      </w:tr>
      <w:tr w14:paraId="5B17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628D2028">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二、</w:t>
            </w:r>
            <w:r>
              <w:rPr>
                <w:rFonts w:hint="eastAsia" w:ascii="宋体" w:hAnsi="宋体"/>
                <w:b/>
                <w:bCs/>
                <w:color w:val="000000"/>
                <w:kern w:val="0"/>
                <w:szCs w:val="21"/>
              </w:rPr>
              <w:t>服务类项目验收要求</w:t>
            </w:r>
          </w:p>
        </w:tc>
      </w:tr>
      <w:tr w14:paraId="5E39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32937698">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项目建设单位验收要求：</w:t>
            </w:r>
            <w:bookmarkStart w:id="6" w:name="OLE_LINK35"/>
            <w:r>
              <w:rPr>
                <w:rFonts w:hint="eastAsia" w:ascii="宋体" w:hAnsi="宋体"/>
                <w:szCs w:val="21"/>
              </w:rPr>
              <w:t>根据项目特点对服务期内的服务履约实施情况进行考核，结合考核情况和服务效果进行验收。验收报告须经国资处备案。</w:t>
            </w:r>
            <w:bookmarkEnd w:id="6"/>
          </w:p>
        </w:tc>
      </w:tr>
      <w:tr w14:paraId="1A81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5BAD1813">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w:t>
            </w:r>
            <w:bookmarkStart w:id="7" w:name="_GoBack"/>
            <w:bookmarkEnd w:id="7"/>
            <w:r>
              <w:rPr>
                <w:rFonts w:hint="eastAsia" w:ascii="宋体" w:hAnsi="宋体"/>
                <w:bCs/>
                <w:color w:val="000000"/>
                <w:kern w:val="0"/>
                <w:szCs w:val="21"/>
              </w:rPr>
              <w:t>服务类供应商履约情况评价表》</w:t>
            </w:r>
            <w:r>
              <w:rPr>
                <w:rFonts w:hint="eastAsia" w:ascii="宋体" w:hAnsi="宋体"/>
                <w:szCs w:val="21"/>
              </w:rPr>
              <w:t>。国资处可根据项目情况采用抽查等方式进行复核。</w:t>
            </w:r>
          </w:p>
        </w:tc>
      </w:tr>
      <w:tr w14:paraId="4E1A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710E5685">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三、除现场验收外，需提供的其他验收要求</w:t>
            </w:r>
          </w:p>
        </w:tc>
      </w:tr>
      <w:tr w14:paraId="6EAB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18" w:type="dxa"/>
            <w:gridSpan w:val="2"/>
            <w:vAlign w:val="center"/>
          </w:tcPr>
          <w:p w14:paraId="5E0AF1F9">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304" w:type="dxa"/>
            <w:vAlign w:val="center"/>
          </w:tcPr>
          <w:p w14:paraId="64F1D5A4">
            <w:pPr>
              <w:widowControl/>
              <w:adjustRightInd w:val="0"/>
              <w:snapToGrid w:val="0"/>
              <w:textAlignment w:val="baseline"/>
              <w:rPr>
                <w:rFonts w:ascii="宋体" w:hAnsi="宋体" w:cs="宋体"/>
                <w:color w:val="000000"/>
                <w:kern w:val="0"/>
                <w:szCs w:val="21"/>
              </w:rPr>
            </w:pPr>
          </w:p>
          <w:p w14:paraId="2C9DDBE8">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ascii="宋体" w:hAnsi="宋体" w:cs="宋体"/>
                <w:color w:val="000000"/>
                <w:kern w:val="0"/>
                <w:szCs w:val="21"/>
              </w:rPr>
              <w:t></w:t>
            </w:r>
            <w:r>
              <w:rPr>
                <w:rFonts w:hint="eastAsia" w:cs="宋体" w:asciiTheme="minorEastAsia" w:hAnsiTheme="minorEastAsia"/>
                <w:b/>
                <w:color w:val="000000" w:themeColor="text1"/>
                <w:kern w:val="0"/>
                <w:sz w:val="24"/>
                <w:szCs w:val="24"/>
                <w14:textFill>
                  <w14:solidFill>
                    <w14:schemeClr w14:val="tx1"/>
                  </w14:solidFill>
                </w14:textFill>
              </w:rPr>
              <w:sym w:font="Wingdings 2" w:char="F052"/>
            </w:r>
            <w:r>
              <w:rPr>
                <w:rFonts w:ascii="宋体" w:hAnsi="宋体"/>
                <w:color w:val="000000"/>
                <w:kern w:val="0"/>
                <w:szCs w:val="21"/>
              </w:rPr>
              <w:t>否</w:t>
            </w:r>
          </w:p>
          <w:p w14:paraId="3F0A1944">
            <w:pPr>
              <w:widowControl/>
              <w:adjustRightInd w:val="0"/>
              <w:snapToGrid w:val="0"/>
              <w:textAlignment w:val="baseline"/>
              <w:rPr>
                <w:rFonts w:ascii="宋体" w:hAnsi="宋体"/>
                <w:color w:val="000000"/>
                <w:kern w:val="0"/>
                <w:szCs w:val="21"/>
              </w:rPr>
            </w:pPr>
          </w:p>
          <w:p w14:paraId="01781236">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14:paraId="765F402F">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3F2E4F79">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1"/>
      <w:bookmarkEnd w:id="2"/>
      <w:bookmarkEnd w:id="3"/>
    </w:tbl>
    <w:p w14:paraId="41BF76F9">
      <w:pPr>
        <w:tabs>
          <w:tab w:val="left" w:pos="420"/>
          <w:tab w:val="left" w:pos="900"/>
        </w:tabs>
        <w:spacing w:before="156" w:beforeLines="50" w:line="360" w:lineRule="auto"/>
        <w:rPr>
          <w:rFonts w:ascii="宋体" w:hAnsi="宋体"/>
          <w:b/>
          <w:color w:val="000000" w:themeColor="text1"/>
          <w:szCs w:val="21"/>
          <w14:textFill>
            <w14:solidFill>
              <w14:schemeClr w14:val="tx1"/>
            </w14:solidFill>
          </w14:textFill>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707F3">
    <w:pPr>
      <w:pStyle w:val="4"/>
      <w:jc w:val="center"/>
    </w:pPr>
    <w:r>
      <w:fldChar w:fldCharType="begin"/>
    </w:r>
    <w:r>
      <w:instrText xml:space="preserve">PAGE   \* MERGEFORMAT</w:instrText>
    </w:r>
    <w:r>
      <w:fldChar w:fldCharType="separate"/>
    </w:r>
    <w:r>
      <w:rPr>
        <w:lang w:val="zh-CN"/>
      </w:rPr>
      <w:t>4</w:t>
    </w:r>
    <w:r>
      <w:fldChar w:fldCharType="end"/>
    </w:r>
  </w:p>
  <w:p w14:paraId="29B8BB5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45B7"/>
    <w:rsid w:val="000156F8"/>
    <w:rsid w:val="000170BA"/>
    <w:rsid w:val="00017C9A"/>
    <w:rsid w:val="00024AA4"/>
    <w:rsid w:val="00032C83"/>
    <w:rsid w:val="00090056"/>
    <w:rsid w:val="00090099"/>
    <w:rsid w:val="00091505"/>
    <w:rsid w:val="000A209A"/>
    <w:rsid w:val="000C588B"/>
    <w:rsid w:val="000D2602"/>
    <w:rsid w:val="00105428"/>
    <w:rsid w:val="0011265B"/>
    <w:rsid w:val="0012727F"/>
    <w:rsid w:val="00140AF0"/>
    <w:rsid w:val="001507CE"/>
    <w:rsid w:val="00157667"/>
    <w:rsid w:val="001609FC"/>
    <w:rsid w:val="00162A76"/>
    <w:rsid w:val="00176534"/>
    <w:rsid w:val="0018461B"/>
    <w:rsid w:val="00192B6A"/>
    <w:rsid w:val="001B01A5"/>
    <w:rsid w:val="001B03C0"/>
    <w:rsid w:val="001B712C"/>
    <w:rsid w:val="001C0880"/>
    <w:rsid w:val="001C41C3"/>
    <w:rsid w:val="001C7C84"/>
    <w:rsid w:val="001D1F95"/>
    <w:rsid w:val="002204EA"/>
    <w:rsid w:val="00225DC6"/>
    <w:rsid w:val="00237253"/>
    <w:rsid w:val="002815C8"/>
    <w:rsid w:val="002A4902"/>
    <w:rsid w:val="002A6571"/>
    <w:rsid w:val="002B3A1B"/>
    <w:rsid w:val="002D68DE"/>
    <w:rsid w:val="003027D7"/>
    <w:rsid w:val="00307E26"/>
    <w:rsid w:val="00310E17"/>
    <w:rsid w:val="003113D4"/>
    <w:rsid w:val="00324878"/>
    <w:rsid w:val="003458D7"/>
    <w:rsid w:val="00345D8D"/>
    <w:rsid w:val="00353EC3"/>
    <w:rsid w:val="0036352F"/>
    <w:rsid w:val="003649AF"/>
    <w:rsid w:val="00391DFF"/>
    <w:rsid w:val="003B1B61"/>
    <w:rsid w:val="003C0818"/>
    <w:rsid w:val="003D06DB"/>
    <w:rsid w:val="003D078E"/>
    <w:rsid w:val="003D3B91"/>
    <w:rsid w:val="003E4113"/>
    <w:rsid w:val="003E4FDA"/>
    <w:rsid w:val="00426CB3"/>
    <w:rsid w:val="00453832"/>
    <w:rsid w:val="004951D7"/>
    <w:rsid w:val="004A43F0"/>
    <w:rsid w:val="004B2925"/>
    <w:rsid w:val="004B3DFE"/>
    <w:rsid w:val="004E36C2"/>
    <w:rsid w:val="004E4B14"/>
    <w:rsid w:val="00501176"/>
    <w:rsid w:val="0051081D"/>
    <w:rsid w:val="00510891"/>
    <w:rsid w:val="00523485"/>
    <w:rsid w:val="00523B59"/>
    <w:rsid w:val="00523E49"/>
    <w:rsid w:val="0052535A"/>
    <w:rsid w:val="0053111A"/>
    <w:rsid w:val="00562C62"/>
    <w:rsid w:val="005633CE"/>
    <w:rsid w:val="00571ADE"/>
    <w:rsid w:val="005853E9"/>
    <w:rsid w:val="00591540"/>
    <w:rsid w:val="0059304A"/>
    <w:rsid w:val="005951EF"/>
    <w:rsid w:val="005B62C9"/>
    <w:rsid w:val="005C3DA0"/>
    <w:rsid w:val="005D46E4"/>
    <w:rsid w:val="005E6A0A"/>
    <w:rsid w:val="005F1571"/>
    <w:rsid w:val="005F401F"/>
    <w:rsid w:val="005F5940"/>
    <w:rsid w:val="00611202"/>
    <w:rsid w:val="006237BE"/>
    <w:rsid w:val="00636F27"/>
    <w:rsid w:val="00640733"/>
    <w:rsid w:val="0064390C"/>
    <w:rsid w:val="0065601F"/>
    <w:rsid w:val="0065772D"/>
    <w:rsid w:val="006702F1"/>
    <w:rsid w:val="006878E9"/>
    <w:rsid w:val="006C2918"/>
    <w:rsid w:val="006C782C"/>
    <w:rsid w:val="006D095D"/>
    <w:rsid w:val="00703AC6"/>
    <w:rsid w:val="00710AA5"/>
    <w:rsid w:val="007117E9"/>
    <w:rsid w:val="00715B3F"/>
    <w:rsid w:val="007554BB"/>
    <w:rsid w:val="0076501A"/>
    <w:rsid w:val="007839AE"/>
    <w:rsid w:val="00785146"/>
    <w:rsid w:val="007A5DE1"/>
    <w:rsid w:val="007A6907"/>
    <w:rsid w:val="007C2028"/>
    <w:rsid w:val="007E104C"/>
    <w:rsid w:val="007F4BD9"/>
    <w:rsid w:val="00800E12"/>
    <w:rsid w:val="00801053"/>
    <w:rsid w:val="0080610F"/>
    <w:rsid w:val="008153D5"/>
    <w:rsid w:val="00823CA9"/>
    <w:rsid w:val="008403A0"/>
    <w:rsid w:val="0084652E"/>
    <w:rsid w:val="00860346"/>
    <w:rsid w:val="00870113"/>
    <w:rsid w:val="00873F09"/>
    <w:rsid w:val="0089621F"/>
    <w:rsid w:val="008C0BE7"/>
    <w:rsid w:val="008D094B"/>
    <w:rsid w:val="008D4B6F"/>
    <w:rsid w:val="008F2ED3"/>
    <w:rsid w:val="00902581"/>
    <w:rsid w:val="00906580"/>
    <w:rsid w:val="00906F86"/>
    <w:rsid w:val="00912013"/>
    <w:rsid w:val="00925E61"/>
    <w:rsid w:val="00946EF5"/>
    <w:rsid w:val="0098040D"/>
    <w:rsid w:val="0099177F"/>
    <w:rsid w:val="00995789"/>
    <w:rsid w:val="009B2EF0"/>
    <w:rsid w:val="009C656D"/>
    <w:rsid w:val="009D3518"/>
    <w:rsid w:val="009F6CAB"/>
    <w:rsid w:val="009F7A2C"/>
    <w:rsid w:val="00A047F0"/>
    <w:rsid w:val="00A161FC"/>
    <w:rsid w:val="00A3761D"/>
    <w:rsid w:val="00A61746"/>
    <w:rsid w:val="00A765E9"/>
    <w:rsid w:val="00A865ED"/>
    <w:rsid w:val="00A9766A"/>
    <w:rsid w:val="00AA0E0F"/>
    <w:rsid w:val="00AB48E9"/>
    <w:rsid w:val="00AC005D"/>
    <w:rsid w:val="00AC6F95"/>
    <w:rsid w:val="00AE1AFA"/>
    <w:rsid w:val="00AE67A6"/>
    <w:rsid w:val="00AF7468"/>
    <w:rsid w:val="00B015CE"/>
    <w:rsid w:val="00B107F0"/>
    <w:rsid w:val="00B151BE"/>
    <w:rsid w:val="00B34B16"/>
    <w:rsid w:val="00B43698"/>
    <w:rsid w:val="00B4481B"/>
    <w:rsid w:val="00B47D50"/>
    <w:rsid w:val="00B72BD6"/>
    <w:rsid w:val="00B72FB7"/>
    <w:rsid w:val="00B7406A"/>
    <w:rsid w:val="00B756C7"/>
    <w:rsid w:val="00B91989"/>
    <w:rsid w:val="00B94A57"/>
    <w:rsid w:val="00B973B9"/>
    <w:rsid w:val="00BA359E"/>
    <w:rsid w:val="00BB2053"/>
    <w:rsid w:val="00BB469B"/>
    <w:rsid w:val="00BB7A38"/>
    <w:rsid w:val="00BC3D86"/>
    <w:rsid w:val="00BC7870"/>
    <w:rsid w:val="00BD0727"/>
    <w:rsid w:val="00BE12E8"/>
    <w:rsid w:val="00BE5444"/>
    <w:rsid w:val="00C1098B"/>
    <w:rsid w:val="00C15054"/>
    <w:rsid w:val="00C179F0"/>
    <w:rsid w:val="00C36A51"/>
    <w:rsid w:val="00C63818"/>
    <w:rsid w:val="00C81EA4"/>
    <w:rsid w:val="00C82348"/>
    <w:rsid w:val="00CD153F"/>
    <w:rsid w:val="00CD2230"/>
    <w:rsid w:val="00CD50E0"/>
    <w:rsid w:val="00D04B4C"/>
    <w:rsid w:val="00D14571"/>
    <w:rsid w:val="00D2291C"/>
    <w:rsid w:val="00D324D9"/>
    <w:rsid w:val="00D41788"/>
    <w:rsid w:val="00D45ED1"/>
    <w:rsid w:val="00D56E82"/>
    <w:rsid w:val="00D65870"/>
    <w:rsid w:val="00D94396"/>
    <w:rsid w:val="00D97FEA"/>
    <w:rsid w:val="00DB6ED1"/>
    <w:rsid w:val="00DC1928"/>
    <w:rsid w:val="00DD647F"/>
    <w:rsid w:val="00DF1EA0"/>
    <w:rsid w:val="00DF5062"/>
    <w:rsid w:val="00E02FC1"/>
    <w:rsid w:val="00E0581E"/>
    <w:rsid w:val="00E1130A"/>
    <w:rsid w:val="00E22081"/>
    <w:rsid w:val="00E4264C"/>
    <w:rsid w:val="00E5133B"/>
    <w:rsid w:val="00E5398A"/>
    <w:rsid w:val="00E73399"/>
    <w:rsid w:val="00E74CB1"/>
    <w:rsid w:val="00E7573D"/>
    <w:rsid w:val="00E821CF"/>
    <w:rsid w:val="00E85911"/>
    <w:rsid w:val="00E931F1"/>
    <w:rsid w:val="00E955B4"/>
    <w:rsid w:val="00ED5C5D"/>
    <w:rsid w:val="00F072C1"/>
    <w:rsid w:val="00F07693"/>
    <w:rsid w:val="00F10369"/>
    <w:rsid w:val="00F11D51"/>
    <w:rsid w:val="00F17DEA"/>
    <w:rsid w:val="00F35137"/>
    <w:rsid w:val="00F43286"/>
    <w:rsid w:val="00F57DCD"/>
    <w:rsid w:val="00F9789E"/>
    <w:rsid w:val="00FB00E1"/>
    <w:rsid w:val="00FC1111"/>
    <w:rsid w:val="00FC3BB8"/>
    <w:rsid w:val="00FE1B41"/>
    <w:rsid w:val="00FF21F2"/>
    <w:rsid w:val="00FF339E"/>
    <w:rsid w:val="00FF47AD"/>
    <w:rsid w:val="00FF5472"/>
    <w:rsid w:val="00FF698C"/>
    <w:rsid w:val="0B464611"/>
    <w:rsid w:val="0D817B82"/>
    <w:rsid w:val="10CB7366"/>
    <w:rsid w:val="131E5E73"/>
    <w:rsid w:val="13421B62"/>
    <w:rsid w:val="134749AD"/>
    <w:rsid w:val="152B4878"/>
    <w:rsid w:val="155F4BAC"/>
    <w:rsid w:val="1BC72B84"/>
    <w:rsid w:val="1C032DB0"/>
    <w:rsid w:val="2A1F439F"/>
    <w:rsid w:val="31CF685F"/>
    <w:rsid w:val="39CF563E"/>
    <w:rsid w:val="3DE90CA8"/>
    <w:rsid w:val="43CC52F4"/>
    <w:rsid w:val="469519CD"/>
    <w:rsid w:val="4FAF6015"/>
    <w:rsid w:val="50DE21C3"/>
    <w:rsid w:val="52E67AB2"/>
    <w:rsid w:val="5B102138"/>
    <w:rsid w:val="5E2C27BF"/>
    <w:rsid w:val="61094D17"/>
    <w:rsid w:val="62176A0F"/>
    <w:rsid w:val="69DB32EB"/>
    <w:rsid w:val="6E572EC4"/>
    <w:rsid w:val="6EB42D97"/>
    <w:rsid w:val="7306039D"/>
    <w:rsid w:val="7D522F5F"/>
    <w:rsid w:val="7DB33A33"/>
    <w:rsid w:val="7EBB5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cstheme="minorBidi"/>
      <w:szCs w:val="22"/>
    </w:rPr>
  </w:style>
  <w:style w:type="paragraph" w:styleId="3">
    <w:name w:val="Balloon Text"/>
    <w:basedOn w:val="1"/>
    <w:link w:val="18"/>
    <w:semiHidden/>
    <w:unhideWhenUsed/>
    <w:qFormat/>
    <w:uiPriority w:val="99"/>
    <w:rPr>
      <w:sz w:val="18"/>
      <w:szCs w:val="18"/>
    </w:rPr>
  </w:style>
  <w:style w:type="paragraph" w:styleId="4">
    <w:name w:val="footer"/>
    <w:basedOn w:val="1"/>
    <w:link w:val="11"/>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link w:val="12"/>
    <w:qFormat/>
    <w:uiPriority w:val="0"/>
    <w:pPr>
      <w:spacing w:before="240" w:after="60"/>
      <w:jc w:val="center"/>
      <w:outlineLvl w:val="0"/>
    </w:pPr>
    <w:rPr>
      <w:rFonts w:ascii="Arial" w:hAnsi="Arial" w:cs="Arial"/>
      <w:b/>
      <w:bCs/>
      <w:sz w:val="32"/>
      <w:szCs w:val="32"/>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纯文本 字符"/>
    <w:link w:val="2"/>
    <w:uiPriority w:val="0"/>
    <w:rPr>
      <w:rFonts w:ascii="宋体" w:hAnsi="Courier New" w:eastAsia="宋体"/>
    </w:rPr>
  </w:style>
  <w:style w:type="character" w:customStyle="1" w:styleId="11">
    <w:name w:val="页脚 字符"/>
    <w:link w:val="4"/>
    <w:qFormat/>
    <w:uiPriority w:val="0"/>
    <w:rPr>
      <w:sz w:val="18"/>
    </w:rPr>
  </w:style>
  <w:style w:type="character" w:customStyle="1" w:styleId="12">
    <w:name w:val="标题 字符"/>
    <w:link w:val="6"/>
    <w:qFormat/>
    <w:uiPriority w:val="0"/>
    <w:rPr>
      <w:rFonts w:ascii="Arial" w:hAnsi="Arial" w:eastAsia="宋体" w:cs="Arial"/>
      <w:b/>
      <w:bCs/>
      <w:sz w:val="32"/>
      <w:szCs w:val="32"/>
    </w:rPr>
  </w:style>
  <w:style w:type="character" w:customStyle="1" w:styleId="13">
    <w:name w:val="页脚 Char"/>
    <w:basedOn w:val="9"/>
    <w:semiHidden/>
    <w:qFormat/>
    <w:uiPriority w:val="99"/>
    <w:rPr>
      <w:rFonts w:ascii="Times New Roman" w:hAnsi="Times New Roman" w:eastAsia="宋体" w:cs="Times New Roman"/>
      <w:sz w:val="18"/>
      <w:szCs w:val="18"/>
    </w:rPr>
  </w:style>
  <w:style w:type="character" w:customStyle="1" w:styleId="14">
    <w:name w:val="标题 Char"/>
    <w:basedOn w:val="9"/>
    <w:qFormat/>
    <w:uiPriority w:val="10"/>
    <w:rPr>
      <w:rFonts w:eastAsia="宋体" w:asciiTheme="majorHAnsi" w:hAnsiTheme="majorHAnsi" w:cstheme="majorBidi"/>
      <w:b/>
      <w:bCs/>
      <w:sz w:val="32"/>
      <w:szCs w:val="32"/>
    </w:rPr>
  </w:style>
  <w:style w:type="character" w:customStyle="1" w:styleId="15">
    <w:name w:val="纯文本 Char"/>
    <w:basedOn w:val="9"/>
    <w:semiHidden/>
    <w:qFormat/>
    <w:uiPriority w:val="99"/>
    <w:rPr>
      <w:rFonts w:ascii="宋体" w:hAnsi="Courier New" w:eastAsia="宋体" w:cs="Courier New"/>
      <w:szCs w:val="21"/>
    </w:rPr>
  </w:style>
  <w:style w:type="character" w:customStyle="1" w:styleId="16">
    <w:name w:val="页眉 字符"/>
    <w:basedOn w:val="9"/>
    <w:link w:val="5"/>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9"/>
    <w:link w:val="3"/>
    <w:semiHidden/>
    <w:qFormat/>
    <w:uiPriority w:val="99"/>
    <w:rPr>
      <w:rFonts w:ascii="Times New Roman" w:hAnsi="Times New Roman" w:eastAsia="宋体" w:cs="Times New Roman"/>
      <w:sz w:val="18"/>
      <w:szCs w:val="18"/>
    </w:rPr>
  </w:style>
  <w:style w:type="paragraph" w:customStyle="1" w:styleId="19">
    <w:name w:val="paragraph"/>
    <w:basedOn w:val="1"/>
    <w:semiHidden/>
    <w:uiPriority w:val="0"/>
    <w:pPr>
      <w:widowControl/>
      <w:spacing w:before="100" w:beforeAutospacing="1" w:after="100" w:afterAutospacing="1"/>
      <w:jc w:val="left"/>
    </w:pPr>
    <w:rPr>
      <w:rFonts w:ascii="等线" w:hAnsi="等线" w:eastAsia="等线"/>
      <w:kern w:val="0"/>
      <w:sz w:val="24"/>
      <w:szCs w:val="24"/>
    </w:rPr>
  </w:style>
  <w:style w:type="table" w:customStyle="1" w:styleId="20">
    <w:name w:val="TableGrid"/>
    <w:qFormat/>
    <w:uiPriority w:val="0"/>
    <w:rPr>
      <w:rFonts w:ascii="Times New Roman" w:hAnsi="Times New Roman" w:eastAsia="宋体"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2768</Words>
  <Characters>3084</Characters>
  <Lines>32</Lines>
  <Paragraphs>9</Paragraphs>
  <TotalTime>90</TotalTime>
  <ScaleCrop>false</ScaleCrop>
  <LinksUpToDate>false</LinksUpToDate>
  <CharactersWithSpaces>3253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2026-05-13T07:38:00Z</dcterms:created>
  <dc:creator>User</dc:creator>
  <cp:lastModifiedBy>USER</cp:lastModifiedBy>
  <cp:lastPrinted>2026-06-02T03:07:00Z</cp:lastPrinted>
  <dcterms:modified xsi:type="dcterms:W3CDTF">2026-07-06T03:24:50Z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FD47254428C546C79753499200788EBF</vt:lpwstr>
  </property>
  <property fmtid="{D5CDD505-2E9C-101B-9397-08002B2CF9AE}" pid="4" name="KSOTemplateDocerSaveRecord">
    <vt:lpwstr>eyJoZGlkIjoiNDUwZTViMDJkMWM5MzE3ZmU2NGNkZDFiYWVkNWNhMjIiLCJ1c2VySWQiOiIyNDUyMTc3MDMifQ==</vt:lpwstr>
  </property>
</Properties>
</file>