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10"/>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w:t>
      </w:r>
      <w:bookmarkStart w:id="1" w:name="OLE_LINK1"/>
      <w:r>
        <w:rPr>
          <w:rFonts w:hint="eastAsia" w:ascii="方正小标宋简体" w:hAnsi="宋体" w:eastAsia="方正小标宋简体"/>
          <w:b w:val="0"/>
          <w:bCs w:val="0"/>
          <w:sz w:val="36"/>
        </w:rPr>
        <w:t>榆阳区采煤沉陷区煤层火烧区隐患风险核查技术服务</w:t>
      </w:r>
      <w:bookmarkEnd w:id="1"/>
      <w:r>
        <w:rPr>
          <w:rFonts w:hint="eastAsia" w:ascii="方正小标宋简体" w:hAnsi="宋体" w:eastAsia="方正小标宋简体"/>
          <w:b w:val="0"/>
          <w:bCs w:val="0"/>
          <w:sz w:val="36"/>
        </w:rPr>
        <w:t>】采购需求</w:t>
      </w:r>
      <w:bookmarkEnd w:id="0"/>
    </w:p>
    <w:p w14:paraId="77C2D7A7">
      <w:pPr>
        <w:tabs>
          <w:tab w:val="left" w:pos="900"/>
        </w:tabs>
        <w:adjustRightInd w:val="0"/>
        <w:snapToGrid w:val="0"/>
        <w:spacing w:line="360" w:lineRule="auto"/>
        <w:ind w:firstLine="422" w:firstLineChars="200"/>
        <w:rPr>
          <w:b/>
          <w:szCs w:val="21"/>
        </w:rPr>
      </w:pPr>
      <w:bookmarkStart w:id="2" w:name="_Toc219271393"/>
      <w:bookmarkStart w:id="3" w:name="_Toc172360661"/>
      <w:bookmarkStart w:id="4"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57FF3F9C">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本项目采购榆阳区采煤沉陷区煤层火烧区隐患风险核查技术服务，1套，用于榆林市采煤沉陷区煤层火烧区隐患风险大核查在榆阳区范围内的现场调查、信息采集和数据分析，确保核查工作严格遵循相关标准规范，具备高度的规范性、完整性和准确性，全面摸清榆阳区采煤沉陷区、煤层火烧区分布现状、隐患等级及风险范围，为区域地质灾害防控、生态修复及安全生产监管提供科学、可靠的技术支撑。</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5" w:name="OLE_LINK23"/>
      <w:r>
        <w:rPr>
          <w:rFonts w:hint="eastAsia" w:hAnsi="宋体"/>
          <w:szCs w:val="24"/>
        </w:rPr>
        <w:t>采购标的对应的《中小企业划型标准规定》所属行业</w:t>
      </w:r>
      <w:bookmarkEnd w:id="5"/>
      <w:r>
        <w:rPr>
          <w:rFonts w:hint="eastAsia" w:hAnsi="宋体"/>
          <w:szCs w:val="24"/>
        </w:rPr>
        <w:t>为：</w:t>
      </w:r>
      <w:r>
        <w:rPr>
          <w:rFonts w:hint="eastAsia" w:hAnsi="宋体"/>
          <w:szCs w:val="24"/>
          <w:u w:val="single"/>
        </w:rPr>
        <w:t>其他未列明行业（地质灾害调查、评估技术服务）</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65AAFC29">
      <w:pPr>
        <w:tabs>
          <w:tab w:val="left" w:pos="900"/>
        </w:tabs>
        <w:adjustRightInd w:val="0"/>
        <w:snapToGrid w:val="0"/>
        <w:spacing w:line="360" w:lineRule="auto"/>
        <w:ind w:firstLine="420" w:firstLineChars="200"/>
        <w:rPr>
          <w:rFonts w:hint="eastAsia" w:eastAsia="宋体"/>
          <w:szCs w:val="21"/>
          <w:lang w:eastAsia="zh-CN"/>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具体执行标准如下</w:t>
      </w:r>
      <w:r>
        <w:rPr>
          <w:rFonts w:hint="eastAsia"/>
          <w:szCs w:val="21"/>
          <w:lang w:eastAsia="zh-CN"/>
        </w:rPr>
        <w:t>：</w:t>
      </w:r>
    </w:p>
    <w:p w14:paraId="54894C29">
      <w:pPr>
        <w:numPr>
          <w:ilvl w:val="0"/>
          <w:numId w:val="1"/>
        </w:num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《采煤沉陷区地质环境调查技术规范》（GB/T 46548-2025）</w:t>
      </w:r>
    </w:p>
    <w:p w14:paraId="4FE98A39">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《煤矿老空区普查技术规范》（NB/T 10528-2021）</w:t>
      </w:r>
    </w:p>
    <w:p w14:paraId="20A5FE19">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《地质灾害风险调查评价规范（1∶50000）》（DZ/T 0438-2023）</w:t>
      </w:r>
    </w:p>
    <w:p w14:paraId="1BCDB9ED">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《岩土工程勘察规范》（GB 50021-2001 (2009 版)）</w:t>
      </w:r>
    </w:p>
    <w:p w14:paraId="3136C0A6">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《煤矿采空区岩土工程勘查规范》（GB51044-2014（2017年版））</w:t>
      </w:r>
    </w:p>
    <w:p w14:paraId="254D3512">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《采煤塌陷区水资源环境调查与评价方法》（GB/T 37574-2019）</w:t>
      </w:r>
    </w:p>
    <w:p w14:paraId="655A7563">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《煤矿专门水文地质勘查规范》（GB/T 40130-2021）</w:t>
      </w:r>
    </w:p>
    <w:p w14:paraId="5320D4F2">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《矿山地质环境调查评价规范》（DD 2014-05）</w:t>
      </w:r>
    </w:p>
    <w:p w14:paraId="20C67017">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《矿山地质环境保护与恢复治理方案编制规范》（DZ/T 0223-2011）</w:t>
      </w:r>
    </w:p>
    <w:p w14:paraId="3654B30B">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《采煤沉陷区卫星遥感动态监测技术规程》（GB/T 45979-2025）</w:t>
      </w:r>
    </w:p>
    <w:p w14:paraId="14475641">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《煤层自然发火标志气体及临界值确定方法》（GB/T 44819-2024）</w:t>
      </w:r>
    </w:p>
    <w:p w14:paraId="6218EE4C">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《矿山环境遥感监测技术规范》（DZ/T 0392-2022）</w:t>
      </w:r>
    </w:p>
    <w:p w14:paraId="5127C15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zCs w:val="21"/>
        </w:rPr>
      </w:pPr>
      <w:r>
        <w:rPr>
          <w:rFonts w:hint="eastAsia" w:ascii="宋体" w:hAnsi="宋体"/>
          <w:szCs w:val="21"/>
        </w:rPr>
        <w:t>国家、行业及陕西省、榆林市现行有效的其他相关标准、规范（若有更新，按最新版本执行）。</w:t>
      </w: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r>
        <w:rPr>
          <w:rFonts w:hint="eastAsia" w:ascii="宋体" w:hAnsi="宋体"/>
          <w:szCs w:val="21"/>
          <w:u w:val="single"/>
        </w:rPr>
        <w:t xml:space="preserve"> 榆阳区</w:t>
      </w:r>
      <w:bookmarkStart w:id="6" w:name="_Hlk226728066"/>
      <w:r>
        <w:rPr>
          <w:rFonts w:hint="eastAsia" w:ascii="宋体" w:hAnsi="宋体"/>
          <w:szCs w:val="21"/>
          <w:u w:val="single"/>
        </w:rPr>
        <w:t>采煤沉陷区煤层火烧区</w:t>
      </w:r>
      <w:bookmarkEnd w:id="6"/>
      <w:r>
        <w:rPr>
          <w:rFonts w:hint="eastAsia" w:ascii="宋体" w:hAnsi="宋体"/>
          <w:szCs w:val="21"/>
          <w:u w:val="single"/>
        </w:rPr>
        <w:t>隐患风险核查技术服务</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Ansi="宋体"/>
          <w:szCs w:val="21"/>
          <w:u w:val="single"/>
        </w:rPr>
        <w:t xml:space="preserve"> </w:t>
      </w:r>
      <w:r>
        <w:rPr>
          <w:rFonts w:hint="eastAsia" w:hAnsi="宋体"/>
          <w:szCs w:val="21"/>
          <w:u w:val="single"/>
        </w:rPr>
        <w:t>1套</w:t>
      </w:r>
      <w:r>
        <w:rPr>
          <w:rFonts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 xml:space="preserve">308.00 </w:t>
      </w:r>
      <w:r>
        <w:rPr>
          <w:rFonts w:hint="eastAsia" w:hAnsi="宋体"/>
          <w:szCs w:val="21"/>
          <w:u w:val="none"/>
          <w:lang w:val="en-US" w:eastAsia="zh-CN"/>
        </w:rPr>
        <w:t xml:space="preserve"> 万</w:t>
      </w:r>
      <w:r>
        <w:rPr>
          <w:rFonts w:hint="eastAsia" w:hAnsi="宋体"/>
          <w:szCs w:val="21"/>
        </w:rPr>
        <w:t>元（大写：</w:t>
      </w:r>
      <w:r>
        <w:rPr>
          <w:rFonts w:hAnsi="宋体"/>
          <w:szCs w:val="21"/>
          <w:u w:val="single"/>
        </w:rPr>
        <w:t xml:space="preserve">  </w:t>
      </w:r>
      <w:r>
        <w:rPr>
          <w:rFonts w:hint="eastAsia" w:hAnsi="宋体"/>
          <w:szCs w:val="21"/>
          <w:u w:val="single"/>
          <w:lang w:val="en-US" w:eastAsia="zh-CN"/>
        </w:rPr>
        <w:t>叁佰零捌万元整</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lang w:val="en-US" w:eastAsia="zh-CN"/>
        </w:rPr>
        <w:t xml:space="preserve"> 180</w:t>
      </w:r>
      <w:r>
        <w:rPr>
          <w:rFonts w:hAnsi="宋体"/>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lang w:val="en-US" w:eastAsia="zh-CN"/>
        </w:rPr>
        <w:t>西安</w:t>
      </w:r>
      <w:r>
        <w:rPr>
          <w:rFonts w:hAnsi="宋体"/>
          <w:szCs w:val="21"/>
          <w:u w:val="single"/>
        </w:rPr>
        <w:t xml:space="preserve">  </w:t>
      </w:r>
    </w:p>
    <w:p w14:paraId="179C3B80">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cs="宋体" w:asciiTheme="minorEastAsia" w:hAnsiTheme="minorEastAsia"/>
          <w:b/>
          <w:color w:val="000000"/>
          <w:kern w:val="0"/>
          <w:szCs w:val="21"/>
        </w:rPr>
        <w:t>□</w:t>
      </w:r>
      <w:r>
        <w:rPr>
          <w:rFonts w:hint="eastAsia" w:hAnsi="宋体"/>
          <w:szCs w:val="21"/>
        </w:rPr>
        <w:t xml:space="preserve"> 按</w:t>
      </w:r>
      <w:r>
        <w:rPr>
          <w:rFonts w:hAnsi="宋体"/>
          <w:szCs w:val="21"/>
        </w:rPr>
        <w:t>采购文件</w:t>
      </w:r>
      <w:r>
        <w:rPr>
          <w:rFonts w:hint="eastAsia" w:hAnsi="宋体"/>
          <w:szCs w:val="21"/>
        </w:rPr>
        <w:t>要求。</w:t>
      </w:r>
    </w:p>
    <w:p w14:paraId="5FA361AF">
      <w:pPr>
        <w:tabs>
          <w:tab w:val="left" w:pos="900"/>
        </w:tabs>
        <w:adjustRightInd w:val="0"/>
        <w:snapToGrid w:val="0"/>
        <w:spacing w:line="360" w:lineRule="auto"/>
        <w:ind w:firstLine="402" w:firstLineChars="200"/>
        <w:rPr>
          <w:rFonts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lang w:eastAsia="zh-CN"/>
        </w:rPr>
        <w:t>☑</w:t>
      </w:r>
      <w:r>
        <w:rPr>
          <w:rFonts w:hAnsi="宋体"/>
          <w:szCs w:val="21"/>
        </w:rPr>
        <w:t>其他要求</w:t>
      </w:r>
      <w:r>
        <w:rPr>
          <w:rFonts w:hint="eastAsia" w:hAnsi="宋体"/>
          <w:szCs w:val="21"/>
        </w:rPr>
        <w:t>：</w:t>
      </w:r>
      <w:r>
        <w:rPr>
          <w:rFonts w:hAnsi="宋体"/>
          <w:szCs w:val="21"/>
          <w:u w:val="single"/>
        </w:rPr>
        <w:t xml:space="preserve"> </w:t>
      </w:r>
      <w:r>
        <w:rPr>
          <w:rFonts w:hint="eastAsia" w:hAnsi="宋体"/>
          <w:szCs w:val="21"/>
          <w:u w:val="single"/>
        </w:rPr>
        <w:t>（1）合同签订后，完成资料收集与先期调研，提交项目设计书后付款30%；（2）按照技术要求完成野外核查，提交野外核查表、遥感解译表、核查数据库后付款40%；（3）完成全部工作量并通过验收后付款30%</w:t>
      </w:r>
      <w:r>
        <w:rPr>
          <w:rFonts w:hint="eastAsia" w:hAnsi="宋体"/>
          <w:szCs w:val="21"/>
        </w:rPr>
        <w:t>。</w:t>
      </w: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0C68D44A">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（一）总体思路</w:t>
      </w:r>
    </w:p>
    <w:p w14:paraId="2EA2975F">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坚持“以人为本、安全至上”的防范原则，瞄准采煤沉陷区与煤层火烧区“隐患在哪里？风险有多大？如何来管控？”的关键问题，充分应用新技术和新方法，对榆阳区进行全面、系统的采煤沉陷区和煤层火烧区隐患风险识别和核查。一是开展采煤沉陷区隐患风险核查，查明采煤沉陷区（含悬顶区）地面变形特征以及引起的地质环境安全风险，有效服务于地质灾害防治、矿区地质环境治理恢复与土地复垦及国土空间规划优化等；二是开展煤层火烧区隐患风险核查，查明煤层火烧区分布范围、状态、时空变化特征以及隐患风险，为从“治本”角度推进煤层火烧区生态保护修复与综合治理规划提供基础支撑。</w:t>
      </w:r>
    </w:p>
    <w:p w14:paraId="2F431344">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（二）核查范围</w:t>
      </w:r>
    </w:p>
    <w:p w14:paraId="50B865F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榆阳区全域范围内在产和历史遗留煤矿区。核查精度要求对在产和历史遗留矿山的采煤沉陷现状及发展趋势、煤层火烧现状与隐患分布等做到全覆盖核查。</w:t>
      </w:r>
    </w:p>
    <w:p w14:paraId="6A05CE9E">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（三）核查内容</w:t>
      </w:r>
    </w:p>
    <w:p w14:paraId="2D5E2F6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采煤沉陷区隐患风险核查内容</w:t>
      </w:r>
    </w:p>
    <w:p w14:paraId="114E5A91">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（1）生产矿山的矿权范围、开采区范围；采煤沉陷（含地裂缝）发生时间、地点、规模、形态特征、沉陷区范围及其沉陷量、影响范围；采煤沉陷危害对象、致灾程度、处置情况等。</w:t>
      </w:r>
    </w:p>
    <w:p w14:paraId="05F52AB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（2）废弃煤矿的开采区范围、开采层位、开采方式；采空悬顶区的形成时间、范围、形态、影响区等；采空悬顶区的地面稳定与危险状况、威胁对象及潜在危害及综合防治情况。</w:t>
      </w:r>
    </w:p>
    <w:p w14:paraId="2974979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露天煤矿的矿权范围、开采区范围；露天煤矿开采剥挖范围、深度、体积、开采面边坡稳定性；露天煤矿堆填范围、高度、体积、边坡稳定性及土地复垦情况；同时也包括影响范围的威胁对象及其潜在危害等。</w:t>
      </w:r>
    </w:p>
    <w:p w14:paraId="78E8E91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煤层火烧区隐患风险核查内容</w:t>
      </w:r>
    </w:p>
    <w:p w14:paraId="1A4280F4">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（1）煤矿区煤田地质结构特征、煤层埋深与分布、煤炭资源采空情况及剩余资源量；</w:t>
      </w:r>
    </w:p>
    <w:p w14:paraId="0459DEA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（2）采煤沉陷区煤层火烧区分布范围、空间位置、燃烧状态及时空发展趋势，划分煤层火烧区隐患风险等级；</w:t>
      </w:r>
    </w:p>
    <w:p w14:paraId="06BF16C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（3）煤层自燃所产生的资源环境灾害（如地表高温、地面沉降、土地/植被退化、烟气等），煤层火烧区威胁对象、危害现状与程度以及处置现状等。</w:t>
      </w:r>
    </w:p>
    <w:p w14:paraId="5C0BEA52">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（四）技术方案</w:t>
      </w:r>
    </w:p>
    <w:p w14:paraId="5C5B3F54">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系统收集与整理分析煤矿区资料</w:t>
      </w:r>
    </w:p>
    <w:p w14:paraId="60E4FDC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全面搜集并梳理榆阳区各煤矿煤田地质勘查或资源整合、采矿设计或开发利用方案、矿区地质环境治理恢复与土地复垦实施方案及年度计划、采煤沉陷区与煤层火烧区调查、治理和监测等资料，以及各类地表变形监测资料，初步建立榆阳区煤矿采煤沉陷数据库。</w:t>
      </w:r>
    </w:p>
    <w:p w14:paraId="45181947">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采煤沉陷区隐患风险核查方案</w:t>
      </w:r>
    </w:p>
    <w:p w14:paraId="1C91F2ED">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（1）采煤沉陷区隐患早期识别</w:t>
      </w:r>
    </w:p>
    <w:p w14:paraId="157DE44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按照全覆盖核查的技术要求，利用基础地形数据和相关矿区资料，充分应用 “基于多期DEM差分解算+InSAR分析”的隐患早期识别技术，实现对榆阳区采煤沉陷隐患的早期识别以及地面变形特征的解算。</w:t>
      </w:r>
    </w:p>
    <w:p w14:paraId="60FC8C7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（2）采煤沉陷区隐患特征分析</w:t>
      </w:r>
    </w:p>
    <w:p w14:paraId="63F7849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人机交互方式，对前述识别的采煤沉陷隐患及其地面变形特征进行空间比对，核实并区分不同采煤方式引起的地面沉陷范围、形变量及影响区，形成采煤沉陷区隐患数据库清单，并重点解译威胁对象和危害状况。</w:t>
      </w:r>
    </w:p>
    <w:p w14:paraId="04A824E7">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（3）采煤沉陷区隐患实地核查</w:t>
      </w:r>
    </w:p>
    <w:p w14:paraId="1E5EE00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野外核查APP，按照清单深入现场进行野外核查。野外核查内容原则上不遗漏重要数据，逐一核实确定采煤沉陷区范围及其沉陷量、采空悬顶区范围与危险性、地表土壤植被破坏、威胁对象及危害程度等，制定采煤沉陷隐患风险评价等级。野外核查期间要进一步按照资料收集内容要求补充搜集相关资料，满足后期总体报告编写要求。野外核查原则上用野外纪录薄记录核查、访问、沿途观察等相关内容，每个矿区都应有典型平（剖）面图、照片或素描图。</w:t>
      </w:r>
    </w:p>
    <w:p w14:paraId="4F403F3D">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煤层火烧区隐患风险核查方案</w:t>
      </w:r>
    </w:p>
    <w:p w14:paraId="1457E8E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（1）煤层火烧隐患的自燃源分析与异常捕捉</w:t>
      </w:r>
    </w:p>
    <w:p w14:paraId="66A280E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在梳理已有煤层火烧隐患分布的基础上，利用前述收集基础资料情况，充分应用“基于自燃源充要条件的空-天-地-井协同感知”的煤层火烧区综合判识技术，圈定疑似煤层火烧重点区，形成煤层火烧隐患数据库清单，并根据空间识别与解译情况，制定适用于煤层火烧区隐患风险的野外核查表及其字段属性。</w:t>
      </w:r>
    </w:p>
    <w:p w14:paraId="5403823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（2）煤层火烧区隐患现象异常实地核查</w:t>
      </w:r>
    </w:p>
    <w:p w14:paraId="0C33AC8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野外核查APP，按照清单深入现场进行野外核查，重点根据明火、阴火、高温异常、烟气排放等异常现象，利用多种地面调查手段联合确定煤层火烧区隐患。在此基础上，构建煤层火烧区隐患风险评价体系，评定煤层火烧区隐患风险等级。另外，野外核查内容原则上不遗漏重要数据，逐一核实确定各煤层火烧区空间位置、分布范围、状态、危害对象及程度等。野外核查期间要进一步按照资料收集内容要求补充搜集相关资料，满足后期总体报告编写要求。野外核查原则上用野外纪录薄记录核查、访问、沿途观察等相关内容，每个矿区都应有典型平（剖）面图、照片或素描图。</w:t>
      </w:r>
    </w:p>
    <w:p w14:paraId="2B1243E1">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（五）预期成果</w:t>
      </w:r>
    </w:p>
    <w:p w14:paraId="52D0E54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成果产出要求</w:t>
      </w:r>
    </w:p>
    <w:p w14:paraId="11592114">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针对采煤沉陷区隐患风险核查的成果产出，要求提出采煤沉陷区隐患风险管理措施建议，包括采煤沉陷区地质灾害防治建议、采煤沉陷区地质环境治理恢复与土地复垦建议、采空悬顶区地质环境治理方案建议、采煤沉陷区地下水保护与合理开发利用建议等。针对煤层火烧区隐患风险核查的成果产出，要求提出煤层火烧区隐患风险管理措施建议，如煤层火烧区隐患防治区划图、煤层火烧区隐患风险区划图等；另外按照源头治理、综合治理的思路，编制《煤层火烧区隐患风险防控专项规划》。若区内无煤层火烧区隐患，需说明。</w:t>
      </w:r>
    </w:p>
    <w:p w14:paraId="714CD7C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预期成果清单</w:t>
      </w:r>
    </w:p>
    <w:p w14:paraId="650CDFC0">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按照技术要求，在完成核查工作并通过专家评审后，需提供以下正式成果资料。成果资料应提供纸质版与电子版（一式3份）。</w:t>
      </w:r>
    </w:p>
    <w:p w14:paraId="6A4E0C8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（1）榆阳区采煤沉陷区煤层火烧区隐患风险核查报告 1份；</w:t>
      </w:r>
    </w:p>
    <w:p w14:paraId="114B026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（2）榆阳区采煤沉陷区（含悬顶区）现状分布图及应用图系 1套；</w:t>
      </w:r>
    </w:p>
    <w:p w14:paraId="215C78AD">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（3）榆阳区采煤沉陷区生态修复与综合治理规划建议1套；</w:t>
      </w:r>
    </w:p>
    <w:p w14:paraId="6F00FF2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（4）榆阳区采煤沉陷区煤层火烧区隐患数据库1个；</w:t>
      </w:r>
    </w:p>
    <w:p w14:paraId="06F7FBE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（5）以Word、Excel、PPT、GIS及纸质版材料的形式，提交核查原始资料1套：主要包括收集资料、野外核查表、遥感解译表等。</w:t>
      </w:r>
    </w:p>
    <w:p w14:paraId="4B3EC89E">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六</w:t>
      </w:r>
      <w:r>
        <w:rPr>
          <w:rFonts w:hint="eastAsia" w:ascii="Times New Roman" w:hAnsi="宋体" w:eastAsia="宋体" w:cs="Times New Roman"/>
          <w:b/>
          <w:szCs w:val="21"/>
        </w:rPr>
        <w:t>）质量要求</w:t>
      </w:r>
    </w:p>
    <w:p w14:paraId="6ED2B8E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核查工作质量要求</w:t>
      </w:r>
    </w:p>
    <w:p w14:paraId="1B775BD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供应方须严格遵循国家、行业及地方现行标准规范，采用“空-天-地-井协同感知”一体化技术路线，综合运用多期DEM差分、InSAR分析、无人机航测、地面调查、物探验证及钻探验证（必要时）等手段开展核查。项目负责人须具备地质工程专业高级职称及5年以上同类项目经验，投入设备（如高精度GPS、地质雷达、三维激光扫描仪等）须经计量检定合格且在有效期内。实施全过程质量控制，建立“作业员自检-项目组互检-公司专检”三级质检体系，野外调查点位覆盖率100%。野外记录须完整规范，每个矿区留存典型平（剖）面图、照片等资料，确保核查过程可追溯、依据充分。</w:t>
      </w:r>
    </w:p>
    <w:p w14:paraId="2D47365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核查数据质量要求</w:t>
      </w:r>
    </w:p>
    <w:p w14:paraId="7550E1F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空间数据覆盖榆阳区全域在产及历史遗留煤矿区，无遗漏；属性数据包含地质背景、开采历史、沉陷特征（裂缝、塌陷坑、形变量）、火烧区状态（温度、范围、燃烧深度）、威胁对象及危害程度等全要素，数据采集率不低于95%。平面位置中误差≤±1.0m，火烧区边界划定误差≤±5.0m；隐患等级判定依据充分，误判率≤5%；沉陷量、燃烧深度等关键参数误差≤10%。数据须反映核查启动前3个月内的现状，禁止使用超过1年的历史数据替代新数据。</w:t>
      </w:r>
    </w:p>
    <w:p w14:paraId="149F063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成果质量要求</w:t>
      </w:r>
    </w:p>
    <w:p w14:paraId="1F04565B">
      <w:pPr>
        <w:tabs>
          <w:tab w:val="left" w:pos="900"/>
        </w:tabs>
        <w:adjustRightInd w:val="0"/>
        <w:snapToGrid w:val="0"/>
        <w:spacing w:line="360" w:lineRule="auto"/>
        <w:ind w:firstLine="420" w:firstLineChars="200"/>
        <w:rPr>
          <w:rFonts w:hint="eastAsia" w:cs="Times New Roman"/>
          <w:szCs w:val="21"/>
          <w:lang w:eastAsia="zh-CN"/>
        </w:rPr>
      </w:pPr>
      <w:r>
        <w:rPr>
          <w:rFonts w:hint="eastAsia" w:ascii="Times New Roman" w:hAnsi="Times New Roman" w:eastAsia="宋体" w:cs="Times New Roman"/>
          <w:szCs w:val="21"/>
          <w:lang w:eastAsia="zh-CN"/>
        </w:rPr>
        <w:t>产出成果需满足相关国家、地方、行业标准规范。此外，需满足采购方对成果类型的要求。若供应方交付成果存在数据造假、重大漏项或未达到上述质量标准，采购方有权扣除合同款的5%-20%作为违约金，并要求限期整改；拒不整改或整改后仍不合格的，采购人有权解除合同并追究由此造成的全部损失</w:t>
      </w:r>
      <w:r>
        <w:rPr>
          <w:rFonts w:hint="eastAsia" w:cs="Times New Roman"/>
          <w:szCs w:val="21"/>
          <w:lang w:eastAsia="zh-CN"/>
        </w:rPr>
        <w:t>。</w:t>
      </w:r>
    </w:p>
    <w:p w14:paraId="15C61FA4">
      <w:pPr>
        <w:pStyle w:val="2"/>
        <w:numPr>
          <w:ilvl w:val="0"/>
          <w:numId w:val="2"/>
        </w:numPr>
        <w:ind w:left="0" w:leftChars="0" w:firstLine="420" w:firstLineChars="200"/>
        <w:rPr>
          <w:rFonts w:hint="default"/>
          <w:lang w:val="en-US" w:eastAsia="zh-CN"/>
        </w:rPr>
      </w:pPr>
      <w:r>
        <w:rPr>
          <w:rFonts w:hint="eastAsia"/>
          <w:lang w:val="en-US" w:eastAsia="zh-CN"/>
        </w:rPr>
        <w:t>能力要求</w:t>
      </w:r>
    </w:p>
    <w:p w14:paraId="4F69616E">
      <w:pPr>
        <w:numPr>
          <w:ilvl w:val="0"/>
          <w:numId w:val="0"/>
        </w:num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须具备开展采煤沉陷区、煤层火烧区隐患风险核查的专业能力，拥有不少于10名地质类相关专业技术人员，其中高级技术职称人员不少于3名，技术负责人须具有高级技术职称，且具有5年以上相关项目工作经验。此外，投标人须拥有相关核查设备，包括但不限于高精度 GPS、地面物探、测氡仪、钢尺水位计等技术设备，以及InSAR数据分析、地理空间信息处理（GIS）、数值模拟分析等大型软件，能够满足本项目开展过程中的设备需求与技术分析。近3年内（自投标截止之日起倒算），投标人须具有至少2项类似地质灾害调查相关项目业绩（提供项目合同、验收报告复印件，加盖投标人公章，合同须明确项目名称、服务内容、合同金额及服务期限，验收报告须有采购人验收合格意见）。</w:t>
      </w:r>
    </w:p>
    <w:p w14:paraId="3C80DDDF">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七</w:t>
      </w:r>
      <w:r>
        <w:rPr>
          <w:rFonts w:hint="eastAsia" w:ascii="Times New Roman" w:hAnsi="宋体" w:eastAsia="宋体" w:cs="Times New Roman"/>
          <w:b/>
          <w:szCs w:val="21"/>
        </w:rPr>
        <w:t>）安全要求</w:t>
      </w:r>
    </w:p>
    <w:p w14:paraId="255E224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供应方须建立完善的安全生产管理制度，严格遵守煤矿安全生产、野外作业安全相关规定，为参与项目人员购买足额保险，配备必要的安全防护设备（如安全帽、防护服、急救药品等），进行安全培训，确保作业过程中无安全事故发生。若发生人员意外，由供应方承担全部责任及赔偿费用。</w:t>
      </w:r>
    </w:p>
    <w:p w14:paraId="42A5AFD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作业过程中须严格保护作业区域内的生态环境、公共设施及群众财产，不得造成二次污染或损坏，若因中标人操作不当造成损失，由供应方承担全部责任及赔偿费用。</w:t>
      </w:r>
    </w:p>
    <w:p w14:paraId="4E857BB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供应方须对核查过程中获取的涉密信息（如煤矿地质资料、敏感区域数据等）严格保密，建立保密制度，严禁泄露、传播，若发生涉密事件，须承担相应法律责任及经济损失。</w:t>
      </w:r>
    </w:p>
    <w:p w14:paraId="142F3153">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八</w:t>
      </w:r>
      <w:r>
        <w:rPr>
          <w:rFonts w:hint="eastAsia" w:ascii="Times New Roman" w:hAnsi="宋体" w:eastAsia="宋体" w:cs="Times New Roman"/>
          <w:b/>
          <w:szCs w:val="21"/>
        </w:rPr>
        <w:t>）组织要求</w:t>
      </w:r>
    </w:p>
    <w:p w14:paraId="5179CB57">
      <w:pPr>
        <w:tabs>
          <w:tab w:val="left" w:pos="900"/>
        </w:tabs>
        <w:spacing w:line="360" w:lineRule="auto"/>
        <w:ind w:firstLine="420" w:firstLineChars="200"/>
        <w:rPr>
          <w:rFonts w:hint="eastAsia" w:hAnsi="宋体"/>
          <w:szCs w:val="24"/>
        </w:rPr>
      </w:pPr>
      <w:r>
        <w:rPr>
          <w:rFonts w:hint="eastAsia" w:hAnsi="宋体"/>
          <w:szCs w:val="24"/>
        </w:rPr>
        <w:t>为保证本次核查工作顺利进行并达到核查要求，供应方应针对本核查项目从组织保障、技术保障、设备保障、机制保障等方面制定详细的保障措施体系；从职责划分、政专督查、专家审查等方面提升本次隐患风险大核查成果质量，高质量高标准完成核查任务。</w:t>
      </w:r>
    </w:p>
    <w:p w14:paraId="68265909">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九</w:t>
      </w:r>
      <w:r>
        <w:rPr>
          <w:rFonts w:hint="eastAsia" w:ascii="Times New Roman" w:hAnsi="宋体" w:eastAsia="宋体" w:cs="Times New Roman"/>
          <w:b/>
          <w:szCs w:val="21"/>
        </w:rPr>
        <w:t>）报价要求与费用包含范围</w:t>
      </w:r>
    </w:p>
    <w:p w14:paraId="1A46A76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本项目采用固定总价包干方式，投标总报价（最高限价人民币308.00万元）须包含完成本采购需求约定的全部工作内容所需的一切费用，合同履行期间不因工作量变化、物价波动、政策调整等因素做任何调整。</w:t>
      </w:r>
    </w:p>
    <w:p w14:paraId="43D19CD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投标报价应包括但不限于以下内容，且不得在中标后以任何理由要求追加费用：技术服务费，人力成本，设备与物资费，交通与后勤保障费，安全与保险费，管理与税费，成果交付与验收费，质保与培训费，风险与不可预见费等。</w:t>
      </w:r>
    </w:p>
    <w:p w14:paraId="07C3D3B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供应商在报价时应充分考虑榆阳区采煤沉陷区、煤层火烧区野外作业的复杂性和高风险性，凡采购需求中明确或隐含的、为完成本项目核查工作所必需的一切费用，均视为已包含在投标总报价中。</w:t>
      </w:r>
    </w:p>
    <w:p w14:paraId="48B1A6F4">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w:t>
      </w:r>
      <w:r>
        <w:rPr>
          <w:rFonts w:hint="eastAsia" w:ascii="Times New Roman" w:hAnsi="宋体" w:eastAsia="宋体" w:cs="Times New Roman"/>
          <w:b/>
          <w:szCs w:val="21"/>
        </w:rPr>
        <w:t>）采购标的需满足的资质要求</w:t>
      </w:r>
    </w:p>
    <w:p w14:paraId="0C1D3AB3">
      <w:pPr>
        <w:numPr>
          <w:ilvl w:val="0"/>
          <w:numId w:val="0"/>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须具备自然资源主管部门颁发的地质灾害防治单位甲级及以上资质（专业类别包含地质灾害评估和治理工程勘查设计），资质证书在有效期内，且可承揽相应等级的地质灾害风险调查评价相关工作，符合《地质灾害防治单位资质管理办法》（自然资源部令第8号）相关规定。</w:t>
      </w:r>
    </w:p>
    <w:p w14:paraId="3927EC9D">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十一</w:t>
      </w:r>
      <w:r>
        <w:rPr>
          <w:rFonts w:hint="eastAsia" w:ascii="Times New Roman" w:hAnsi="宋体" w:eastAsia="宋体" w:cs="Times New Roman"/>
          <w:b/>
          <w:szCs w:val="21"/>
        </w:rPr>
        <w:t>）</w:t>
      </w:r>
      <w:r>
        <w:rPr>
          <w:rFonts w:hint="eastAsia" w:hAnsi="宋体" w:cs="Times New Roman"/>
          <w:b/>
          <w:szCs w:val="21"/>
          <w:lang w:val="en-US" w:eastAsia="zh-CN"/>
        </w:rPr>
        <w:t>其他要求</w:t>
      </w:r>
    </w:p>
    <w:p w14:paraId="79C3FD67">
      <w:pPr>
        <w:tabs>
          <w:tab w:val="left" w:pos="900"/>
        </w:tabs>
        <w:adjustRightInd w:val="0"/>
        <w:snapToGrid w:val="0"/>
        <w:spacing w:line="360" w:lineRule="auto"/>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本项目与</w:t>
      </w:r>
      <w:r>
        <w:rPr>
          <w:rFonts w:hint="eastAsia" w:cs="Times New Roman"/>
          <w:szCs w:val="21"/>
          <w:lang w:val="en-US" w:eastAsia="zh-CN"/>
        </w:rPr>
        <w:t>府谷县</w:t>
      </w:r>
      <w:r>
        <w:rPr>
          <w:rFonts w:hint="default" w:ascii="Times New Roman" w:hAnsi="Times New Roman" w:eastAsia="宋体" w:cs="Times New Roman"/>
          <w:szCs w:val="21"/>
          <w:lang w:val="en-US" w:eastAsia="zh-CN"/>
        </w:rPr>
        <w:t>采煤沉陷区煤层火烧区隐患风险核查技术服务</w:t>
      </w:r>
      <w:r>
        <w:rPr>
          <w:rFonts w:hint="eastAsia" w:cs="Times New Roman"/>
          <w:szCs w:val="21"/>
          <w:lang w:val="en-US" w:eastAsia="zh-CN"/>
        </w:rPr>
        <w:t>、神木市</w:t>
      </w:r>
      <w:r>
        <w:rPr>
          <w:rFonts w:hint="default" w:ascii="Times New Roman" w:hAnsi="Times New Roman" w:eastAsia="宋体" w:cs="Times New Roman"/>
          <w:szCs w:val="21"/>
          <w:lang w:val="en-US" w:eastAsia="zh-CN"/>
        </w:rPr>
        <w:t>采煤沉陷区煤</w:t>
      </w:r>
      <w:bookmarkStart w:id="10" w:name="_GoBack"/>
      <w:bookmarkEnd w:id="10"/>
      <w:r>
        <w:rPr>
          <w:rFonts w:hint="default" w:ascii="Times New Roman" w:hAnsi="Times New Roman" w:eastAsia="宋体" w:cs="Times New Roman"/>
          <w:szCs w:val="21"/>
          <w:lang w:val="en-US" w:eastAsia="zh-CN"/>
        </w:rPr>
        <w:t>层火烧区隐患风险核查技术服务、横山、米脂、子洲三区（县）采煤沉陷区煤层火烧区隐患风险核查技术服务</w:t>
      </w:r>
      <w:r>
        <w:rPr>
          <w:rFonts w:hint="eastAsia" w:cs="Times New Roman"/>
          <w:szCs w:val="21"/>
          <w:lang w:val="en-US" w:eastAsia="zh-CN"/>
        </w:rPr>
        <w:t>及榆林市煤层分布规律及煤田地质结构研究技术服务</w:t>
      </w:r>
      <w:r>
        <w:rPr>
          <w:rFonts w:hint="default" w:ascii="Times New Roman" w:hAnsi="Times New Roman" w:eastAsia="宋体" w:cs="Times New Roman"/>
          <w:szCs w:val="21"/>
          <w:lang w:val="en-US" w:eastAsia="zh-CN"/>
        </w:rPr>
        <w:t>互为关联项目，同一投标人可同时参与上述多个项目投标，但每名投标人最多只能中标其中 1 个项目。若同一投标人在多个项目评审中综合排名均为第一，由该投标人自主选定 1 个项目中标，其余排名第一放弃的项目，依次顺延由对应项目综合排名第二的投标人递补中标。</w:t>
      </w:r>
    </w:p>
    <w:p w14:paraId="5551104A">
      <w:pPr>
        <w:tabs>
          <w:tab w:val="left" w:pos="900"/>
        </w:tabs>
        <w:adjustRightInd w:val="0"/>
        <w:snapToGrid w:val="0"/>
        <w:spacing w:line="360" w:lineRule="auto"/>
        <w:ind w:firstLine="422" w:firstLineChars="200"/>
        <w:rPr>
          <w:rFonts w:hint="default" w:ascii="Times New Roman" w:hAnsi="宋体" w:eastAsia="宋体" w:cs="Times New Roman"/>
          <w:b/>
          <w:szCs w:val="21"/>
          <w:lang w:val="en-US" w:eastAsia="zh-CN"/>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w:t>
      </w:r>
      <w:r>
        <w:rPr>
          <w:rFonts w:hint="eastAsia" w:hAnsi="宋体" w:cs="Times New Roman"/>
          <w:b/>
          <w:szCs w:val="21"/>
          <w:lang w:val="en-US" w:eastAsia="zh-CN"/>
        </w:rPr>
        <w:t>二</w:t>
      </w: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 xml:space="preserve">知识产权要求 </w:t>
      </w:r>
    </w:p>
    <w:p w14:paraId="010CCF8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 本项目产生的所有成果（含报告、图件、数据、数据库等）知识产权完全归采购人所有。供应商仅享有署名权，不得擅自将成果用于其他项目或向第三方转让。</w:t>
      </w:r>
    </w:p>
    <w:p w14:paraId="4D1F224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 供应商须保证交付成果不侵犯第三方知识产权。若发生侵权纠纷，由供应商承担全部法律责任及赔偿费用。</w:t>
      </w:r>
    </w:p>
    <w:p w14:paraId="7978AC76">
      <w:pPr>
        <w:tabs>
          <w:tab w:val="left" w:pos="900"/>
        </w:tabs>
        <w:adjustRightInd w:val="0"/>
        <w:snapToGrid w:val="0"/>
        <w:spacing w:line="360" w:lineRule="auto"/>
        <w:ind w:firstLine="420" w:firstLineChars="200"/>
        <w:rPr>
          <w:rFonts w:hint="eastAsia"/>
          <w:lang w:eastAsia="zh-CN"/>
        </w:rPr>
      </w:pPr>
      <w:r>
        <w:rPr>
          <w:rFonts w:hint="eastAsia" w:ascii="Times New Roman" w:hAnsi="Times New Roman" w:eastAsia="宋体" w:cs="Times New Roman"/>
          <w:szCs w:val="21"/>
          <w:lang w:val="en-US" w:eastAsia="zh-CN"/>
        </w:rPr>
        <w:t>3. 供应商在服务过程中获取的所有基础数据及成果，均属采购人资产，严禁私自对外发布或用于商业用途。</w:t>
      </w:r>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D8DFDC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（一）质保期： 不少于</w:t>
      </w:r>
      <w:r>
        <w:rPr>
          <w:rFonts w:hint="eastAsia" w:ascii="Times New Roman" w:hAnsi="Times New Roman" w:eastAsia="宋体" w:cs="Times New Roman"/>
          <w:szCs w:val="21"/>
          <w:u w:val="single"/>
          <w:lang w:eastAsia="zh-CN"/>
        </w:rPr>
        <w:t xml:space="preserve">   </w:t>
      </w:r>
      <w:r>
        <w:rPr>
          <w:rFonts w:hint="eastAsia" w:ascii="Times New Roman" w:hAnsi="Times New Roman" w:eastAsia="宋体" w:cs="Times New Roman"/>
          <w:szCs w:val="21"/>
          <w:u w:val="single"/>
          <w:lang w:val="en-US" w:eastAsia="zh-CN"/>
        </w:rPr>
        <w:t>1</w:t>
      </w:r>
      <w:r>
        <w:rPr>
          <w:rFonts w:hint="eastAsia" w:ascii="Times New Roman" w:hAnsi="Times New Roman" w:eastAsia="宋体" w:cs="Times New Roman"/>
          <w:szCs w:val="21"/>
          <w:u w:val="single"/>
          <w:lang w:eastAsia="zh-CN"/>
        </w:rPr>
        <w:t xml:space="preserve">   </w:t>
      </w:r>
      <w:r>
        <w:rPr>
          <w:rFonts w:hint="eastAsia" w:ascii="Times New Roman" w:hAnsi="Times New Roman" w:eastAsia="宋体" w:cs="Times New Roman"/>
          <w:szCs w:val="21"/>
          <w:lang w:eastAsia="zh-CN"/>
        </w:rPr>
        <w:t>年，质保期内，供应方须根据项目实际需要提供免费技术支撑服务（免人工服务费、差旅费等相关费用），包括数据更新、报告修改、数据库维护、技术咨询等，确保成果正常使用。质保期满后，供应方仍需提供长期专业技术支撑服务，投标人须在投标文件中明确专业技术支撑服务单项报价（包括人工、材料、差旅费等全部费用），报价须合理合规。</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w:t>
      </w:r>
      <w:r>
        <w:rPr>
          <w:rFonts w:hint="eastAsia" w:hAnsi="宋体"/>
          <w:szCs w:val="24"/>
        </w:rPr>
        <w:t>接到技术咨询或需求通知后</w:t>
      </w:r>
      <w:r>
        <w:rPr>
          <w:rFonts w:hint="eastAsia" w:ascii="宋体" w:hAnsi="宋体"/>
          <w:szCs w:val="21"/>
        </w:rPr>
        <w:t>4小时内给予明确答复，8小时内到达现场。</w:t>
      </w:r>
      <w:r>
        <w:rPr>
          <w:rFonts w:hint="eastAsia" w:hAnsi="宋体"/>
          <w:szCs w:val="24"/>
        </w:rPr>
        <w:t>减少对采购人工作的影响。</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w:t>
      </w:r>
      <w:r>
        <w:rPr>
          <w:rFonts w:hint="eastAsia" w:hAnsi="宋体"/>
          <w:szCs w:val="24"/>
        </w:rPr>
        <w:t>中标人须提供完整的培训电子资料（含操作手册、注意事项等）及视频教程；免费为采购人培训至少</w:t>
      </w:r>
      <w:r>
        <w:rPr>
          <w:rFonts w:hint="eastAsia" w:hAnsi="宋体"/>
          <w:szCs w:val="24"/>
          <w:u w:val="single"/>
          <w:lang w:val="en-US" w:eastAsia="zh-CN"/>
        </w:rPr>
        <w:t xml:space="preserve">  </w:t>
      </w:r>
      <w:r>
        <w:rPr>
          <w:rFonts w:hint="eastAsia" w:hAnsi="宋体"/>
          <w:szCs w:val="24"/>
          <w:u w:val="single"/>
        </w:rPr>
        <w:t>2</w:t>
      </w:r>
      <w:r>
        <w:rPr>
          <w:rFonts w:hint="eastAsia" w:hAnsi="宋体"/>
          <w:szCs w:val="24"/>
          <w:u w:val="single"/>
          <w:lang w:val="en-US" w:eastAsia="zh-CN"/>
        </w:rPr>
        <w:t xml:space="preserve">  </w:t>
      </w:r>
      <w:r>
        <w:rPr>
          <w:rFonts w:hint="eastAsia" w:hAnsi="宋体"/>
          <w:szCs w:val="24"/>
        </w:rPr>
        <w:t>名操作人员，培训为期至少</w:t>
      </w:r>
      <w:r>
        <w:rPr>
          <w:rFonts w:hint="eastAsia" w:hAnsi="宋体"/>
          <w:szCs w:val="24"/>
          <w:u w:val="single"/>
          <w:lang w:val="en-US" w:eastAsia="zh-CN"/>
        </w:rPr>
        <w:t xml:space="preserve">   </w:t>
      </w:r>
      <w:r>
        <w:rPr>
          <w:rFonts w:hint="eastAsia" w:hAnsi="宋体"/>
          <w:szCs w:val="24"/>
          <w:u w:val="single"/>
        </w:rPr>
        <w:t>3</w:t>
      </w:r>
      <w:r>
        <w:rPr>
          <w:rFonts w:hint="eastAsia" w:hAnsi="宋体"/>
          <w:szCs w:val="24"/>
          <w:u w:val="single"/>
          <w:lang w:val="en-US" w:eastAsia="zh-CN"/>
        </w:rPr>
        <w:t xml:space="preserve">  </w:t>
      </w:r>
      <w:r>
        <w:rPr>
          <w:rFonts w:hint="eastAsia" w:hAnsi="宋体"/>
          <w:szCs w:val="24"/>
        </w:rPr>
        <w:t>天（现场操作培训及应用培训相结合），确保操作人员全面掌握核查成果、数据库及相关设备的使用、维护、管理和应用等相关工作要求。质保期内及期满后，不定期免费提供相关技术咨询、操作指导等服务，及时响应采购人的培训需求。</w:t>
      </w: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2"/>
    <w:bookmarkEnd w:id="3"/>
    <w:bookmarkEnd w:id="4"/>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694"/>
        <w:gridCol w:w="4601"/>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7"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8" w:name="OLE_LINK4"/>
            <w:r>
              <w:rPr>
                <w:rFonts w:hint="eastAsia" w:ascii="宋体" w:hAnsi="宋体"/>
                <w:color w:val="000000"/>
                <w:kern w:val="0"/>
                <w:szCs w:val="21"/>
              </w:rPr>
              <w:t>《技术协议》</w:t>
            </w:r>
            <w:bookmarkEnd w:id="8"/>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9" w:name="OLE_LINK35"/>
            <w:r>
              <w:rPr>
                <w:rFonts w:hint="eastAsia" w:ascii="宋体" w:hAnsi="宋体"/>
                <w:szCs w:val="21"/>
              </w:rPr>
              <w:t>根据项目特点对服务期内的服务履约实施情况进行考核，结合考核情况和服务效果进行验收。验收报告须经国资处备案。</w:t>
            </w:r>
            <w:bookmarkEnd w:id="9"/>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lang w:eastAsia="zh-CN"/>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7"/>
    </w:tbl>
    <w:p w14:paraId="38F80FC0">
      <w:pPr>
        <w:adjustRightInd w:val="0"/>
        <w:snapToGrid w:val="0"/>
        <w:spacing w:line="360" w:lineRule="auto"/>
        <w:ind w:firstLine="440" w:firstLineChars="200"/>
        <w:rPr>
          <w:rFonts w:ascii="楷体" w:hAnsi="楷体" w:eastAsia="楷体"/>
          <w:color w:val="FF0000"/>
          <w:sz w:val="22"/>
          <w:szCs w:val="22"/>
        </w:rPr>
      </w:pPr>
    </w:p>
    <w:p w14:paraId="35F239AF">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8"/>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6CF13"/>
    <w:multiLevelType w:val="singleLevel"/>
    <w:tmpl w:val="27A6CF13"/>
    <w:lvl w:ilvl="0" w:tentative="0">
      <w:start w:val="1"/>
      <w:numFmt w:val="decimal"/>
      <w:suff w:val="space"/>
      <w:lvlText w:val="%1."/>
      <w:lvlJc w:val="left"/>
    </w:lvl>
  </w:abstractNum>
  <w:abstractNum w:abstractNumId="1">
    <w:nsid w:val="68709B2E"/>
    <w:multiLevelType w:val="singleLevel"/>
    <w:tmpl w:val="68709B2E"/>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9124A4E"/>
    <w:rsid w:val="1BC72B84"/>
    <w:rsid w:val="1BF134A5"/>
    <w:rsid w:val="476A702F"/>
    <w:rsid w:val="4D931B9F"/>
    <w:rsid w:val="4FAF6015"/>
    <w:rsid w:val="758A56CF"/>
    <w:rsid w:val="7DB33A33"/>
    <w:rsid w:val="7EE3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semiHidden/>
    <w:unhideWhenUsed/>
    <w:qFormat/>
    <w:uiPriority w:val="99"/>
    <w:pPr>
      <w:spacing w:after="120"/>
      <w:ind w:left="420" w:leftChars="200"/>
    </w:pPr>
  </w:style>
  <w:style w:type="paragraph" w:styleId="5">
    <w:name w:val="annotation text"/>
    <w:basedOn w:val="1"/>
    <w:link w:val="29"/>
    <w:semiHidden/>
    <w:unhideWhenUsed/>
    <w:uiPriority w:val="99"/>
    <w:pPr>
      <w:jc w:val="left"/>
    </w:pPr>
  </w:style>
  <w:style w:type="paragraph" w:styleId="6">
    <w:name w:val="Plain Text"/>
    <w:basedOn w:val="1"/>
    <w:link w:val="19"/>
    <w:qFormat/>
    <w:uiPriority w:val="0"/>
    <w:rPr>
      <w:rFonts w:ascii="宋体" w:hAnsi="Courier New" w:cstheme="minorBidi"/>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link w:val="21"/>
    <w:qFormat/>
    <w:uiPriority w:val="0"/>
    <w:pPr>
      <w:spacing w:before="240" w:after="60"/>
      <w:jc w:val="center"/>
      <w:outlineLvl w:val="0"/>
    </w:pPr>
    <w:rPr>
      <w:rFonts w:ascii="Arial" w:hAnsi="Arial" w:cs="Arial"/>
      <w:b/>
      <w:bCs/>
      <w:sz w:val="32"/>
      <w:szCs w:val="32"/>
    </w:rPr>
  </w:style>
  <w:style w:type="paragraph" w:styleId="11">
    <w:name w:val="annotation subject"/>
    <w:basedOn w:val="5"/>
    <w:next w:val="5"/>
    <w:link w:val="30"/>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纯文本 字符"/>
    <w:link w:val="6"/>
    <w:qFormat/>
    <w:uiPriority w:val="0"/>
    <w:rPr>
      <w:rFonts w:ascii="宋体" w:hAnsi="Courier New" w:eastAsia="宋体"/>
    </w:rPr>
  </w:style>
  <w:style w:type="character" w:customStyle="1" w:styleId="20">
    <w:name w:val="页脚 字符"/>
    <w:link w:val="8"/>
    <w:qFormat/>
    <w:uiPriority w:val="0"/>
    <w:rPr>
      <w:sz w:val="18"/>
    </w:rPr>
  </w:style>
  <w:style w:type="character" w:customStyle="1" w:styleId="21">
    <w:name w:val="标题 字符"/>
    <w:link w:val="10"/>
    <w:qFormat/>
    <w:uiPriority w:val="0"/>
    <w:rPr>
      <w:rFonts w:ascii="Arial" w:hAnsi="Arial" w:eastAsia="宋体" w:cs="Arial"/>
      <w:b/>
      <w:bCs/>
      <w:sz w:val="32"/>
      <w:szCs w:val="32"/>
    </w:rPr>
  </w:style>
  <w:style w:type="character" w:customStyle="1" w:styleId="22">
    <w:name w:val="页脚 Char"/>
    <w:basedOn w:val="14"/>
    <w:semiHidden/>
    <w:qFormat/>
    <w:uiPriority w:val="99"/>
    <w:rPr>
      <w:rFonts w:ascii="Times New Roman" w:hAnsi="Times New Roman" w:eastAsia="宋体" w:cs="Times New Roman"/>
      <w:sz w:val="18"/>
      <w:szCs w:val="18"/>
    </w:rPr>
  </w:style>
  <w:style w:type="character" w:customStyle="1" w:styleId="23">
    <w:name w:val="标题 Char"/>
    <w:basedOn w:val="14"/>
    <w:qFormat/>
    <w:uiPriority w:val="10"/>
    <w:rPr>
      <w:rFonts w:eastAsia="宋体" w:asciiTheme="majorHAnsi" w:hAnsiTheme="majorHAnsi" w:cstheme="majorBidi"/>
      <w:b/>
      <w:bCs/>
      <w:sz w:val="32"/>
      <w:szCs w:val="32"/>
    </w:rPr>
  </w:style>
  <w:style w:type="character" w:customStyle="1" w:styleId="24">
    <w:name w:val="纯文本 Char"/>
    <w:basedOn w:val="14"/>
    <w:semiHidden/>
    <w:qFormat/>
    <w:uiPriority w:val="99"/>
    <w:rPr>
      <w:rFonts w:ascii="宋体" w:hAnsi="Courier New" w:eastAsia="宋体" w:cs="Courier New"/>
      <w:szCs w:val="21"/>
    </w:rPr>
  </w:style>
  <w:style w:type="character" w:customStyle="1" w:styleId="25">
    <w:name w:val="页眉 字符"/>
    <w:basedOn w:val="14"/>
    <w:link w:val="9"/>
    <w:qFormat/>
    <w:uiPriority w:val="99"/>
    <w:rPr>
      <w:rFonts w:ascii="Times New Roman" w:hAnsi="Times New Roman" w:eastAsia="宋体" w:cs="Times New Roman"/>
      <w:sz w:val="18"/>
      <w:szCs w:val="18"/>
    </w:rPr>
  </w:style>
  <w:style w:type="paragraph" w:styleId="26">
    <w:name w:val="List Paragraph"/>
    <w:basedOn w:val="1"/>
    <w:qFormat/>
    <w:uiPriority w:val="34"/>
    <w:pPr>
      <w:ind w:firstLine="420" w:firstLineChars="200"/>
    </w:pPr>
  </w:style>
  <w:style w:type="character" w:customStyle="1" w:styleId="27">
    <w:name w:val="批注框文本 字符"/>
    <w:basedOn w:val="14"/>
    <w:link w:val="7"/>
    <w:semiHidden/>
    <w:qFormat/>
    <w:uiPriority w:val="99"/>
    <w:rPr>
      <w:rFonts w:ascii="Times New Roman" w:hAnsi="Times New Roman" w:eastAsia="宋体" w:cs="Times New Roman"/>
      <w:sz w:val="18"/>
      <w:szCs w:val="18"/>
    </w:rPr>
  </w:style>
  <w:style w:type="paragraph" w:customStyle="1" w:styleId="28">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9">
    <w:name w:val="批注文字 字符"/>
    <w:basedOn w:val="14"/>
    <w:link w:val="5"/>
    <w:semiHidden/>
    <w:qFormat/>
    <w:uiPriority w:val="99"/>
    <w:rPr>
      <w:rFonts w:ascii="Times New Roman" w:hAnsi="Times New Roman" w:eastAsia="宋体" w:cs="Times New Roman"/>
      <w:kern w:val="2"/>
      <w:sz w:val="21"/>
    </w:rPr>
  </w:style>
  <w:style w:type="character" w:customStyle="1" w:styleId="30">
    <w:name w:val="批注主题 字符"/>
    <w:basedOn w:val="29"/>
    <w:link w:val="11"/>
    <w:semiHidden/>
    <w:qFormat/>
    <w:uiPriority w:val="99"/>
    <w:rPr>
      <w:rFonts w:ascii="Times New Roman" w:hAnsi="Times New Roman" w:eastAsia="宋体" w:cs="Times New Roman"/>
      <w:b/>
      <w:bCs/>
      <w:kern w:val="2"/>
      <w:sz w:val="21"/>
    </w:rPr>
  </w:style>
  <w:style w:type="paragraph" w:customStyle="1" w:styleId="31">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7203</Words>
  <Characters>7451</Characters>
  <Lines>37</Lines>
  <Paragraphs>10</Paragraphs>
  <TotalTime>0</TotalTime>
  <ScaleCrop>false</ScaleCrop>
  <LinksUpToDate>false</LinksUpToDate>
  <CharactersWithSpaces>7542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张     帆</cp:lastModifiedBy>
  <dcterms:modified xsi:type="dcterms:W3CDTF">2026-05-24T06:04:07Z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CF23E57BB4674409AB40C5D8F1DCD276_13</vt:lpwstr>
  </property>
  <property fmtid="{D5CDD505-2E9C-101B-9397-08002B2CF9AE}" pid="4" name="KSOTemplateDocerSaveRecord">
    <vt:lpwstr>eyJoZGlkIjoiYWVhNjBmZDQyNmI2MGZkYmY1ZjAyY2ZkOTMxYzBkMDkiLCJ1c2VySWQiOiI2NTIyNzU2NTYifQ==</vt:lpwstr>
  </property>
</Properties>
</file>