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4FF20">
      <w:pPr>
        <w:pStyle w:val="7"/>
        <w:adjustRightInd w:val="0"/>
        <w:snapToGrid w:val="0"/>
        <w:spacing w:before="0" w:after="0" w:line="360" w:lineRule="auto"/>
        <w:outlineLvl w:val="9"/>
        <w:rPr>
          <w:rFonts w:ascii="方正小标宋简体" w:hAnsi="宋体" w:eastAsia="方正小标宋简体"/>
          <w:b w:val="0"/>
          <w:bCs w:val="0"/>
          <w:sz w:val="36"/>
        </w:rPr>
      </w:pPr>
      <w:bookmarkStart w:id="0" w:name="_Toc38367762"/>
      <w:r>
        <w:rPr>
          <w:rFonts w:hint="eastAsia" w:ascii="方正小标宋简体" w:hAnsi="宋体" w:eastAsia="方正小标宋简体"/>
          <w:b w:val="0"/>
          <w:bCs w:val="0"/>
          <w:sz w:val="36"/>
        </w:rPr>
        <w:t>【600MHz 搬迁及重装】采购需求</w:t>
      </w:r>
      <w:bookmarkEnd w:id="0"/>
    </w:p>
    <w:p w14:paraId="77C2D7A7">
      <w:pPr>
        <w:tabs>
          <w:tab w:val="left" w:pos="900"/>
        </w:tabs>
        <w:adjustRightInd w:val="0"/>
        <w:snapToGrid w:val="0"/>
        <w:spacing w:line="360" w:lineRule="auto"/>
        <w:ind w:firstLine="422" w:firstLineChars="200"/>
        <w:rPr>
          <w:b/>
          <w:szCs w:val="21"/>
        </w:rPr>
      </w:pPr>
      <w:bookmarkStart w:id="1" w:name="_Toc219271393"/>
      <w:bookmarkStart w:id="2" w:name="_Toc172360661"/>
      <w:bookmarkStart w:id="3" w:name="_Toc158978330"/>
      <w:r>
        <w:rPr>
          <w:rFonts w:hint="eastAsia" w:hAnsi="宋体"/>
          <w:b/>
          <w:szCs w:val="21"/>
        </w:rPr>
        <w:t>一、</w:t>
      </w:r>
      <w:r>
        <w:rPr>
          <w:rFonts w:hAnsi="宋体"/>
          <w:b/>
          <w:szCs w:val="21"/>
        </w:rPr>
        <w:t>采购</w:t>
      </w:r>
      <w:r>
        <w:rPr>
          <w:rFonts w:hint="eastAsia" w:hAnsi="宋体"/>
          <w:b/>
          <w:szCs w:val="21"/>
        </w:rPr>
        <w:t>标的</w:t>
      </w:r>
      <w:r>
        <w:rPr>
          <w:rFonts w:hAnsi="宋体"/>
          <w:b/>
          <w:szCs w:val="21"/>
        </w:rPr>
        <w:t>需实现的功能或者目标，以及为落实政府采购政策需满足的要求：</w:t>
      </w:r>
    </w:p>
    <w:p w14:paraId="08D81523">
      <w:pPr>
        <w:tabs>
          <w:tab w:val="left" w:pos="900"/>
        </w:tabs>
        <w:adjustRightInd w:val="0"/>
        <w:snapToGrid w:val="0"/>
        <w:spacing w:line="360" w:lineRule="auto"/>
        <w:ind w:firstLine="422" w:firstLineChars="200"/>
        <w:rPr>
          <w:rFonts w:hAnsi="宋体"/>
          <w:b/>
          <w:szCs w:val="21"/>
        </w:rPr>
      </w:pPr>
      <w:r>
        <w:rPr>
          <w:rFonts w:hAnsi="宋体"/>
          <w:b/>
          <w:szCs w:val="21"/>
        </w:rPr>
        <w:t>（一）采购</w:t>
      </w:r>
      <w:r>
        <w:rPr>
          <w:rFonts w:hint="eastAsia" w:hAnsi="宋体"/>
          <w:b/>
          <w:szCs w:val="21"/>
        </w:rPr>
        <w:t>标的</w:t>
      </w:r>
      <w:r>
        <w:rPr>
          <w:rFonts w:hAnsi="宋体"/>
          <w:b/>
          <w:szCs w:val="21"/>
        </w:rPr>
        <w:t>需实现的功能或者目标</w:t>
      </w:r>
    </w:p>
    <w:p w14:paraId="0F2293DF">
      <w:pPr>
        <w:tabs>
          <w:tab w:val="left" w:pos="900"/>
        </w:tabs>
        <w:adjustRightInd w:val="0"/>
        <w:snapToGrid w:val="0"/>
        <w:spacing w:line="360" w:lineRule="auto"/>
        <w:ind w:firstLine="420" w:firstLineChars="200"/>
        <w:rPr>
          <w:rFonts w:hAnsi="宋体"/>
        </w:rPr>
      </w:pPr>
      <w:r>
        <w:rPr>
          <w:rFonts w:hint="eastAsia" w:hAnsi="宋体"/>
        </w:rPr>
        <w:t>我校核磁谱仪600MHz需要从兴庆分测中心搬迁至创新港分测中心，搬迁过程需要仪器原厂授权服务，搬迁至新址后设备功能正常，调试指标应不低于搬迁前指标。</w:t>
      </w:r>
    </w:p>
    <w:p w14:paraId="35ABEBAE">
      <w:pPr>
        <w:tabs>
          <w:tab w:val="left" w:pos="900"/>
        </w:tabs>
        <w:adjustRightInd w:val="0"/>
        <w:snapToGrid w:val="0"/>
        <w:spacing w:line="360" w:lineRule="auto"/>
        <w:ind w:firstLine="422" w:firstLineChars="200"/>
        <w:rPr>
          <w:rFonts w:hAnsi="宋体"/>
          <w:b/>
          <w:szCs w:val="21"/>
        </w:rPr>
      </w:pPr>
    </w:p>
    <w:p w14:paraId="7E45FA3A">
      <w:pPr>
        <w:tabs>
          <w:tab w:val="left" w:pos="900"/>
        </w:tabs>
        <w:adjustRightInd w:val="0"/>
        <w:snapToGrid w:val="0"/>
        <w:spacing w:line="360" w:lineRule="auto"/>
        <w:ind w:firstLine="422" w:firstLineChars="200"/>
        <w:rPr>
          <w:b/>
          <w:szCs w:val="21"/>
        </w:rPr>
      </w:pPr>
      <w:r>
        <w:rPr>
          <w:rFonts w:hAnsi="宋体"/>
          <w:b/>
          <w:szCs w:val="21"/>
        </w:rPr>
        <w:t>（二）政府采购政策</w:t>
      </w:r>
      <w:r>
        <w:rPr>
          <w:rFonts w:hint="eastAsia" w:hAnsi="宋体"/>
          <w:b/>
          <w:szCs w:val="21"/>
        </w:rPr>
        <w:t>落实</w:t>
      </w:r>
      <w:r>
        <w:rPr>
          <w:rFonts w:hAnsi="宋体"/>
          <w:b/>
          <w:szCs w:val="21"/>
        </w:rPr>
        <w:t>要求</w:t>
      </w:r>
    </w:p>
    <w:p w14:paraId="5D9D7DE0">
      <w:pPr>
        <w:tabs>
          <w:tab w:val="left" w:pos="900"/>
        </w:tabs>
        <w:adjustRightInd w:val="0"/>
        <w:snapToGrid w:val="0"/>
        <w:spacing w:line="360" w:lineRule="auto"/>
        <w:ind w:firstLine="420" w:firstLineChars="200"/>
        <w:rPr>
          <w:rFonts w:hAnsi="宋体"/>
          <w:szCs w:val="21"/>
        </w:rPr>
      </w:pPr>
      <w:r>
        <w:rPr>
          <w:rFonts w:hint="eastAsia" w:hAnsi="宋体"/>
          <w:szCs w:val="24"/>
        </w:rPr>
        <w:t>1</w:t>
      </w:r>
      <w:r>
        <w:rPr>
          <w:rFonts w:hAnsi="宋体"/>
          <w:szCs w:val="24"/>
        </w:rPr>
        <w:t xml:space="preserve">. </w:t>
      </w:r>
      <w:r>
        <w:rPr>
          <w:rFonts w:hint="eastAsia" w:hAnsi="宋体"/>
          <w:szCs w:val="24"/>
        </w:rPr>
        <w:t>中小企业扶持政策：</w:t>
      </w:r>
      <w:r>
        <w:rPr>
          <w:rFonts w:hAnsi="宋体"/>
          <w:szCs w:val="24"/>
        </w:rPr>
        <w:t>根据</w:t>
      </w:r>
      <w:r>
        <w:rPr>
          <w:rFonts w:hAnsi="宋体"/>
        </w:rPr>
        <w:t>《政府采购促进中小企业发展管理办法》</w:t>
      </w:r>
      <w:r>
        <w:rPr>
          <w:rFonts w:hint="eastAsia" w:hAnsi="宋体"/>
        </w:rPr>
        <w:t>（财库〔2</w:t>
      </w:r>
      <w:r>
        <w:rPr>
          <w:rFonts w:hAnsi="宋体"/>
        </w:rPr>
        <w:t>020</w:t>
      </w:r>
      <w:r>
        <w:rPr>
          <w:rFonts w:hint="eastAsia" w:hAnsi="宋体"/>
        </w:rPr>
        <w:t>〕4</w:t>
      </w:r>
      <w:r>
        <w:rPr>
          <w:rFonts w:hAnsi="宋体"/>
        </w:rPr>
        <w:t>6</w:t>
      </w:r>
      <w:r>
        <w:rPr>
          <w:rFonts w:hint="eastAsia" w:hAnsi="宋体"/>
        </w:rPr>
        <w:t>号）</w:t>
      </w:r>
      <w:r>
        <w:rPr>
          <w:rFonts w:hAnsi="宋体"/>
        </w:rPr>
        <w:t>规定，本项目</w:t>
      </w:r>
      <w:r>
        <w:rPr>
          <w:rFonts w:hint="eastAsia" w:hAnsi="宋体"/>
        </w:rPr>
        <w:t>采购标的</w:t>
      </w:r>
      <w:r>
        <w:rPr>
          <w:rFonts w:hAnsi="宋体"/>
        </w:rPr>
        <w:t>为</w:t>
      </w:r>
      <w:r>
        <w:rPr>
          <w:rFonts w:hint="eastAsia" w:hAnsi="宋体"/>
        </w:rPr>
        <w:t>中小</w:t>
      </w:r>
      <w:r>
        <w:rPr>
          <w:rFonts w:hAnsi="宋体"/>
        </w:rPr>
        <w:t>型企业</w:t>
      </w:r>
      <w:r>
        <w:rPr>
          <w:rFonts w:hint="eastAsia" w:hAnsi="宋体"/>
        </w:rPr>
        <w:t>制造、承建或承接</w:t>
      </w:r>
      <w:r>
        <w:rPr>
          <w:rFonts w:hAnsi="宋体"/>
          <w:szCs w:val="24"/>
        </w:rPr>
        <w:t>的，</w:t>
      </w:r>
      <w:r>
        <w:rPr>
          <w:rFonts w:hAnsi="宋体"/>
        </w:rPr>
        <w:t>投标人应</w:t>
      </w:r>
      <w:r>
        <w:rPr>
          <w:rFonts w:hint="eastAsia" w:hAnsi="宋体"/>
        </w:rPr>
        <w:t>提供办法规定的</w:t>
      </w:r>
      <w:r>
        <w:rPr>
          <w:rFonts w:hAnsi="宋体"/>
          <w:szCs w:val="21"/>
        </w:rPr>
        <w:t>《中小企业声明函》</w:t>
      </w:r>
      <w:r>
        <w:rPr>
          <w:rFonts w:hint="eastAsia" w:hAnsi="宋体"/>
          <w:szCs w:val="21"/>
        </w:rPr>
        <w:t>，否则不得享受相关中小企业扶持政策</w:t>
      </w:r>
      <w:r>
        <w:rPr>
          <w:rFonts w:hAnsi="宋体"/>
          <w:szCs w:val="24"/>
        </w:rPr>
        <w:t>。投标人应对提交的中小企业声明函的真实性负责，提交的中小企业声明函不真实的，应承担相应的法律责任</w:t>
      </w:r>
      <w:r>
        <w:rPr>
          <w:rFonts w:hAnsi="宋体"/>
          <w:szCs w:val="21"/>
        </w:rPr>
        <w:t>。</w:t>
      </w:r>
    </w:p>
    <w:p w14:paraId="10E82A49">
      <w:pPr>
        <w:tabs>
          <w:tab w:val="left" w:pos="900"/>
        </w:tabs>
        <w:adjustRightInd w:val="0"/>
        <w:snapToGrid w:val="0"/>
        <w:spacing w:line="360" w:lineRule="auto"/>
        <w:ind w:firstLine="420" w:firstLineChars="200"/>
        <w:rPr>
          <w:rFonts w:hAnsi="宋体"/>
          <w:szCs w:val="24"/>
        </w:rPr>
      </w:pPr>
      <w:r>
        <w:rPr>
          <w:rFonts w:hint="eastAsia" w:hAnsi="宋体"/>
          <w:szCs w:val="24"/>
        </w:rPr>
        <w:t>本项目</w:t>
      </w:r>
      <w:bookmarkStart w:id="4" w:name="OLE_LINK23"/>
      <w:r>
        <w:rPr>
          <w:rFonts w:hint="eastAsia" w:hAnsi="宋体"/>
          <w:szCs w:val="24"/>
        </w:rPr>
        <w:t>采购标的对应的《中小企业划型标准规定》所属行业</w:t>
      </w:r>
      <w:bookmarkEnd w:id="4"/>
      <w:r>
        <w:rPr>
          <w:rFonts w:hint="eastAsia" w:hAnsi="宋体"/>
          <w:szCs w:val="24"/>
        </w:rPr>
        <w:t>为：</w:t>
      </w:r>
      <w:r>
        <w:rPr>
          <w:rFonts w:hint="eastAsia" w:hAnsi="宋体"/>
          <w:szCs w:val="24"/>
          <w:u w:val="single"/>
        </w:rPr>
        <w:t xml:space="preserve"> </w:t>
      </w:r>
      <w:r>
        <w:rPr>
          <w:rFonts w:hAnsi="宋体"/>
          <w:szCs w:val="24"/>
          <w:u w:val="single"/>
        </w:rPr>
        <w:t xml:space="preserve">   </w:t>
      </w:r>
      <w:r>
        <w:rPr>
          <w:rFonts w:hint="eastAsia" w:hAnsi="宋体"/>
          <w:szCs w:val="24"/>
          <w:u w:val="single"/>
        </w:rPr>
        <w:t>其他未列明行业</w:t>
      </w:r>
      <w:r>
        <w:rPr>
          <w:rFonts w:hAnsi="宋体"/>
          <w:szCs w:val="24"/>
          <w:u w:val="single"/>
        </w:rPr>
        <w:t xml:space="preserve">   </w:t>
      </w:r>
      <w:r>
        <w:rPr>
          <w:rFonts w:hint="eastAsia" w:hAnsi="宋体"/>
          <w:szCs w:val="24"/>
        </w:rPr>
        <w:t>。</w:t>
      </w:r>
    </w:p>
    <w:p w14:paraId="34515769">
      <w:pPr>
        <w:tabs>
          <w:tab w:val="left" w:pos="900"/>
        </w:tabs>
        <w:adjustRightInd w:val="0"/>
        <w:snapToGrid w:val="0"/>
        <w:spacing w:line="360" w:lineRule="auto"/>
        <w:ind w:firstLine="420" w:firstLineChars="200"/>
        <w:rPr>
          <w:rFonts w:hAnsi="宋体"/>
          <w:szCs w:val="24"/>
        </w:rPr>
      </w:pPr>
      <w:r>
        <w:rPr>
          <w:rFonts w:hAnsi="宋体"/>
          <w:szCs w:val="24"/>
        </w:rPr>
        <w:t xml:space="preserve">2. </w:t>
      </w:r>
      <w:r>
        <w:rPr>
          <w:rFonts w:hint="eastAsia" w:hAnsi="宋体"/>
          <w:szCs w:val="24"/>
        </w:rPr>
        <w:t>进口产品政策：本采购项目</w:t>
      </w:r>
      <w:r>
        <w:rPr>
          <w:rFonts w:hAnsi="宋体"/>
          <w:szCs w:val="24"/>
        </w:rPr>
        <w:t xml:space="preserve"> </w:t>
      </w:r>
      <w:r>
        <w:rPr>
          <w:rFonts w:hint="eastAsia" w:hAnsi="宋体"/>
          <w:szCs w:val="24"/>
        </w:rPr>
        <w:t>☑允许</w:t>
      </w:r>
      <w:r>
        <w:rPr>
          <w:rFonts w:hAnsi="宋体"/>
          <w:szCs w:val="24"/>
        </w:rPr>
        <w:t xml:space="preserve"> </w:t>
      </w:r>
      <w:r>
        <w:rPr>
          <w:rFonts w:hint="eastAsia" w:hAnsi="宋体"/>
          <w:szCs w:val="24"/>
        </w:rPr>
        <w:t>□不允许</w:t>
      </w:r>
      <w:r>
        <w:rPr>
          <w:rFonts w:hAnsi="宋体"/>
          <w:szCs w:val="24"/>
        </w:rPr>
        <w:t xml:space="preserve"> </w:t>
      </w:r>
      <w:r>
        <w:rPr>
          <w:rFonts w:hint="eastAsia" w:hAnsi="宋体"/>
          <w:szCs w:val="24"/>
        </w:rPr>
        <w:t>进口产品参加。（未进行勾选的，视为只接受本国产品参加）</w:t>
      </w:r>
    </w:p>
    <w:p w14:paraId="3A979E91">
      <w:pPr>
        <w:tabs>
          <w:tab w:val="left" w:pos="900"/>
        </w:tabs>
        <w:adjustRightInd w:val="0"/>
        <w:snapToGrid w:val="0"/>
        <w:spacing w:line="360" w:lineRule="auto"/>
        <w:ind w:firstLine="422" w:firstLineChars="200"/>
        <w:rPr>
          <w:rFonts w:hAnsi="宋体"/>
          <w:b/>
          <w:szCs w:val="21"/>
        </w:rPr>
      </w:pPr>
      <w:r>
        <w:rPr>
          <w:rFonts w:hint="eastAsia" w:hAnsi="宋体"/>
          <w:b/>
          <w:szCs w:val="21"/>
        </w:rPr>
        <w:t>二、</w:t>
      </w:r>
      <w:r>
        <w:rPr>
          <w:rFonts w:hAnsi="宋体"/>
          <w:b/>
          <w:szCs w:val="21"/>
        </w:rPr>
        <w:t>采购</w:t>
      </w:r>
      <w:r>
        <w:rPr>
          <w:rFonts w:hint="eastAsia" w:hAnsi="宋体"/>
          <w:b/>
          <w:szCs w:val="21"/>
        </w:rPr>
        <w:t>标的</w:t>
      </w:r>
      <w:r>
        <w:rPr>
          <w:rFonts w:hAnsi="宋体"/>
          <w:b/>
          <w:szCs w:val="21"/>
        </w:rPr>
        <w:t>需执行的国家相关标准、行业标准、地方标准或者其他标准、规范：</w:t>
      </w:r>
    </w:p>
    <w:p w14:paraId="65AAFC29">
      <w:pPr>
        <w:tabs>
          <w:tab w:val="left" w:pos="900"/>
        </w:tabs>
        <w:adjustRightInd w:val="0"/>
        <w:snapToGrid w:val="0"/>
        <w:spacing w:line="360" w:lineRule="auto"/>
        <w:ind w:firstLine="420" w:firstLineChars="200"/>
        <w:rPr>
          <w:szCs w:val="21"/>
        </w:rPr>
      </w:pPr>
      <w:r>
        <w:rPr>
          <w:rFonts w:hint="eastAsia"/>
          <w:szCs w:val="21"/>
        </w:rPr>
        <w:t>1.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4D759371">
      <w:pPr>
        <w:tabs>
          <w:tab w:val="left" w:pos="900"/>
        </w:tabs>
        <w:adjustRightInd w:val="0"/>
        <w:snapToGrid w:val="0"/>
        <w:spacing w:line="360" w:lineRule="auto"/>
        <w:ind w:firstLine="420" w:firstLineChars="200"/>
        <w:rPr>
          <w:rFonts w:ascii="楷体" w:hAnsi="楷体" w:eastAsia="楷体"/>
          <w:color w:val="FF0000"/>
          <w:sz w:val="22"/>
          <w:szCs w:val="22"/>
        </w:rPr>
      </w:pPr>
      <w:r>
        <w:rPr>
          <w:rFonts w:hint="eastAsia"/>
          <w:szCs w:val="21"/>
        </w:rPr>
        <w:t>无相关标准，验收标准为双方根据设备采购时的验收指标进行约定。</w:t>
      </w:r>
    </w:p>
    <w:p w14:paraId="5A8FCC1C">
      <w:pPr>
        <w:tabs>
          <w:tab w:val="left" w:pos="900"/>
        </w:tabs>
        <w:adjustRightInd w:val="0"/>
        <w:snapToGrid w:val="0"/>
        <w:spacing w:line="360" w:lineRule="auto"/>
        <w:ind w:firstLine="422" w:firstLineChars="200"/>
        <w:rPr>
          <w:rFonts w:hAnsi="宋体"/>
          <w:b/>
          <w:szCs w:val="21"/>
        </w:rPr>
      </w:pPr>
      <w:r>
        <w:rPr>
          <w:rFonts w:hint="eastAsia" w:hAnsi="宋体"/>
          <w:b/>
          <w:szCs w:val="21"/>
        </w:rPr>
        <w:t>三、采购标的概况</w:t>
      </w:r>
    </w:p>
    <w:p w14:paraId="599624B6">
      <w:pPr>
        <w:adjustRightInd w:val="0"/>
        <w:snapToGrid w:val="0"/>
        <w:spacing w:line="360" w:lineRule="auto"/>
        <w:ind w:firstLine="420" w:firstLineChars="200"/>
        <w:rPr>
          <w:rFonts w:hAnsi="宋体"/>
          <w:szCs w:val="21"/>
        </w:rPr>
      </w:pPr>
      <w:r>
        <w:rPr>
          <w:rFonts w:hint="eastAsia" w:ascii="宋体" w:hAnsi="宋体"/>
          <w:szCs w:val="21"/>
        </w:rPr>
        <w:t>（一）采购项目名称：</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600MHz 搬迁及重装</w:t>
      </w:r>
      <w:r>
        <w:rPr>
          <w:rFonts w:ascii="宋体" w:hAnsi="宋体"/>
          <w:szCs w:val="21"/>
          <w:u w:val="single"/>
        </w:rPr>
        <w:t xml:space="preserve">                                  </w:t>
      </w:r>
    </w:p>
    <w:p w14:paraId="700B5273">
      <w:pPr>
        <w:adjustRightInd w:val="0"/>
        <w:snapToGrid w:val="0"/>
        <w:spacing w:line="360" w:lineRule="auto"/>
        <w:ind w:firstLine="420" w:firstLineChars="200"/>
        <w:rPr>
          <w:rFonts w:hAnsi="宋体"/>
          <w:szCs w:val="21"/>
          <w:u w:val="single"/>
        </w:rPr>
      </w:pPr>
      <w:r>
        <w:rPr>
          <w:rFonts w:hint="eastAsia" w:hAnsi="宋体"/>
          <w:szCs w:val="21"/>
        </w:rPr>
        <w:t>（二）采购数量及计量单位：</w:t>
      </w:r>
      <w:r>
        <w:rPr>
          <w:rFonts w:ascii="宋体" w:hAnsi="宋体"/>
          <w:szCs w:val="21"/>
          <w:u w:val="single"/>
        </w:rPr>
        <w:t xml:space="preserve">    </w:t>
      </w:r>
      <w:r>
        <w:rPr>
          <w:rFonts w:hint="eastAsia" w:ascii="宋体" w:hAnsi="宋体"/>
          <w:szCs w:val="21"/>
          <w:u w:val="single"/>
        </w:rPr>
        <w:t xml:space="preserve">一次移机及重装服务                     </w:t>
      </w:r>
      <w:r>
        <w:rPr>
          <w:rFonts w:ascii="宋体" w:hAnsi="宋体"/>
          <w:szCs w:val="21"/>
          <w:u w:val="single"/>
        </w:rPr>
        <w:t xml:space="preserve">                   </w:t>
      </w:r>
    </w:p>
    <w:p w14:paraId="7D66FB09">
      <w:pPr>
        <w:adjustRightInd w:val="0"/>
        <w:snapToGrid w:val="0"/>
        <w:spacing w:line="360" w:lineRule="auto"/>
        <w:ind w:firstLine="420" w:firstLineChars="200"/>
        <w:rPr>
          <w:rFonts w:hAnsi="宋体"/>
          <w:szCs w:val="21"/>
        </w:rPr>
      </w:pPr>
      <w:r>
        <w:rPr>
          <w:rFonts w:hint="eastAsia" w:hAnsi="宋体"/>
          <w:szCs w:val="21"/>
        </w:rPr>
        <w:t>（三）最高限价：人民币</w:t>
      </w:r>
      <w:r>
        <w:rPr>
          <w:rFonts w:hint="eastAsia" w:hAnsi="宋体"/>
          <w:szCs w:val="21"/>
          <w:u w:val="single"/>
        </w:rPr>
        <w:t xml:space="preserve"> </w:t>
      </w:r>
      <w:r>
        <w:rPr>
          <w:rFonts w:hAnsi="宋体"/>
          <w:szCs w:val="21"/>
          <w:u w:val="single"/>
        </w:rPr>
        <w:t xml:space="preserve">    </w:t>
      </w:r>
      <w:r>
        <w:rPr>
          <w:rFonts w:hint="eastAsia" w:hAnsi="宋体"/>
          <w:szCs w:val="21"/>
          <w:u w:val="single"/>
        </w:rPr>
        <w:t>60万</w:t>
      </w:r>
      <w:r>
        <w:rPr>
          <w:rFonts w:hAnsi="宋体"/>
          <w:szCs w:val="21"/>
          <w:u w:val="single"/>
        </w:rPr>
        <w:t xml:space="preserve">      </w:t>
      </w:r>
      <w:r>
        <w:rPr>
          <w:rFonts w:hint="eastAsia" w:hAnsi="宋体"/>
          <w:szCs w:val="21"/>
        </w:rPr>
        <w:t>元（大写：</w:t>
      </w:r>
      <w:r>
        <w:rPr>
          <w:rFonts w:hAnsi="宋体"/>
          <w:szCs w:val="21"/>
          <w:u w:val="single"/>
        </w:rPr>
        <w:t xml:space="preserve"> </w:t>
      </w:r>
      <w:r>
        <w:rPr>
          <w:rFonts w:hint="eastAsia" w:hAnsi="宋体"/>
          <w:szCs w:val="21"/>
          <w:u w:val="single"/>
        </w:rPr>
        <w:t>陆十万元</w:t>
      </w:r>
      <w:r>
        <w:rPr>
          <w:rFonts w:hAnsi="宋体"/>
          <w:szCs w:val="21"/>
          <w:u w:val="single"/>
        </w:rPr>
        <w:t xml:space="preserve">                    </w:t>
      </w:r>
      <w:r>
        <w:rPr>
          <w:rFonts w:hint="eastAsia" w:hAnsi="宋体"/>
          <w:szCs w:val="21"/>
        </w:rPr>
        <w:t>）</w:t>
      </w:r>
    </w:p>
    <w:p w14:paraId="72B992CF">
      <w:pPr>
        <w:adjustRightInd w:val="0"/>
        <w:snapToGrid w:val="0"/>
        <w:spacing w:line="360" w:lineRule="auto"/>
        <w:ind w:firstLine="420" w:firstLineChars="200"/>
        <w:rPr>
          <w:szCs w:val="21"/>
        </w:rPr>
      </w:pPr>
      <w:r>
        <w:rPr>
          <w:rFonts w:hint="eastAsia" w:hAnsi="宋体"/>
          <w:szCs w:val="21"/>
        </w:rPr>
        <w:t>（四）</w:t>
      </w:r>
      <w:r>
        <w:rPr>
          <w:rFonts w:hAnsi="宋体"/>
          <w:szCs w:val="21"/>
        </w:rPr>
        <w:t>交付时间：</w:t>
      </w:r>
      <w:r>
        <w:rPr>
          <w:rFonts w:hAnsi="宋体"/>
        </w:rPr>
        <w:t>合同签订后</w:t>
      </w:r>
      <w:r>
        <w:rPr>
          <w:rFonts w:hAnsi="宋体"/>
          <w:u w:val="single"/>
        </w:rPr>
        <w:t xml:space="preserve">   </w:t>
      </w:r>
      <w:r>
        <w:rPr>
          <w:rFonts w:hint="eastAsia" w:hAnsi="宋体"/>
          <w:u w:val="single"/>
        </w:rPr>
        <w:t>90</w:t>
      </w:r>
      <w:r>
        <w:rPr>
          <w:rFonts w:hAnsi="宋体"/>
          <w:szCs w:val="21"/>
          <w:u w:val="single"/>
        </w:rPr>
        <w:t xml:space="preserve">                                    </w:t>
      </w:r>
      <w:r>
        <w:rPr>
          <w:rFonts w:hAnsi="宋体"/>
          <w:u w:val="single"/>
        </w:rPr>
        <w:t xml:space="preserve">  </w:t>
      </w:r>
      <w:r>
        <w:rPr>
          <w:rFonts w:hint="eastAsia" w:hAnsi="宋体"/>
        </w:rPr>
        <w:t>天内</w:t>
      </w:r>
    </w:p>
    <w:p w14:paraId="544209DB">
      <w:pPr>
        <w:tabs>
          <w:tab w:val="left" w:pos="420"/>
          <w:tab w:val="left" w:pos="900"/>
        </w:tabs>
        <w:adjustRightInd w:val="0"/>
        <w:snapToGrid w:val="0"/>
        <w:spacing w:line="360" w:lineRule="auto"/>
        <w:ind w:firstLine="420" w:firstLineChars="200"/>
        <w:rPr>
          <w:rFonts w:ascii="宋体" w:hAnsi="宋体"/>
          <w:szCs w:val="21"/>
        </w:rPr>
      </w:pPr>
      <w:r>
        <w:rPr>
          <w:rFonts w:hint="eastAsia" w:hAnsi="宋体"/>
          <w:szCs w:val="21"/>
        </w:rPr>
        <w:t>（五）</w:t>
      </w:r>
      <w:r>
        <w:rPr>
          <w:rFonts w:hAnsi="宋体"/>
          <w:szCs w:val="21"/>
        </w:rPr>
        <w:t>交付地点：</w:t>
      </w:r>
      <w:r>
        <w:rPr>
          <w:rFonts w:hAnsi="宋体"/>
          <w:szCs w:val="21"/>
          <w:u w:val="single"/>
        </w:rPr>
        <w:t xml:space="preserve">    </w:t>
      </w:r>
      <w:r>
        <w:rPr>
          <w:rFonts w:hint="eastAsia" w:hAnsi="宋体"/>
          <w:szCs w:val="21"/>
          <w:u w:val="single"/>
        </w:rPr>
        <w:t>创新港校区分测中心一楼核磁室或X射线成像室</w:t>
      </w:r>
      <w:r>
        <w:rPr>
          <w:rFonts w:hAnsi="宋体"/>
          <w:szCs w:val="21"/>
          <w:u w:val="single"/>
        </w:rPr>
        <w:t xml:space="preserve">                                                              </w:t>
      </w:r>
    </w:p>
    <w:p w14:paraId="179C3B80">
      <w:pPr>
        <w:tabs>
          <w:tab w:val="left" w:pos="900"/>
        </w:tabs>
        <w:adjustRightInd w:val="0"/>
        <w:snapToGrid w:val="0"/>
        <w:spacing w:line="360" w:lineRule="auto"/>
        <w:ind w:firstLine="420" w:firstLineChars="200"/>
        <w:rPr>
          <w:rFonts w:hAnsi="宋体"/>
          <w:szCs w:val="21"/>
        </w:rPr>
      </w:pPr>
      <w:r>
        <w:rPr>
          <w:rFonts w:hint="eastAsia" w:hAnsi="宋体"/>
          <w:szCs w:val="21"/>
        </w:rPr>
        <w:t>（六）付款进度安排：</w:t>
      </w:r>
      <w:r>
        <w:rPr>
          <w:rFonts w:hAnsi="宋体"/>
          <w:szCs w:val="21"/>
        </w:rPr>
        <w:t xml:space="preserve"> </w:t>
      </w:r>
    </w:p>
    <w:p w14:paraId="5FA361AF">
      <w:pPr>
        <w:tabs>
          <w:tab w:val="left" w:pos="900"/>
        </w:tabs>
        <w:adjustRightInd w:val="0"/>
        <w:snapToGrid w:val="0"/>
        <w:spacing w:line="360" w:lineRule="auto"/>
        <w:ind w:firstLine="602" w:firstLineChars="300"/>
        <w:rPr>
          <w:rFonts w:hAnsi="宋体"/>
          <w:szCs w:val="21"/>
        </w:rPr>
      </w:pPr>
      <w:r>
        <w:rPr>
          <w:rFonts w:hint="eastAsia" w:cs="宋体" w:asciiTheme="minorEastAsia" w:hAnsiTheme="minorEastAsia"/>
          <w:b/>
          <w:color w:val="000000"/>
          <w:kern w:val="0"/>
          <w:sz w:val="20"/>
          <w:szCs w:val="21"/>
        </w:rPr>
        <w:t>☑</w:t>
      </w:r>
      <w:r>
        <w:rPr>
          <w:rFonts w:hAnsi="宋体"/>
          <w:szCs w:val="21"/>
        </w:rPr>
        <w:t>其他要求</w:t>
      </w:r>
      <w:r>
        <w:rPr>
          <w:rFonts w:hint="eastAsia" w:hAnsi="宋体"/>
          <w:szCs w:val="21"/>
        </w:rPr>
        <w:t>：</w:t>
      </w:r>
      <w:r>
        <w:rPr>
          <w:rFonts w:hAnsi="宋体"/>
          <w:szCs w:val="21"/>
          <w:u w:val="single"/>
        </w:rPr>
        <w:t xml:space="preserve">  </w:t>
      </w:r>
      <w:r>
        <w:rPr>
          <w:rFonts w:hint="eastAsia" w:hAnsi="宋体"/>
          <w:szCs w:val="21"/>
          <w:u w:val="single"/>
        </w:rPr>
        <w:t>合同签订后预付70%，验收合格后支付30%</w:t>
      </w:r>
      <w:r>
        <w:rPr>
          <w:rFonts w:hAnsi="宋体"/>
          <w:szCs w:val="21"/>
          <w:u w:val="single"/>
        </w:rPr>
        <w:t xml:space="preserve"> </w:t>
      </w:r>
      <w:r>
        <w:rPr>
          <w:rFonts w:hAnsi="宋体"/>
          <w:szCs w:val="21"/>
        </w:rPr>
        <w:t xml:space="preserve"> </w:t>
      </w:r>
      <w:r>
        <w:rPr>
          <w:rFonts w:hint="eastAsia" w:hAnsi="宋体"/>
          <w:szCs w:val="21"/>
        </w:rPr>
        <w:t>。</w:t>
      </w:r>
    </w:p>
    <w:p w14:paraId="3C999C16">
      <w:pPr>
        <w:numPr>
          <w:ilvl w:val="0"/>
          <w:numId w:val="1"/>
        </w:numPr>
        <w:tabs>
          <w:tab w:val="left" w:pos="900"/>
        </w:tabs>
        <w:adjustRightInd w:val="0"/>
        <w:snapToGrid w:val="0"/>
        <w:spacing w:line="360" w:lineRule="auto"/>
        <w:ind w:firstLine="422" w:firstLineChars="200"/>
        <w:rPr>
          <w:rFonts w:hAnsi="宋体"/>
          <w:b/>
          <w:szCs w:val="21"/>
        </w:rPr>
      </w:pPr>
      <w:r>
        <w:rPr>
          <w:rFonts w:hint="eastAsia" w:hAnsi="宋体"/>
          <w:b/>
          <w:szCs w:val="21"/>
        </w:rPr>
        <w:t>采购标的需满足的质量、安全、技术规格、物理特性等要求：</w:t>
      </w:r>
    </w:p>
    <w:p w14:paraId="35607A8B">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1.（1）移机的核磁主机为：</w:t>
      </w:r>
    </w:p>
    <w:p w14:paraId="242FE9F7">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 xml:space="preserve"> 仪器型号：AVANCE III HD NMR SPECT. 600 OneBay</w:t>
      </w:r>
    </w:p>
    <w:p w14:paraId="66A473E9">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 xml:space="preserve"> 序列号：10245839</w:t>
      </w:r>
    </w:p>
    <w:p w14:paraId="05563FA8">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 xml:space="preserve">（2）设备现地址：西安交通大学兴庆校区 </w:t>
      </w:r>
    </w:p>
    <w:p w14:paraId="0913062D">
      <w:pPr>
        <w:tabs>
          <w:tab w:val="left" w:pos="420"/>
          <w:tab w:val="left" w:pos="900"/>
        </w:tabs>
        <w:adjustRightInd w:val="0"/>
        <w:snapToGrid w:val="0"/>
        <w:spacing w:line="360" w:lineRule="auto"/>
        <w:ind w:firstLine="840" w:firstLineChars="400"/>
        <w:rPr>
          <w:rFonts w:ascii="宋体" w:hAnsi="宋体"/>
          <w:szCs w:val="21"/>
        </w:rPr>
      </w:pPr>
      <w:r>
        <w:rPr>
          <w:rFonts w:hint="eastAsia" w:ascii="宋体" w:hAnsi="宋体"/>
          <w:szCs w:val="21"/>
        </w:rPr>
        <w:t>设备需搬迁地址：西安交通大学创新港校区分测中心</w:t>
      </w:r>
    </w:p>
    <w:p w14:paraId="66EDFDFB">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（3）供应商应提供如下服务内容：</w:t>
      </w:r>
    </w:p>
    <w:p w14:paraId="3F0366B0">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投标方负责待安装场地适配性改造，确保将来设备安装调试正常。</w:t>
      </w:r>
    </w:p>
    <w:p w14:paraId="61E713F5">
      <w:pPr>
        <w:tabs>
          <w:tab w:val="left" w:pos="420"/>
          <w:tab w:val="left" w:pos="900"/>
        </w:tabs>
        <w:adjustRightInd w:val="0"/>
        <w:snapToGrid w:val="0"/>
        <w:spacing w:line="360" w:lineRule="auto"/>
        <w:ind w:left="630" w:leftChars="200" w:hanging="210" w:hangingChars="100"/>
        <w:rPr>
          <w:rFonts w:hint="eastAsia" w:ascii="宋体" w:hAnsi="宋体"/>
          <w:szCs w:val="21"/>
        </w:rPr>
      </w:pPr>
      <w:r>
        <w:rPr>
          <w:rFonts w:ascii="宋体" w:hAnsi="宋体"/>
          <w:szCs w:val="21"/>
        </w:rPr>
        <w:t>2.</w:t>
      </w:r>
      <w:r>
        <w:rPr>
          <w:rFonts w:hint="eastAsia" w:ascii="宋体" w:hAnsi="宋体"/>
          <w:szCs w:val="21"/>
        </w:rPr>
        <w:t>双方用设备约定的标样、测试及数据处理方法在现有场地测试约定指标并记录，以此作为搬迁后验收指标。</w:t>
      </w:r>
    </w:p>
    <w:p w14:paraId="346D1804">
      <w:pPr>
        <w:tabs>
          <w:tab w:val="left" w:pos="420"/>
          <w:tab w:val="left" w:pos="900"/>
        </w:tabs>
        <w:adjustRightInd w:val="0"/>
        <w:snapToGrid w:val="0"/>
        <w:spacing w:line="360" w:lineRule="auto"/>
        <w:ind w:left="630" w:leftChars="200" w:hanging="210" w:hangingChars="100"/>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提供降场、拆机、打包、运输、安装等搬迁服务，其中涉及的所有过程风险及费用均由中标方自行承担。</w:t>
      </w:r>
    </w:p>
    <w:p w14:paraId="644A81FB">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新址升场后调试指标应不低于旧址降场前的技术指标（2所涉及的指标）。</w:t>
      </w:r>
    </w:p>
    <w:p w14:paraId="4724A8A0">
      <w:pPr>
        <w:tabs>
          <w:tab w:val="left" w:pos="420"/>
          <w:tab w:val="left" w:pos="900"/>
        </w:tabs>
        <w:adjustRightInd w:val="0"/>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.搬迁过程中所涉及的仪器、设备、工具等由投标方自备。</w:t>
      </w:r>
    </w:p>
    <w:p w14:paraId="55DB83DA">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6</w:t>
      </w:r>
      <w:r>
        <w:rPr>
          <w:rFonts w:ascii="宋体" w:hAnsi="宋体"/>
          <w:szCs w:val="21"/>
        </w:rPr>
        <w:t>.</w:t>
      </w:r>
      <w:r>
        <w:rPr>
          <w:rFonts w:hint="eastAsia" w:ascii="宋体" w:hAnsi="宋体"/>
          <w:szCs w:val="21"/>
        </w:rPr>
        <w:t>搬迁过程中造成的设备损坏、指标不达标、工期延误等所有损失，投标方负全部责任。</w:t>
      </w:r>
    </w:p>
    <w:p w14:paraId="325C22B8">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7.在磁体升场成功稳定运行3个月内，如有失超、零部件损坏等由投标方提供免费维修服务（含耗材），保证设备恢复到搬迁前技术指标。</w:t>
      </w:r>
      <w:r>
        <w:rPr>
          <w:rFonts w:ascii="宋体" w:hAnsi="宋体"/>
          <w:szCs w:val="21"/>
        </w:rPr>
        <w:t xml:space="preserve"> </w:t>
      </w:r>
    </w:p>
    <w:p w14:paraId="0E502799">
      <w:pPr>
        <w:tabs>
          <w:tab w:val="left" w:pos="900"/>
        </w:tabs>
        <w:adjustRightInd w:val="0"/>
        <w:snapToGrid w:val="0"/>
        <w:spacing w:line="360" w:lineRule="auto"/>
        <w:ind w:firstLine="422" w:firstLineChars="200"/>
        <w:rPr>
          <w:rFonts w:hAnsi="宋体"/>
          <w:b/>
          <w:szCs w:val="21"/>
        </w:rPr>
      </w:pPr>
      <w:r>
        <w:rPr>
          <w:rFonts w:hint="eastAsia" w:hAnsi="宋体"/>
          <w:b/>
          <w:szCs w:val="21"/>
        </w:rPr>
        <w:t>五、采购标的需满足的服务标准、期限、效率等要求</w:t>
      </w:r>
    </w:p>
    <w:p w14:paraId="340BD161">
      <w:pPr>
        <w:adjustRightInd w:val="0"/>
        <w:snapToGrid w:val="0"/>
        <w:spacing w:line="360" w:lineRule="auto"/>
        <w:ind w:firstLine="420" w:firstLineChars="200"/>
        <w:rPr>
          <w:rFonts w:ascii="楷体" w:hAnsi="楷体" w:eastAsia="楷体"/>
          <w:color w:val="FF0000"/>
          <w:sz w:val="22"/>
          <w:szCs w:val="22"/>
        </w:rPr>
      </w:pPr>
      <w:r>
        <w:rPr>
          <w:rFonts w:hint="eastAsia" w:ascii="宋体" w:hAnsi="宋体"/>
          <w:szCs w:val="21"/>
        </w:rPr>
        <w:t xml:space="preserve">（一）质保期： </w:t>
      </w:r>
      <w:r>
        <w:rPr>
          <w:rFonts w:ascii="宋体" w:hAnsi="宋体"/>
          <w:szCs w:val="21"/>
          <w:u w:val="single"/>
        </w:rPr>
        <w:t xml:space="preserve">  3   </w:t>
      </w:r>
      <w:r>
        <w:rPr>
          <w:rFonts w:hint="eastAsia" w:ascii="宋体" w:hAnsi="宋体"/>
          <w:szCs w:val="21"/>
        </w:rPr>
        <w:t>月，</w:t>
      </w:r>
    </w:p>
    <w:p w14:paraId="446C43F0">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（二）服务响应时间：接到维修电话后4小时内给予明确答复，48小时内到达现场维修。维修人员到现场后若问题特殊无法现场修复的，中标人需在24小时内给出合理解决方案。</w:t>
      </w:r>
    </w:p>
    <w:p w14:paraId="79F6240D">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（三）</w:t>
      </w:r>
      <w:r>
        <w:rPr>
          <w:rFonts w:ascii="宋体" w:hAnsi="宋体"/>
          <w:szCs w:val="21"/>
        </w:rPr>
        <w:t>培训</w:t>
      </w:r>
      <w:r>
        <w:rPr>
          <w:rFonts w:hint="eastAsia" w:ascii="宋体" w:hAnsi="宋体"/>
          <w:szCs w:val="21"/>
        </w:rPr>
        <w:t>要求：中标人需</w:t>
      </w:r>
      <w:r>
        <w:rPr>
          <w:rFonts w:ascii="宋体" w:hAnsi="宋体"/>
          <w:szCs w:val="21"/>
        </w:rPr>
        <w:t>提供培训电子资料及视频；免费为用户培训至少</w:t>
      </w:r>
      <w:r>
        <w:rPr>
          <w:rFonts w:ascii="宋体" w:hAnsi="宋体"/>
          <w:szCs w:val="21"/>
          <w:u w:val="single"/>
        </w:rPr>
        <w:t xml:space="preserve">   </w:t>
      </w:r>
      <w:r>
        <w:rPr>
          <w:rFonts w:hint="eastAsia" w:ascii="宋体" w:hAnsi="宋体"/>
          <w:szCs w:val="21"/>
          <w:u w:val="single"/>
        </w:rPr>
        <w:t>1</w:t>
      </w:r>
      <w:r>
        <w:rPr>
          <w:rFonts w:ascii="宋体" w:hAnsi="宋体"/>
          <w:szCs w:val="21"/>
          <w:u w:val="single"/>
        </w:rPr>
        <w:t xml:space="preserve">   </w:t>
      </w:r>
      <w:r>
        <w:rPr>
          <w:rFonts w:ascii="宋体" w:hAnsi="宋体"/>
          <w:szCs w:val="21"/>
        </w:rPr>
        <w:t>名操作人员进行为期至少</w:t>
      </w:r>
      <w:r>
        <w:rPr>
          <w:rFonts w:ascii="宋体" w:hAnsi="宋体"/>
          <w:szCs w:val="21"/>
          <w:u w:val="single"/>
        </w:rPr>
        <w:t xml:space="preserve">   </w:t>
      </w:r>
      <w:r>
        <w:rPr>
          <w:rFonts w:hint="eastAsia" w:ascii="宋体" w:hAnsi="宋体"/>
          <w:szCs w:val="21"/>
          <w:u w:val="single"/>
        </w:rPr>
        <w:t>1</w:t>
      </w:r>
      <w:r>
        <w:rPr>
          <w:rFonts w:ascii="宋体" w:hAnsi="宋体"/>
          <w:szCs w:val="21"/>
          <w:u w:val="single"/>
        </w:rPr>
        <w:t xml:space="preserve">   </w:t>
      </w:r>
      <w:r>
        <w:rPr>
          <w:rFonts w:ascii="宋体" w:hAnsi="宋体"/>
          <w:szCs w:val="21"/>
        </w:rPr>
        <w:t>天的现场操作培训以及应用培训，保证用户掌握有关设备的使用、维护、管理和应用等工作要求</w:t>
      </w:r>
      <w:r>
        <w:rPr>
          <w:rFonts w:hint="eastAsia" w:ascii="宋体" w:hAnsi="宋体"/>
          <w:szCs w:val="21"/>
        </w:rPr>
        <w:t>；同时提供</w:t>
      </w:r>
      <w:r>
        <w:rPr>
          <w:rFonts w:ascii="宋体" w:hAnsi="宋体"/>
          <w:szCs w:val="21"/>
        </w:rPr>
        <w:t>不定期的免费提供相关设备应用方面的技术咨询等。</w:t>
      </w:r>
    </w:p>
    <w:p w14:paraId="087735E4">
      <w:pPr>
        <w:tabs>
          <w:tab w:val="left" w:pos="420"/>
          <w:tab w:val="left" w:pos="900"/>
        </w:tabs>
        <w:adjustRightInd w:val="0"/>
        <w:snapToGrid w:val="0"/>
        <w:spacing w:line="360" w:lineRule="auto"/>
        <w:ind w:firstLine="422" w:firstLineChars="200"/>
        <w:rPr>
          <w:rFonts w:ascii="宋体" w:hAnsi="宋体"/>
          <w:b/>
          <w:bCs/>
          <w:szCs w:val="21"/>
        </w:rPr>
      </w:pPr>
      <w:r>
        <w:rPr>
          <w:rFonts w:hint="eastAsia" w:ascii="宋体" w:hAnsi="宋体"/>
          <w:b/>
          <w:bCs/>
          <w:szCs w:val="21"/>
        </w:rPr>
        <w:t>（四）供应商提供进口设备的，须在投标（响应）文件中明确外贸合同卖方信息。</w:t>
      </w:r>
    </w:p>
    <w:p w14:paraId="250BAB25">
      <w:pPr>
        <w:tabs>
          <w:tab w:val="left" w:pos="420"/>
          <w:tab w:val="left" w:pos="900"/>
        </w:tabs>
        <w:adjustRightInd w:val="0"/>
        <w:snapToGrid w:val="0"/>
        <w:spacing w:line="360" w:lineRule="auto"/>
        <w:ind w:firstLine="422" w:firstLineChars="200"/>
        <w:rPr>
          <w:rFonts w:ascii="宋体" w:hAnsi="宋体"/>
          <w:b/>
          <w:szCs w:val="21"/>
        </w:rPr>
      </w:pPr>
      <w:r>
        <w:rPr>
          <w:rFonts w:hint="eastAsia" w:ascii="宋体" w:hAnsi="宋体"/>
          <w:b/>
          <w:szCs w:val="21"/>
        </w:rPr>
        <w:t>六、</w:t>
      </w:r>
      <w:r>
        <w:rPr>
          <w:rFonts w:ascii="宋体" w:hAnsi="宋体"/>
          <w:b/>
          <w:szCs w:val="21"/>
        </w:rPr>
        <w:t>采购标的的</w:t>
      </w:r>
      <w:r>
        <w:rPr>
          <w:rFonts w:hint="eastAsia" w:ascii="宋体" w:hAnsi="宋体"/>
          <w:b/>
          <w:szCs w:val="21"/>
        </w:rPr>
        <w:t>履约验收标准</w:t>
      </w:r>
    </w:p>
    <w:bookmarkEnd w:id="1"/>
    <w:bookmarkEnd w:id="2"/>
    <w:bookmarkEnd w:id="3"/>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3694"/>
        <w:gridCol w:w="4601"/>
      </w:tblGrid>
      <w:tr w14:paraId="7ECB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7541F7C7">
            <w:pPr>
              <w:widowControl/>
              <w:adjustRightInd w:val="0"/>
              <w:snapToGrid w:val="0"/>
              <w:jc w:val="left"/>
              <w:textAlignment w:val="baseline"/>
              <w:rPr>
                <w:rFonts w:ascii="宋体" w:hAnsi="宋体"/>
                <w:b/>
                <w:bCs/>
                <w:color w:val="000000"/>
                <w:kern w:val="0"/>
                <w:szCs w:val="21"/>
              </w:rPr>
            </w:pPr>
            <w:bookmarkStart w:id="5" w:name="OLE_LINK3"/>
            <w:r>
              <w:rPr>
                <w:rFonts w:hint="eastAsia" w:ascii="宋体" w:hAnsi="宋体"/>
                <w:b/>
                <w:bCs/>
                <w:color w:val="000000"/>
                <w:kern w:val="0"/>
                <w:szCs w:val="21"/>
              </w:rPr>
              <w:t>一、货物类项目验收要求</w:t>
            </w:r>
          </w:p>
        </w:tc>
      </w:tr>
      <w:tr w14:paraId="1BB8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5E00C0EC">
            <w:pPr>
              <w:widowControl/>
              <w:adjustRightInd w:val="0"/>
              <w:snapToGrid w:val="0"/>
              <w:jc w:val="center"/>
              <w:textAlignment w:val="baseline"/>
              <w:rPr>
                <w:rFonts w:ascii="宋体" w:hAnsi="宋体"/>
                <w:color w:val="000000"/>
                <w:kern w:val="0"/>
                <w:szCs w:val="21"/>
              </w:rPr>
            </w:pPr>
            <w:r>
              <w:rPr>
                <w:rFonts w:hint="eastAsia" w:ascii="宋体" w:hAnsi="宋体"/>
                <w:color w:val="000000"/>
                <w:kern w:val="0"/>
                <w:szCs w:val="21"/>
              </w:rPr>
              <w:t>序号</w:t>
            </w:r>
          </w:p>
        </w:tc>
        <w:tc>
          <w:tcPr>
            <w:tcW w:w="3694" w:type="dxa"/>
            <w:vAlign w:val="center"/>
          </w:tcPr>
          <w:p w14:paraId="5DF60775">
            <w:pPr>
              <w:widowControl/>
              <w:adjustRightInd w:val="0"/>
              <w:snapToGrid w:val="0"/>
              <w:jc w:val="center"/>
              <w:textAlignment w:val="baseline"/>
              <w:rPr>
                <w:rFonts w:ascii="宋体" w:hAnsi="宋体"/>
                <w:color w:val="000000"/>
                <w:kern w:val="0"/>
                <w:szCs w:val="21"/>
              </w:rPr>
            </w:pPr>
            <w:r>
              <w:rPr>
                <w:rFonts w:hint="eastAsia" w:ascii="宋体" w:hAnsi="宋体"/>
                <w:color w:val="000000"/>
                <w:kern w:val="0"/>
                <w:szCs w:val="21"/>
              </w:rPr>
              <w:t>功能或指标</w:t>
            </w:r>
          </w:p>
        </w:tc>
        <w:tc>
          <w:tcPr>
            <w:tcW w:w="4601" w:type="dxa"/>
            <w:vAlign w:val="center"/>
          </w:tcPr>
          <w:p w14:paraId="4288F8A8">
            <w:pPr>
              <w:widowControl/>
              <w:adjustRightInd w:val="0"/>
              <w:snapToGrid w:val="0"/>
              <w:jc w:val="center"/>
              <w:textAlignment w:val="baseline"/>
              <w:rPr>
                <w:rFonts w:ascii="宋体" w:hAnsi="宋体"/>
                <w:color w:val="000000"/>
                <w:kern w:val="0"/>
                <w:szCs w:val="21"/>
              </w:rPr>
            </w:pPr>
            <w:r>
              <w:rPr>
                <w:rFonts w:hint="eastAsia" w:ascii="宋体" w:hAnsi="宋体"/>
                <w:color w:val="000000"/>
                <w:kern w:val="0"/>
                <w:szCs w:val="21"/>
              </w:rPr>
              <w:t>验收或测试方法</w:t>
            </w:r>
          </w:p>
        </w:tc>
      </w:tr>
      <w:tr w14:paraId="4DD1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02C15476">
            <w:pPr>
              <w:widowControl/>
              <w:adjustRightInd w:val="0"/>
              <w:snapToGrid w:val="0"/>
              <w:jc w:val="left"/>
              <w:textAlignment w:val="baseline"/>
              <w:rPr>
                <w:rFonts w:ascii="宋体" w:hAnsi="宋体"/>
                <w:b/>
                <w:color w:val="000000"/>
                <w:kern w:val="0"/>
                <w:szCs w:val="21"/>
              </w:rPr>
            </w:pPr>
            <w:r>
              <w:rPr>
                <w:rFonts w:hint="eastAsia" w:ascii="宋体" w:hAnsi="宋体"/>
                <w:b/>
                <w:color w:val="000000"/>
                <w:kern w:val="0"/>
                <w:szCs w:val="21"/>
              </w:rPr>
              <w:t>项目建设单位验收要求：</w:t>
            </w:r>
          </w:p>
        </w:tc>
      </w:tr>
      <w:tr w14:paraId="5919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097B844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1</w:t>
            </w:r>
          </w:p>
        </w:tc>
        <w:tc>
          <w:tcPr>
            <w:tcW w:w="3694" w:type="dxa"/>
            <w:vAlign w:val="center"/>
          </w:tcPr>
          <w:p w14:paraId="628DDD59">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货物外包装与外观无损伤</w:t>
            </w:r>
          </w:p>
        </w:tc>
        <w:tc>
          <w:tcPr>
            <w:tcW w:w="4601" w:type="dxa"/>
            <w:vAlign w:val="center"/>
          </w:tcPr>
          <w:p w14:paraId="77718575">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现场核查</w:t>
            </w:r>
          </w:p>
        </w:tc>
      </w:tr>
      <w:tr w14:paraId="3668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4D5202A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2</w:t>
            </w:r>
          </w:p>
        </w:tc>
        <w:tc>
          <w:tcPr>
            <w:tcW w:w="3694" w:type="dxa"/>
            <w:vAlign w:val="center"/>
          </w:tcPr>
          <w:p w14:paraId="5E3C1A74">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货物配置、包括备品备件、耗品耗材等提供齐全，货物实物品牌、规格、型号、配置数量与采购结果、合同约定相符。</w:t>
            </w:r>
          </w:p>
        </w:tc>
        <w:tc>
          <w:tcPr>
            <w:tcW w:w="4601" w:type="dxa"/>
            <w:vAlign w:val="center"/>
          </w:tcPr>
          <w:p w14:paraId="42CFBBEB">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依据《合同》及其附件（包括但不限于《采购需求》《供应商投标（响应）文件》《投标澄清函》《技术协议》等）约定，现场核查。</w:t>
            </w:r>
          </w:p>
        </w:tc>
      </w:tr>
      <w:tr w14:paraId="5150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72C4659C">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3</w:t>
            </w:r>
          </w:p>
        </w:tc>
        <w:tc>
          <w:tcPr>
            <w:tcW w:w="3694" w:type="dxa"/>
            <w:vAlign w:val="center"/>
          </w:tcPr>
          <w:p w14:paraId="737AFF37">
            <w:pPr>
              <w:widowControl/>
              <w:adjustRightInd w:val="0"/>
              <w:snapToGrid w:val="0"/>
              <w:textAlignment w:val="baseline"/>
              <w:rPr>
                <w:rFonts w:ascii="宋体" w:hAnsi="宋体"/>
                <w:color w:val="000000" w:themeColor="text1"/>
                <w:kern w:val="0"/>
                <w:szCs w:val="21"/>
                <w14:textFill>
                  <w14:solidFill>
                    <w14:schemeClr w14:val="tx1"/>
                  </w14:solidFill>
                </w14:textFill>
              </w:rPr>
            </w:pPr>
            <w:r>
              <w:rPr>
                <w:rFonts w:hint="eastAsia" w:ascii="宋体" w:hAnsi="宋体"/>
                <w:color w:val="000000"/>
                <w:kern w:val="0"/>
                <w:szCs w:val="21"/>
              </w:rPr>
              <w:t>所有功能和指标参数（包括边界极限值）达到采购结果合同约定要求。</w:t>
            </w:r>
          </w:p>
        </w:tc>
        <w:tc>
          <w:tcPr>
            <w:tcW w:w="4601" w:type="dxa"/>
            <w:vAlign w:val="center"/>
          </w:tcPr>
          <w:p w14:paraId="509DD066">
            <w:pPr>
              <w:adjustRightInd w:val="0"/>
              <w:snapToGrid w:val="0"/>
              <w:rPr>
                <w:rFonts w:ascii="宋体" w:hAnsi="宋体"/>
                <w:kern w:val="0"/>
                <w:szCs w:val="21"/>
              </w:rPr>
            </w:pPr>
            <w:r>
              <w:rPr>
                <w:rFonts w:hint="eastAsia" w:ascii="宋体" w:hAnsi="宋体"/>
                <w:color w:val="000000"/>
                <w:kern w:val="0"/>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14:paraId="1AFC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2081462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4</w:t>
            </w:r>
          </w:p>
        </w:tc>
        <w:tc>
          <w:tcPr>
            <w:tcW w:w="3694" w:type="dxa"/>
            <w:vAlign w:val="center"/>
          </w:tcPr>
          <w:p w14:paraId="1A6C95FE">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培训等合同服务要求完成情况。</w:t>
            </w:r>
          </w:p>
        </w:tc>
        <w:tc>
          <w:tcPr>
            <w:tcW w:w="4601" w:type="dxa"/>
            <w:vAlign w:val="center"/>
          </w:tcPr>
          <w:p w14:paraId="52C2EC9E">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现场核查。供应商须根据合同约定提供《培训视频》影像资料等。</w:t>
            </w:r>
          </w:p>
        </w:tc>
      </w:tr>
      <w:tr w14:paraId="0838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59DD562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5</w:t>
            </w:r>
          </w:p>
        </w:tc>
        <w:tc>
          <w:tcPr>
            <w:tcW w:w="3694" w:type="dxa"/>
            <w:vAlign w:val="center"/>
          </w:tcPr>
          <w:p w14:paraId="1B3E98A5">
            <w:pPr>
              <w:widowControl/>
              <w:adjustRightInd w:val="0"/>
              <w:snapToGrid w:val="0"/>
              <w:textAlignment w:val="baseline"/>
              <w:rPr>
                <w:rFonts w:ascii="宋体" w:hAnsi="宋体"/>
                <w:color w:val="000000" w:themeColor="text1"/>
                <w:kern w:val="0"/>
                <w:szCs w:val="21"/>
                <w14:textFill>
                  <w14:solidFill>
                    <w14:schemeClr w14:val="tx1"/>
                  </w14:solidFill>
                </w14:textFill>
              </w:rPr>
            </w:pPr>
            <w:r>
              <w:rPr>
                <w:rFonts w:hint="eastAsia" w:ascii="宋体" w:hAnsi="宋体"/>
                <w:color w:val="000000"/>
                <w:kern w:val="0"/>
                <w:szCs w:val="21"/>
              </w:rPr>
              <w:t>验证测试设备的运行稳定性</w:t>
            </w:r>
          </w:p>
        </w:tc>
        <w:tc>
          <w:tcPr>
            <w:tcW w:w="4601" w:type="dxa"/>
            <w:vAlign w:val="center"/>
          </w:tcPr>
          <w:p w14:paraId="4B72A531">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试运行验证测试设备运行稳定达标</w:t>
            </w:r>
          </w:p>
        </w:tc>
      </w:tr>
      <w:tr w14:paraId="660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vAlign w:val="center"/>
          </w:tcPr>
          <w:p w14:paraId="6DFA2F36">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6</w:t>
            </w:r>
          </w:p>
        </w:tc>
        <w:tc>
          <w:tcPr>
            <w:tcW w:w="8295" w:type="dxa"/>
            <w:gridSpan w:val="2"/>
            <w:vAlign w:val="center"/>
          </w:tcPr>
          <w:p w14:paraId="31F21E15">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提示：</w:t>
            </w:r>
          </w:p>
          <w:p w14:paraId="3078E206">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1.经费负责人应当按照采购合同及其附件规定的每一项技术、服务、安全标准组织对供应商履约情况进行验收。</w:t>
            </w:r>
          </w:p>
          <w:p w14:paraId="2883C437">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2.《供应商货物类项目完工报告》《项目建设单位货物类项目完工自验收报告》《第三方检测报告》（如有）等与验收相关的材料由经费负责人妥善保管存档。</w:t>
            </w:r>
          </w:p>
          <w:p w14:paraId="620B491F">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3.</w:t>
            </w:r>
            <w:bookmarkStart w:id="6" w:name="OLE_LINK4"/>
            <w:r>
              <w:rPr>
                <w:rFonts w:hint="eastAsia" w:ascii="宋体" w:hAnsi="宋体"/>
                <w:color w:val="000000"/>
                <w:kern w:val="0"/>
                <w:szCs w:val="21"/>
              </w:rPr>
              <w:t>《技术协议》</w:t>
            </w:r>
            <w:bookmarkEnd w:id="6"/>
            <w:r>
              <w:rPr>
                <w:rFonts w:hint="eastAsia" w:ascii="宋体" w:hAnsi="宋体"/>
                <w:color w:val="000000"/>
                <w:kern w:val="0"/>
                <w:szCs w:val="21"/>
              </w:rPr>
              <w:t>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w:t>
            </w:r>
            <w:r>
              <w:rPr>
                <w:rFonts w:ascii="宋体" w:hAnsi="宋体"/>
                <w:color w:val="000000"/>
                <w:kern w:val="0"/>
                <w:szCs w:val="21"/>
              </w:rPr>
              <w:t xml:space="preserve"> </w:t>
            </w:r>
          </w:p>
        </w:tc>
      </w:tr>
      <w:tr w14:paraId="72FC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51743AB1">
            <w:pPr>
              <w:widowControl/>
              <w:adjustRightInd w:val="0"/>
              <w:snapToGrid w:val="0"/>
              <w:textAlignment w:val="baseline"/>
              <w:rPr>
                <w:rFonts w:ascii="宋体" w:hAnsi="宋体"/>
                <w:color w:val="000000"/>
                <w:kern w:val="0"/>
                <w:szCs w:val="21"/>
              </w:rPr>
            </w:pPr>
            <w:r>
              <w:rPr>
                <w:rFonts w:hint="eastAsia" w:ascii="宋体" w:hAnsi="宋体"/>
                <w:b/>
                <w:color w:val="000000"/>
                <w:kern w:val="0"/>
                <w:szCs w:val="21"/>
              </w:rPr>
              <w:t>学校验收复核要求：</w:t>
            </w:r>
            <w:r>
              <w:rPr>
                <w:rFonts w:hint="eastAsia" w:ascii="宋体" w:hAnsi="宋体"/>
                <w:color w:val="000000"/>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学校国资处，由国资处组织专家现场验收复核。</w:t>
            </w:r>
          </w:p>
        </w:tc>
      </w:tr>
      <w:tr w14:paraId="5D45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9" w:type="dxa"/>
            <w:gridSpan w:val="2"/>
            <w:vAlign w:val="center"/>
          </w:tcPr>
          <w:p w14:paraId="14AE30AD">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验收时是否需要供应商提供样品</w:t>
            </w:r>
          </w:p>
        </w:tc>
        <w:tc>
          <w:tcPr>
            <w:tcW w:w="4601" w:type="dxa"/>
            <w:vAlign w:val="center"/>
          </w:tcPr>
          <w:p w14:paraId="798E259A">
            <w:pPr>
              <w:widowControl/>
              <w:adjustRightInd w:val="0"/>
              <w:snapToGrid w:val="0"/>
              <w:textAlignment w:val="baseline"/>
              <w:rPr>
                <w:rFonts w:ascii="宋体" w:hAnsi="宋体"/>
                <w:color w:val="000000"/>
                <w:kern w:val="0"/>
                <w:szCs w:val="21"/>
              </w:rPr>
            </w:pPr>
            <w:r>
              <w:rPr>
                <w:rFonts w:hint="eastAsia" w:ascii="宋体" w:hAnsi="宋体" w:cs="宋体"/>
                <w:color w:val="000000"/>
                <w:kern w:val="0"/>
                <w:szCs w:val="21"/>
              </w:rPr>
              <w:t>□</w:t>
            </w:r>
            <w:r>
              <w:rPr>
                <w:rFonts w:hint="eastAsia" w:ascii="宋体" w:hAnsi="宋体"/>
                <w:color w:val="000000"/>
                <w:kern w:val="0"/>
                <w:szCs w:val="21"/>
              </w:rPr>
              <w:t xml:space="preserve">是 </w:t>
            </w:r>
            <w:r>
              <w:rPr>
                <w:rFonts w:hint="eastAsia" w:ascii="宋体" w:hAnsi="宋体" w:cs="宋体"/>
                <w:color w:val="000000"/>
                <w:kern w:val="0"/>
                <w:szCs w:val="21"/>
              </w:rPr>
              <w:t>☑</w:t>
            </w:r>
            <w:r>
              <w:rPr>
                <w:rFonts w:hint="eastAsia" w:ascii="宋体" w:hAnsi="宋体"/>
                <w:color w:val="000000"/>
                <w:kern w:val="0"/>
                <w:szCs w:val="21"/>
              </w:rPr>
              <w:t>否</w:t>
            </w:r>
          </w:p>
        </w:tc>
      </w:tr>
      <w:tr w14:paraId="38BC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9" w:type="dxa"/>
            <w:gridSpan w:val="2"/>
            <w:vAlign w:val="center"/>
          </w:tcPr>
          <w:p w14:paraId="4B771E24">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验收时是否需供应商提供必要的其他设备</w:t>
            </w:r>
          </w:p>
        </w:tc>
        <w:tc>
          <w:tcPr>
            <w:tcW w:w="4601" w:type="dxa"/>
            <w:vAlign w:val="center"/>
          </w:tcPr>
          <w:p w14:paraId="33CC1E8D">
            <w:pPr>
              <w:widowControl/>
              <w:adjustRightInd w:val="0"/>
              <w:snapToGrid w:val="0"/>
              <w:textAlignment w:val="baseline"/>
              <w:rPr>
                <w:rFonts w:ascii="宋体" w:hAnsi="宋体"/>
                <w:color w:val="000000"/>
                <w:kern w:val="0"/>
                <w:szCs w:val="21"/>
              </w:rPr>
            </w:pPr>
            <w:r>
              <w:rPr>
                <w:rFonts w:hint="eastAsia" w:ascii="宋体" w:hAnsi="宋体" w:cs="宋体"/>
                <w:color w:val="000000"/>
                <w:kern w:val="0"/>
                <w:szCs w:val="21"/>
              </w:rPr>
              <w:t>□</w:t>
            </w:r>
            <w:r>
              <w:rPr>
                <w:rFonts w:ascii="宋体" w:hAnsi="宋体"/>
                <w:color w:val="000000"/>
                <w:kern w:val="0"/>
                <w:szCs w:val="21"/>
              </w:rPr>
              <w:t>是</w:t>
            </w:r>
            <w:r>
              <w:rPr>
                <w:rFonts w:hint="eastAsia" w:ascii="宋体" w:hAnsi="宋体"/>
                <w:color w:val="000000"/>
                <w:kern w:val="0"/>
                <w:szCs w:val="21"/>
              </w:rPr>
              <w:t xml:space="preserve"> </w:t>
            </w:r>
            <w:r>
              <w:rPr>
                <w:rFonts w:hint="eastAsia" w:ascii="宋体" w:hAnsi="宋体" w:cs="宋体"/>
                <w:color w:val="000000"/>
                <w:kern w:val="0"/>
                <w:szCs w:val="21"/>
              </w:rPr>
              <w:t>☑</w:t>
            </w:r>
            <w:r>
              <w:rPr>
                <w:rFonts w:ascii="宋体" w:hAnsi="宋体"/>
                <w:color w:val="000000"/>
                <w:kern w:val="0"/>
                <w:szCs w:val="21"/>
              </w:rPr>
              <w:t>否</w:t>
            </w:r>
          </w:p>
        </w:tc>
      </w:tr>
      <w:tr w14:paraId="2F5B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3D52DFAE">
            <w:pPr>
              <w:widowControl/>
              <w:adjustRightInd w:val="0"/>
              <w:snapToGrid w:val="0"/>
              <w:textAlignment w:val="baseline"/>
              <w:rPr>
                <w:rFonts w:ascii="宋体" w:hAnsi="宋体" w:cs="宋体"/>
                <w:color w:val="000000"/>
                <w:kern w:val="0"/>
                <w:szCs w:val="21"/>
              </w:rPr>
            </w:pPr>
            <w:r>
              <w:rPr>
                <w:rFonts w:hint="eastAsia" w:ascii="宋体" w:hAnsi="宋体"/>
                <w:color w:val="000000"/>
                <w:kern w:val="0"/>
                <w:szCs w:val="21"/>
              </w:rPr>
              <w:t>二、</w:t>
            </w:r>
            <w:r>
              <w:rPr>
                <w:rFonts w:hint="eastAsia" w:ascii="宋体" w:hAnsi="宋体"/>
                <w:b/>
                <w:bCs/>
                <w:color w:val="000000"/>
                <w:kern w:val="0"/>
                <w:szCs w:val="21"/>
              </w:rPr>
              <w:t>服务类项目验收要求</w:t>
            </w:r>
          </w:p>
        </w:tc>
      </w:tr>
      <w:tr w14:paraId="753C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74517D30">
            <w:pPr>
              <w:widowControl/>
              <w:adjustRightInd w:val="0"/>
              <w:snapToGrid w:val="0"/>
              <w:textAlignment w:val="baseline"/>
              <w:rPr>
                <w:rFonts w:ascii="宋体" w:hAnsi="宋体" w:cs="宋体"/>
                <w:color w:val="000000"/>
                <w:kern w:val="0"/>
                <w:szCs w:val="21"/>
              </w:rPr>
            </w:pPr>
            <w:r>
              <w:rPr>
                <w:rFonts w:hint="eastAsia" w:ascii="宋体" w:hAnsi="宋体"/>
                <w:b/>
                <w:color w:val="000000"/>
                <w:kern w:val="0"/>
                <w:szCs w:val="21"/>
              </w:rPr>
              <w:t>项目建设单位验收要求：</w:t>
            </w:r>
            <w:bookmarkStart w:id="7" w:name="OLE_LINK35"/>
            <w:r>
              <w:rPr>
                <w:rFonts w:hint="eastAsia" w:ascii="宋体" w:hAnsi="宋体"/>
                <w:szCs w:val="21"/>
              </w:rPr>
              <w:t>根据项目特点对服务期内的服务履约实施情况进行考核，结合考核情况和服务效果进行验收。验收报告须经国资处备案。</w:t>
            </w:r>
            <w:bookmarkEnd w:id="7"/>
          </w:p>
        </w:tc>
      </w:tr>
      <w:tr w14:paraId="4562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2CF4C624">
            <w:pPr>
              <w:widowControl/>
              <w:adjustRightInd w:val="0"/>
              <w:snapToGrid w:val="0"/>
              <w:textAlignment w:val="baseline"/>
              <w:rPr>
                <w:rFonts w:ascii="宋体" w:hAnsi="宋体" w:cs="宋体"/>
                <w:color w:val="000000"/>
                <w:kern w:val="0"/>
                <w:szCs w:val="21"/>
              </w:rPr>
            </w:pPr>
            <w:r>
              <w:rPr>
                <w:rFonts w:hint="eastAsia" w:ascii="宋体" w:hAnsi="宋体"/>
                <w:b/>
                <w:color w:val="000000"/>
                <w:kern w:val="0"/>
                <w:szCs w:val="21"/>
              </w:rPr>
              <w:t>学校验收备案要求：</w:t>
            </w:r>
            <w:r>
              <w:rPr>
                <w:rFonts w:hint="eastAsia" w:ascii="宋体" w:hAnsi="宋体"/>
                <w:bCs/>
                <w:color w:val="000000"/>
                <w:kern w:val="0"/>
                <w:szCs w:val="21"/>
              </w:rPr>
              <w:t>项目单位提供《学校采购服务类项目验收报告》《服务类供应商履约情况评价表》</w:t>
            </w:r>
            <w:r>
              <w:rPr>
                <w:rFonts w:hint="eastAsia" w:ascii="宋体" w:hAnsi="宋体"/>
                <w:szCs w:val="21"/>
              </w:rPr>
              <w:t>。国资处可根据项目情况采用抽查等方式进行复核。</w:t>
            </w:r>
          </w:p>
        </w:tc>
      </w:tr>
      <w:tr w14:paraId="51A8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3"/>
            <w:vAlign w:val="center"/>
          </w:tcPr>
          <w:p w14:paraId="62B84129">
            <w:pPr>
              <w:widowControl/>
              <w:adjustRightInd w:val="0"/>
              <w:snapToGrid w:val="0"/>
              <w:jc w:val="left"/>
              <w:textAlignment w:val="baseline"/>
              <w:rPr>
                <w:rFonts w:ascii="宋体" w:hAnsi="宋体"/>
                <w:color w:val="000000"/>
                <w:kern w:val="0"/>
                <w:szCs w:val="21"/>
              </w:rPr>
            </w:pPr>
            <w:r>
              <w:rPr>
                <w:rFonts w:hint="eastAsia" w:ascii="宋体" w:hAnsi="宋体"/>
                <w:b/>
                <w:bCs/>
                <w:color w:val="000000"/>
                <w:kern w:val="0"/>
                <w:szCs w:val="21"/>
              </w:rPr>
              <w:t>三、除现场验收外，需提供的其他验收要求</w:t>
            </w:r>
          </w:p>
        </w:tc>
      </w:tr>
      <w:tr w14:paraId="4317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9" w:type="dxa"/>
            <w:gridSpan w:val="2"/>
            <w:vAlign w:val="center"/>
          </w:tcPr>
          <w:p w14:paraId="50D21A46">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验收时是否</w:t>
            </w:r>
            <w:r>
              <w:rPr>
                <w:rFonts w:ascii="宋体" w:hAnsi="宋体"/>
                <w:color w:val="000000"/>
                <w:kern w:val="0"/>
                <w:szCs w:val="21"/>
              </w:rPr>
              <w:t>需提供第三方检测报告</w:t>
            </w:r>
          </w:p>
        </w:tc>
        <w:tc>
          <w:tcPr>
            <w:tcW w:w="4601" w:type="dxa"/>
            <w:vAlign w:val="center"/>
          </w:tcPr>
          <w:p w14:paraId="2746C4A0">
            <w:pPr>
              <w:widowControl/>
              <w:adjustRightInd w:val="0"/>
              <w:snapToGrid w:val="0"/>
              <w:textAlignment w:val="baseline"/>
              <w:rPr>
                <w:rFonts w:ascii="宋体" w:hAnsi="宋体" w:cs="宋体"/>
                <w:color w:val="000000"/>
                <w:kern w:val="0"/>
                <w:szCs w:val="21"/>
              </w:rPr>
            </w:pPr>
          </w:p>
          <w:p w14:paraId="60F1F5C1">
            <w:pPr>
              <w:widowControl/>
              <w:adjustRightInd w:val="0"/>
              <w:snapToGrid w:val="0"/>
              <w:textAlignment w:val="baseline"/>
              <w:rPr>
                <w:rFonts w:ascii="宋体" w:hAnsi="宋体"/>
                <w:color w:val="000000"/>
                <w:kern w:val="0"/>
                <w:szCs w:val="21"/>
              </w:rPr>
            </w:pPr>
            <w:r>
              <w:rPr>
                <w:rFonts w:hint="eastAsia" w:ascii="宋体" w:hAnsi="宋体" w:cs="宋体"/>
                <w:color w:val="000000"/>
                <w:kern w:val="0"/>
                <w:szCs w:val="21"/>
              </w:rPr>
              <w:t>□</w:t>
            </w:r>
            <w:r>
              <w:rPr>
                <w:rFonts w:ascii="宋体" w:hAnsi="宋体"/>
                <w:color w:val="000000"/>
                <w:kern w:val="0"/>
                <w:szCs w:val="21"/>
              </w:rPr>
              <w:t>是</w:t>
            </w:r>
            <w:r>
              <w:rPr>
                <w:rFonts w:hint="eastAsia" w:ascii="宋体" w:hAnsi="宋体"/>
                <w:color w:val="000000"/>
                <w:kern w:val="0"/>
                <w:szCs w:val="21"/>
              </w:rPr>
              <w:t xml:space="preserve"> </w:t>
            </w:r>
            <w:r>
              <w:rPr>
                <w:rFonts w:hint="eastAsia" w:ascii="宋体" w:hAnsi="宋体" w:cs="宋体"/>
                <w:color w:val="000000"/>
                <w:kern w:val="0"/>
                <w:szCs w:val="21"/>
              </w:rPr>
              <w:t>☑</w:t>
            </w:r>
            <w:r>
              <w:rPr>
                <w:rFonts w:ascii="宋体" w:hAnsi="宋体"/>
                <w:color w:val="000000"/>
                <w:kern w:val="0"/>
                <w:szCs w:val="21"/>
              </w:rPr>
              <w:t>否</w:t>
            </w:r>
          </w:p>
          <w:p w14:paraId="3D6DDFD4">
            <w:pPr>
              <w:widowControl/>
              <w:adjustRightInd w:val="0"/>
              <w:snapToGrid w:val="0"/>
              <w:textAlignment w:val="baseline"/>
              <w:rPr>
                <w:rFonts w:ascii="宋体" w:hAnsi="宋体"/>
                <w:color w:val="000000"/>
                <w:kern w:val="0"/>
                <w:szCs w:val="21"/>
              </w:rPr>
            </w:pPr>
          </w:p>
          <w:p w14:paraId="3B30A560">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如需提供第三方检测报告，需满足下列要求：</w:t>
            </w:r>
          </w:p>
          <w:p w14:paraId="54453A27">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对于检测机构的要求：国家正规检测机构，出具的检测报告由验收复核专家认可之后作为验收复核通过的主要依据。</w:t>
            </w:r>
          </w:p>
          <w:p w14:paraId="7ED4C1AE">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对于检测执行标准的要求：各项检测项目标准以检测机构按照行业相关要求最新适用并执行的标准为准。</w:t>
            </w:r>
          </w:p>
        </w:tc>
      </w:tr>
      <w:bookmarkEnd w:id="5"/>
    </w:tbl>
    <w:p w14:paraId="38F80FC0">
      <w:pPr>
        <w:adjustRightInd w:val="0"/>
        <w:snapToGrid w:val="0"/>
        <w:spacing w:line="360" w:lineRule="auto"/>
        <w:ind w:firstLine="440" w:firstLineChars="200"/>
        <w:rPr>
          <w:rFonts w:ascii="楷体" w:hAnsi="楷体" w:eastAsia="楷体"/>
          <w:color w:val="FF0000"/>
          <w:sz w:val="22"/>
          <w:szCs w:val="22"/>
        </w:rPr>
      </w:pPr>
    </w:p>
    <w:p w14:paraId="35F239AF">
      <w:pPr>
        <w:adjustRightInd w:val="0"/>
        <w:snapToGrid w:val="0"/>
        <w:spacing w:line="360" w:lineRule="auto"/>
        <w:ind w:firstLine="440" w:firstLineChars="200"/>
        <w:rPr>
          <w:rFonts w:ascii="楷体" w:hAnsi="楷体" w:eastAsia="楷体"/>
          <w:color w:val="FF0000"/>
          <w:sz w:val="22"/>
          <w:szCs w:val="22"/>
        </w:rPr>
      </w:pPr>
    </w:p>
    <w:p w14:paraId="005719F7">
      <w:pPr>
        <w:adjustRightInd w:val="0"/>
        <w:snapToGrid w:val="0"/>
        <w:spacing w:line="360" w:lineRule="auto"/>
        <w:ind w:firstLine="440" w:firstLineChars="200"/>
        <w:rPr>
          <w:rFonts w:ascii="楷体" w:hAnsi="楷体" w:eastAsia="楷体"/>
          <w:color w:val="FF0000"/>
          <w:sz w:val="22"/>
          <w:szCs w:val="22"/>
        </w:rPr>
      </w:pPr>
    </w:p>
    <w:p w14:paraId="0DC6A06B">
      <w:pPr>
        <w:adjustRightInd w:val="0"/>
        <w:snapToGrid w:val="0"/>
        <w:spacing w:line="360" w:lineRule="auto"/>
        <w:ind w:firstLine="440" w:firstLineChars="200"/>
        <w:rPr>
          <w:rFonts w:ascii="楷体" w:hAnsi="楷体" w:eastAsia="楷体"/>
          <w:color w:val="FF0000"/>
          <w:sz w:val="22"/>
          <w:szCs w:val="22"/>
        </w:rPr>
      </w:pPr>
      <w:bookmarkStart w:id="9" w:name="_GoBack"/>
      <w:bookmarkEnd w:id="9"/>
    </w:p>
    <w:p w14:paraId="44CC2C3B">
      <w:pPr>
        <w:adjustRightInd w:val="0"/>
        <w:snapToGrid w:val="0"/>
        <w:spacing w:line="360" w:lineRule="auto"/>
        <w:ind w:firstLine="440" w:firstLineChars="200"/>
        <w:rPr>
          <w:rFonts w:ascii="楷体" w:hAnsi="楷体" w:eastAsia="楷体"/>
          <w:color w:val="FF0000"/>
          <w:sz w:val="22"/>
          <w:szCs w:val="22"/>
        </w:rPr>
      </w:pPr>
    </w:p>
    <w:p w14:paraId="69095674">
      <w:pPr>
        <w:tabs>
          <w:tab w:val="left" w:pos="420"/>
          <w:tab w:val="left" w:pos="900"/>
        </w:tabs>
        <w:adjustRightInd w:val="0"/>
        <w:snapToGrid w:val="0"/>
        <w:spacing w:line="360" w:lineRule="auto"/>
        <w:ind w:firstLine="422" w:firstLineChars="200"/>
        <w:rPr>
          <w:rFonts w:ascii="宋体" w:hAnsi="宋体"/>
          <w:b/>
          <w:bCs/>
          <w:szCs w:val="21"/>
        </w:rPr>
      </w:pPr>
      <w:r>
        <w:rPr>
          <w:rFonts w:hint="eastAsia" w:ascii="宋体" w:hAnsi="宋体"/>
          <w:b/>
          <w:bCs/>
          <w:szCs w:val="21"/>
        </w:rPr>
        <w:t>移机前后约定标样与测试方法记录如下指标：并以此作为验收指标。</w:t>
      </w:r>
    </w:p>
    <w:p w14:paraId="2CB915F7">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移机前后整机性能测试内容：</w:t>
      </w:r>
    </w:p>
    <w:p w14:paraId="50D48137">
      <w:pPr>
        <w:tabs>
          <w:tab w:val="left" w:pos="420"/>
          <w:tab w:val="left" w:pos="900"/>
        </w:tabs>
        <w:adjustRightInd w:val="0"/>
        <w:snapToGrid w:val="0"/>
        <w:spacing w:line="360" w:lineRule="auto"/>
        <w:ind w:firstLine="422" w:firstLineChars="200"/>
        <w:rPr>
          <w:rFonts w:ascii="宋体" w:hAnsi="宋体"/>
          <w:b/>
          <w:bCs/>
          <w:szCs w:val="21"/>
        </w:rPr>
      </w:pPr>
      <w:r>
        <w:rPr>
          <w:rFonts w:hint="eastAsia" w:ascii="宋体" w:hAnsi="宋体"/>
          <w:b/>
          <w:bCs/>
          <w:szCs w:val="21"/>
        </w:rPr>
        <w:t>磁体指标：1H核的线形（lineshape）</w:t>
      </w:r>
    </w:p>
    <w:p w14:paraId="2A6817A5">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此项测试反映磁场的均匀度，BSMS系统的工作状态以及探头内部构造的完整。</w:t>
      </w:r>
    </w:p>
    <w:p w14:paraId="6E9EC8DE">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移机前测试结果：           Hz /            Hz，           Hz (0.55%/0.11%，50%)</w:t>
      </w:r>
    </w:p>
    <w:p w14:paraId="7047312F">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移机后测试结果：           Hz /            Hz，           Hz (0.55%/0.11%，50%))</w:t>
      </w:r>
    </w:p>
    <w:p w14:paraId="14C228FD">
      <w:pPr>
        <w:tabs>
          <w:tab w:val="left" w:pos="420"/>
          <w:tab w:val="left" w:pos="900"/>
        </w:tabs>
        <w:adjustRightInd w:val="0"/>
        <w:snapToGrid w:val="0"/>
        <w:spacing w:line="360" w:lineRule="auto"/>
        <w:ind w:firstLine="422" w:firstLineChars="200"/>
        <w:rPr>
          <w:rFonts w:ascii="宋体" w:hAnsi="宋体"/>
          <w:b/>
          <w:bCs/>
          <w:szCs w:val="21"/>
        </w:rPr>
      </w:pPr>
      <w:r>
        <w:rPr>
          <w:rFonts w:hint="eastAsia" w:ascii="宋体" w:hAnsi="宋体"/>
          <w:b/>
          <w:bCs/>
          <w:szCs w:val="21"/>
        </w:rPr>
        <w:t>机柜指标：1H，2H，13C 核的90度脉宽、灵敏度</w:t>
      </w:r>
    </w:p>
    <w:p w14:paraId="4259929D">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此项测试反映的是机柜各射频通道发射能量及接收系统性能。</w:t>
      </w:r>
    </w:p>
    <w:p w14:paraId="3CD8A220">
      <w:pPr>
        <w:tabs>
          <w:tab w:val="left" w:pos="420"/>
          <w:tab w:val="left" w:pos="900"/>
        </w:tabs>
        <w:adjustRightInd w:val="0"/>
        <w:snapToGrid w:val="0"/>
        <w:spacing w:line="360" w:lineRule="auto"/>
        <w:ind w:firstLine="422" w:firstLineChars="200"/>
        <w:rPr>
          <w:rFonts w:ascii="宋体" w:hAnsi="宋体"/>
          <w:b/>
          <w:bCs/>
          <w:szCs w:val="21"/>
        </w:rPr>
      </w:pPr>
      <w:r>
        <w:rPr>
          <w:rFonts w:hint="eastAsia" w:ascii="宋体" w:hAnsi="宋体"/>
          <w:b/>
          <w:bCs/>
          <w:szCs w:val="21"/>
        </w:rPr>
        <w:t>1H （样品 0.1% EB）</w:t>
      </w:r>
    </w:p>
    <w:p w14:paraId="664304C0">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移机前测试结果：               us @                W；Sino               ：1</w:t>
      </w:r>
    </w:p>
    <w:p w14:paraId="5A94A4AF">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移机后测试结果：               us @                W；Sino               ：1</w:t>
      </w:r>
    </w:p>
    <w:p w14:paraId="44BE28A1">
      <w:pPr>
        <w:tabs>
          <w:tab w:val="left" w:pos="420"/>
          <w:tab w:val="left" w:pos="900"/>
        </w:tabs>
        <w:adjustRightInd w:val="0"/>
        <w:snapToGrid w:val="0"/>
        <w:spacing w:line="360" w:lineRule="auto"/>
        <w:ind w:firstLine="422" w:firstLineChars="200"/>
        <w:rPr>
          <w:rFonts w:ascii="宋体" w:hAnsi="宋体"/>
          <w:b/>
          <w:bCs/>
          <w:szCs w:val="21"/>
        </w:rPr>
      </w:pPr>
      <w:r>
        <w:rPr>
          <w:rFonts w:hint="eastAsia" w:ascii="宋体" w:hAnsi="宋体"/>
          <w:b/>
          <w:bCs/>
          <w:szCs w:val="21"/>
        </w:rPr>
        <w:t>13C （样品 10% EB）</w:t>
      </w:r>
    </w:p>
    <w:p w14:paraId="31A32108">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移机前测试结果：               us @                W；Sino               ：1</w:t>
      </w:r>
    </w:p>
    <w:p w14:paraId="1F8F3488">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移机后测试结果：               us @                W；Sino               ：1</w:t>
      </w:r>
    </w:p>
    <w:p w14:paraId="250B0772">
      <w:pPr>
        <w:tabs>
          <w:tab w:val="left" w:pos="420"/>
          <w:tab w:val="left" w:pos="900"/>
        </w:tabs>
        <w:adjustRightInd w:val="0"/>
        <w:snapToGrid w:val="0"/>
        <w:spacing w:line="360" w:lineRule="auto"/>
        <w:ind w:firstLine="422" w:firstLineChars="200"/>
        <w:rPr>
          <w:rFonts w:ascii="宋体" w:hAnsi="宋体"/>
          <w:b/>
          <w:bCs/>
          <w:szCs w:val="21"/>
        </w:rPr>
      </w:pPr>
      <w:r>
        <w:rPr>
          <w:rFonts w:hint="eastAsia" w:ascii="宋体" w:hAnsi="宋体"/>
          <w:b/>
          <w:bCs/>
          <w:szCs w:val="21"/>
        </w:rPr>
        <w:t>13C （样品 10% D2O）</w:t>
      </w:r>
    </w:p>
    <w:p w14:paraId="7C133B1C">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移机前测试结果：               us @                W；</w:t>
      </w:r>
    </w:p>
    <w:p w14:paraId="4E83C8FD">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移机后测试结果：</w:t>
      </w:r>
      <w:bookmarkStart w:id="8" w:name="_Hlk103846749"/>
      <w:r>
        <w:rPr>
          <w:rFonts w:hint="eastAsia" w:ascii="宋体" w:hAnsi="宋体"/>
          <w:szCs w:val="21"/>
        </w:rPr>
        <w:t xml:space="preserve">               </w:t>
      </w:r>
      <w:bookmarkEnd w:id="8"/>
      <w:r>
        <w:rPr>
          <w:rFonts w:hint="eastAsia" w:ascii="宋体" w:hAnsi="宋体"/>
          <w:szCs w:val="21"/>
        </w:rPr>
        <w:t>us @                W；</w:t>
      </w:r>
    </w:p>
    <w:p w14:paraId="368DF49F">
      <w:pPr>
        <w:tabs>
          <w:tab w:val="left" w:pos="420"/>
          <w:tab w:val="left" w:pos="900"/>
        </w:tabs>
        <w:adjustRightInd w:val="0"/>
        <w:snapToGrid w:val="0"/>
        <w:spacing w:line="360" w:lineRule="auto"/>
        <w:ind w:firstLine="422" w:firstLineChars="200"/>
        <w:rPr>
          <w:rFonts w:ascii="宋体" w:hAnsi="宋体"/>
          <w:b/>
          <w:bCs/>
          <w:szCs w:val="21"/>
        </w:rPr>
      </w:pPr>
      <w:r>
        <w:rPr>
          <w:rFonts w:hint="eastAsia" w:ascii="宋体" w:hAnsi="宋体"/>
          <w:b/>
          <w:bCs/>
          <w:szCs w:val="21"/>
        </w:rPr>
        <w:t>自动进样器（如有）：全部样品位置的识别及进出样的动作可靠性。</w:t>
      </w:r>
    </w:p>
    <w:p w14:paraId="6E1AA33C">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 xml:space="preserve">移机前测试结果：全部通过 / 部分通过，                                 未通过 </w:t>
      </w:r>
    </w:p>
    <w:p w14:paraId="78CFA304">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 xml:space="preserve">        </w:t>
      </w:r>
    </w:p>
    <w:p w14:paraId="4B71F956">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 xml:space="preserve">移机后测试结果：全部通过 / 部分通过，                                 未通过   </w:t>
      </w:r>
    </w:p>
    <w:p w14:paraId="56D91FB9">
      <w:pPr>
        <w:tabs>
          <w:tab w:val="left" w:pos="420"/>
          <w:tab w:val="left" w:pos="900"/>
        </w:tabs>
        <w:adjustRightInd w:val="0"/>
        <w:snapToGrid w:val="0"/>
        <w:spacing w:line="360" w:lineRule="auto"/>
        <w:ind w:firstLine="420" w:firstLineChars="200"/>
        <w:rPr>
          <w:rFonts w:ascii="宋体" w:hAnsi="宋体"/>
          <w:szCs w:val="21"/>
        </w:rPr>
      </w:pPr>
    </w:p>
    <w:p w14:paraId="0B4ADD1F">
      <w:pPr>
        <w:tabs>
          <w:tab w:val="left" w:pos="420"/>
          <w:tab w:val="left" w:pos="900"/>
        </w:tabs>
        <w:adjustRightInd w:val="0"/>
        <w:snapToGrid w:val="0"/>
        <w:spacing w:line="360" w:lineRule="auto"/>
        <w:ind w:firstLine="422" w:firstLineChars="200"/>
        <w:rPr>
          <w:rFonts w:ascii="宋体" w:hAnsi="宋体"/>
          <w:b/>
          <w:bCs/>
          <w:szCs w:val="21"/>
        </w:rPr>
      </w:pPr>
      <w:r>
        <w:rPr>
          <w:rFonts w:hint="eastAsia" w:ascii="宋体" w:hAnsi="宋体"/>
          <w:b/>
          <w:bCs/>
          <w:szCs w:val="21"/>
        </w:rPr>
        <w:t>BCU（如有）：BCU单元的制冷效率测试（气流量500L/h，时长30min）。</w:t>
      </w:r>
    </w:p>
    <w:p w14:paraId="345E5944">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 xml:space="preserve">移机前测试结果：起始温度：              K；结束温度：               K </w:t>
      </w:r>
    </w:p>
    <w:p w14:paraId="4E589F7C">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移机后测试结果：起始温度：              K；结束温度：               K</w:t>
      </w:r>
    </w:p>
    <w:p w14:paraId="0B815AA2">
      <w:pPr>
        <w:tabs>
          <w:tab w:val="left" w:pos="420"/>
          <w:tab w:val="left" w:pos="900"/>
        </w:tabs>
        <w:adjustRightInd w:val="0"/>
        <w:snapToGrid w:val="0"/>
        <w:spacing w:line="360" w:lineRule="auto"/>
        <w:ind w:firstLine="420" w:firstLineChars="200"/>
        <w:rPr>
          <w:rFonts w:ascii="宋体" w:hAnsi="宋体"/>
          <w:szCs w:val="21"/>
        </w:rPr>
      </w:pPr>
    </w:p>
    <w:sectPr>
      <w:footerReference r:id="rId3" w:type="default"/>
      <w:pgSz w:w="11906" w:h="16838"/>
      <w:pgMar w:top="1871" w:right="1418" w:bottom="1588"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DA28B">
    <w:pPr>
      <w:pStyle w:val="5"/>
      <w:jc w:val="center"/>
    </w:pPr>
    <w:r>
      <w:fldChar w:fldCharType="begin"/>
    </w:r>
    <w:r>
      <w:instrText xml:space="preserve">PAGE   \* MERGEFORMAT</w:instrText>
    </w:r>
    <w:r>
      <w:fldChar w:fldCharType="separate"/>
    </w:r>
    <w:r>
      <w:rPr>
        <w:lang w:val="zh-CN"/>
      </w:rPr>
      <w:t>5</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27C6A"/>
    <w:multiLevelType w:val="singleLevel"/>
    <w:tmpl w:val="8E727C6A"/>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FC"/>
    <w:rsid w:val="00000ADB"/>
    <w:rsid w:val="000045B7"/>
    <w:rsid w:val="0000609F"/>
    <w:rsid w:val="00012B28"/>
    <w:rsid w:val="000170BA"/>
    <w:rsid w:val="00017928"/>
    <w:rsid w:val="00017C9A"/>
    <w:rsid w:val="000345B6"/>
    <w:rsid w:val="00037EB6"/>
    <w:rsid w:val="0004707F"/>
    <w:rsid w:val="000578DF"/>
    <w:rsid w:val="00060610"/>
    <w:rsid w:val="00063B9E"/>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92B6A"/>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1F3DEE"/>
    <w:rsid w:val="00206756"/>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4F4564"/>
    <w:rsid w:val="00501176"/>
    <w:rsid w:val="00501E8E"/>
    <w:rsid w:val="0051081D"/>
    <w:rsid w:val="00510891"/>
    <w:rsid w:val="0051141F"/>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2A"/>
    <w:rsid w:val="0064334B"/>
    <w:rsid w:val="00643D51"/>
    <w:rsid w:val="006538FB"/>
    <w:rsid w:val="006706FD"/>
    <w:rsid w:val="006772FA"/>
    <w:rsid w:val="00681FDD"/>
    <w:rsid w:val="006873DB"/>
    <w:rsid w:val="006878E9"/>
    <w:rsid w:val="006A49A0"/>
    <w:rsid w:val="006A6A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E56"/>
    <w:rsid w:val="007132C5"/>
    <w:rsid w:val="007146D9"/>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B71DB"/>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5685D"/>
    <w:rsid w:val="0095718B"/>
    <w:rsid w:val="009604BB"/>
    <w:rsid w:val="009618B7"/>
    <w:rsid w:val="00962CDE"/>
    <w:rsid w:val="009858D8"/>
    <w:rsid w:val="0099177F"/>
    <w:rsid w:val="00992532"/>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A1A80"/>
    <w:rsid w:val="00AA2AC3"/>
    <w:rsid w:val="00AB4712"/>
    <w:rsid w:val="00AB48E9"/>
    <w:rsid w:val="00AC005D"/>
    <w:rsid w:val="00AC2EB1"/>
    <w:rsid w:val="00AC6F95"/>
    <w:rsid w:val="00AD4C30"/>
    <w:rsid w:val="00AD6EAD"/>
    <w:rsid w:val="00AE18CF"/>
    <w:rsid w:val="00AE1AFA"/>
    <w:rsid w:val="00AE3A20"/>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710C"/>
    <w:rsid w:val="00B47D50"/>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7E50"/>
    <w:rsid w:val="00C10131"/>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92D3F"/>
    <w:rsid w:val="00C950B9"/>
    <w:rsid w:val="00C95481"/>
    <w:rsid w:val="00CA1559"/>
    <w:rsid w:val="00CA1D32"/>
    <w:rsid w:val="00CC44C8"/>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328A"/>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72C1"/>
    <w:rsid w:val="00F07693"/>
    <w:rsid w:val="00F10369"/>
    <w:rsid w:val="00F13265"/>
    <w:rsid w:val="00F14B96"/>
    <w:rsid w:val="00F1681C"/>
    <w:rsid w:val="00F17DEA"/>
    <w:rsid w:val="00F223B3"/>
    <w:rsid w:val="00F33F13"/>
    <w:rsid w:val="00F35137"/>
    <w:rsid w:val="00F43286"/>
    <w:rsid w:val="00F438F3"/>
    <w:rsid w:val="00F57DCD"/>
    <w:rsid w:val="00F63AEB"/>
    <w:rsid w:val="00F65DFE"/>
    <w:rsid w:val="00F72305"/>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06A31DF0"/>
    <w:rsid w:val="1BC72B84"/>
    <w:rsid w:val="308F178A"/>
    <w:rsid w:val="3C5E539B"/>
    <w:rsid w:val="416074D3"/>
    <w:rsid w:val="4FAF6015"/>
    <w:rsid w:val="54D4191A"/>
    <w:rsid w:val="56FC560F"/>
    <w:rsid w:val="6027658F"/>
    <w:rsid w:val="76C80F10"/>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6"/>
    <w:semiHidden/>
    <w:unhideWhenUsed/>
    <w:qFormat/>
    <w:uiPriority w:val="99"/>
    <w:pPr>
      <w:jc w:val="left"/>
    </w:pPr>
  </w:style>
  <w:style w:type="paragraph" w:styleId="3">
    <w:name w:val="Plain Text"/>
    <w:basedOn w:val="1"/>
    <w:link w:val="16"/>
    <w:qFormat/>
    <w:uiPriority w:val="0"/>
    <w:rPr>
      <w:rFonts w:ascii="宋体" w:hAnsi="Courier New" w:cstheme="minorBidi"/>
      <w:szCs w:val="22"/>
    </w:rPr>
  </w:style>
  <w:style w:type="paragraph" w:styleId="4">
    <w:name w:val="Balloon Text"/>
    <w:basedOn w:val="1"/>
    <w:link w:val="24"/>
    <w:semiHidden/>
    <w:unhideWhenUsed/>
    <w:qFormat/>
    <w:uiPriority w:val="99"/>
    <w:rPr>
      <w:sz w:val="18"/>
      <w:szCs w:val="18"/>
    </w:rPr>
  </w:style>
  <w:style w:type="paragraph" w:styleId="5">
    <w:name w:val="footer"/>
    <w:basedOn w:val="1"/>
    <w:link w:val="17"/>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6">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link w:val="18"/>
    <w:qFormat/>
    <w:uiPriority w:val="0"/>
    <w:pPr>
      <w:spacing w:before="240" w:after="60"/>
      <w:jc w:val="center"/>
      <w:outlineLvl w:val="0"/>
    </w:pPr>
    <w:rPr>
      <w:rFonts w:ascii="Arial" w:hAnsi="Arial" w:cs="Arial"/>
      <w:b/>
      <w:bCs/>
      <w:sz w:val="32"/>
      <w:szCs w:val="32"/>
    </w:rPr>
  </w:style>
  <w:style w:type="paragraph" w:styleId="8">
    <w:name w:val="annotation subject"/>
    <w:basedOn w:val="2"/>
    <w:next w:val="2"/>
    <w:link w:val="27"/>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Emphasis"/>
    <w:basedOn w:val="11"/>
    <w:qFormat/>
    <w:uiPriority w:val="20"/>
    <w:rPr>
      <w:i/>
      <w:iCs/>
    </w:rPr>
  </w:style>
  <w:style w:type="character" w:styleId="14">
    <w:name w:val="Hyperlink"/>
    <w:basedOn w:val="11"/>
    <w:semiHidden/>
    <w:unhideWhenUsed/>
    <w:qFormat/>
    <w:uiPriority w:val="99"/>
    <w:rPr>
      <w:color w:val="0000FF"/>
      <w:u w:val="single"/>
    </w:rPr>
  </w:style>
  <w:style w:type="character" w:styleId="15">
    <w:name w:val="annotation reference"/>
    <w:basedOn w:val="11"/>
    <w:semiHidden/>
    <w:unhideWhenUsed/>
    <w:qFormat/>
    <w:uiPriority w:val="99"/>
    <w:rPr>
      <w:sz w:val="21"/>
      <w:szCs w:val="21"/>
    </w:rPr>
  </w:style>
  <w:style w:type="character" w:customStyle="1" w:styleId="16">
    <w:name w:val="纯文本 字符"/>
    <w:link w:val="3"/>
    <w:qFormat/>
    <w:uiPriority w:val="0"/>
    <w:rPr>
      <w:rFonts w:ascii="宋体" w:hAnsi="Courier New" w:eastAsia="宋体"/>
    </w:rPr>
  </w:style>
  <w:style w:type="character" w:customStyle="1" w:styleId="17">
    <w:name w:val="页脚 字符"/>
    <w:link w:val="5"/>
    <w:qFormat/>
    <w:uiPriority w:val="0"/>
    <w:rPr>
      <w:sz w:val="18"/>
    </w:rPr>
  </w:style>
  <w:style w:type="character" w:customStyle="1" w:styleId="18">
    <w:name w:val="标题 字符"/>
    <w:link w:val="7"/>
    <w:qFormat/>
    <w:uiPriority w:val="0"/>
    <w:rPr>
      <w:rFonts w:ascii="Arial" w:hAnsi="Arial" w:eastAsia="宋体" w:cs="Arial"/>
      <w:b/>
      <w:bCs/>
      <w:sz w:val="32"/>
      <w:szCs w:val="32"/>
    </w:rPr>
  </w:style>
  <w:style w:type="character" w:customStyle="1" w:styleId="19">
    <w:name w:val="页脚 Char"/>
    <w:basedOn w:val="11"/>
    <w:semiHidden/>
    <w:qFormat/>
    <w:uiPriority w:val="99"/>
    <w:rPr>
      <w:rFonts w:ascii="Times New Roman" w:hAnsi="Times New Roman" w:eastAsia="宋体" w:cs="Times New Roman"/>
      <w:sz w:val="18"/>
      <w:szCs w:val="18"/>
    </w:rPr>
  </w:style>
  <w:style w:type="character" w:customStyle="1" w:styleId="20">
    <w:name w:val="标题 Char"/>
    <w:basedOn w:val="11"/>
    <w:qFormat/>
    <w:uiPriority w:val="10"/>
    <w:rPr>
      <w:rFonts w:eastAsia="宋体" w:asciiTheme="majorHAnsi" w:hAnsiTheme="majorHAnsi" w:cstheme="majorBidi"/>
      <w:b/>
      <w:bCs/>
      <w:sz w:val="32"/>
      <w:szCs w:val="32"/>
    </w:rPr>
  </w:style>
  <w:style w:type="character" w:customStyle="1" w:styleId="21">
    <w:name w:val="纯文本 Char"/>
    <w:basedOn w:val="11"/>
    <w:semiHidden/>
    <w:qFormat/>
    <w:uiPriority w:val="99"/>
    <w:rPr>
      <w:rFonts w:ascii="宋体" w:hAnsi="Courier New" w:eastAsia="宋体" w:cs="Courier New"/>
      <w:szCs w:val="21"/>
    </w:rPr>
  </w:style>
  <w:style w:type="character" w:customStyle="1" w:styleId="22">
    <w:name w:val="页眉 字符"/>
    <w:basedOn w:val="11"/>
    <w:link w:val="6"/>
    <w:qFormat/>
    <w:uiPriority w:val="99"/>
    <w:rPr>
      <w:rFonts w:ascii="Times New Roman" w:hAnsi="Times New Roman" w:eastAsia="宋体" w:cs="Times New Roman"/>
      <w:sz w:val="18"/>
      <w:szCs w:val="18"/>
    </w:rPr>
  </w:style>
  <w:style w:type="paragraph" w:styleId="23">
    <w:name w:val="List Paragraph"/>
    <w:basedOn w:val="1"/>
    <w:qFormat/>
    <w:uiPriority w:val="34"/>
    <w:pPr>
      <w:ind w:firstLine="420" w:firstLineChars="200"/>
    </w:pPr>
  </w:style>
  <w:style w:type="character" w:customStyle="1" w:styleId="24">
    <w:name w:val="批注框文本 字符"/>
    <w:basedOn w:val="11"/>
    <w:link w:val="4"/>
    <w:semiHidden/>
    <w:qFormat/>
    <w:uiPriority w:val="99"/>
    <w:rPr>
      <w:rFonts w:ascii="Times New Roman" w:hAnsi="Times New Roman" w:eastAsia="宋体" w:cs="Times New Roman"/>
      <w:sz w:val="18"/>
      <w:szCs w:val="18"/>
    </w:rPr>
  </w:style>
  <w:style w:type="paragraph" w:customStyle="1" w:styleId="25">
    <w:name w:val="paragraph"/>
    <w:basedOn w:val="1"/>
    <w:semiHidden/>
    <w:qFormat/>
    <w:uiPriority w:val="0"/>
    <w:pPr>
      <w:widowControl/>
      <w:spacing w:before="100" w:beforeAutospacing="1" w:after="100" w:afterAutospacing="1"/>
      <w:jc w:val="left"/>
    </w:pPr>
    <w:rPr>
      <w:rFonts w:ascii="等线" w:hAnsi="等线" w:eastAsia="等线"/>
      <w:kern w:val="0"/>
      <w:sz w:val="24"/>
      <w:szCs w:val="24"/>
    </w:rPr>
  </w:style>
  <w:style w:type="character" w:customStyle="1" w:styleId="26">
    <w:name w:val="批注文字 字符"/>
    <w:basedOn w:val="11"/>
    <w:link w:val="2"/>
    <w:semiHidden/>
    <w:qFormat/>
    <w:uiPriority w:val="99"/>
    <w:rPr>
      <w:rFonts w:ascii="Times New Roman" w:hAnsi="Times New Roman" w:eastAsia="宋体" w:cs="Times New Roman"/>
      <w:kern w:val="2"/>
      <w:sz w:val="21"/>
    </w:rPr>
  </w:style>
  <w:style w:type="character" w:customStyle="1" w:styleId="27">
    <w:name w:val="批注主题 字符"/>
    <w:basedOn w:val="26"/>
    <w:link w:val="8"/>
    <w:semiHidden/>
    <w:qFormat/>
    <w:uiPriority w:val="99"/>
    <w:rPr>
      <w:rFonts w:ascii="Times New Roman" w:hAnsi="Times New Roman" w:eastAsia="宋体" w:cs="Times New Roman"/>
      <w:b/>
      <w:bCs/>
      <w:kern w:val="2"/>
      <w:sz w:val="21"/>
    </w:rPr>
  </w:style>
  <w:style w:type="paragraph" w:customStyle="1" w:styleId="28">
    <w:name w:val="修订1"/>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2353</Words>
  <Characters>2423</Characters>
  <Lines>28</Lines>
  <Paragraphs>7</Paragraphs>
  <TotalTime>92</TotalTime>
  <ScaleCrop>false</ScaleCrop>
  <LinksUpToDate>false</LinksUpToDate>
  <CharactersWithSpaces>2692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2021-03-17T07:37:00Z</dcterms:created>
  <dc:creator>User</dc:creator>
  <cp:lastModifiedBy>薄荷叶</cp:lastModifiedBy>
  <dcterms:modified xsi:type="dcterms:W3CDTF">2026-07-17T08:02:54Z</dcterms:modified>
  <cp:revision>709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04FB382B5B4744279D13E3B234440762_13</vt:lpwstr>
  </property>
  <property fmtid="{D5CDD505-2E9C-101B-9397-08002B2CF9AE}" pid="4" name="KSOTemplateDocerSaveRecord">
    <vt:lpwstr>eyJoZGlkIjoiMmY4YTcxOWEwZDk0NGRmMmQ0YjFhZTQzNTFkYTY1ZjQiLCJ1c2VySWQiOiI0ODU3Mzg1NjkifQ==</vt:lpwstr>
  </property>
</Properties>
</file>