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C72E5">
      <w:pPr>
        <w:pStyle w:val="7"/>
        <w:rPr>
          <w:rFonts w:hint="eastAsia" w:ascii="宋体" w:hAnsi="宋体"/>
          <w:sz w:val="36"/>
        </w:rPr>
      </w:pPr>
      <w:bookmarkStart w:id="0" w:name="_Toc38367762"/>
      <w:r>
        <w:rPr>
          <w:rFonts w:hint="eastAsia" w:ascii="宋体" w:hAnsi="宋体"/>
          <w:sz w:val="36"/>
        </w:rPr>
        <w:t>【</w:t>
      </w:r>
      <w:r>
        <w:rPr>
          <w:rFonts w:hint="eastAsia" w:ascii="宋体" w:hAnsi="宋体"/>
          <w:color w:val="000000" w:themeColor="text1"/>
          <w:sz w:val="36"/>
          <w14:textFill>
            <w14:solidFill>
              <w14:schemeClr w14:val="tx1"/>
            </w14:solidFill>
          </w14:textFill>
        </w:rPr>
        <w:t>高温荧光寿命测量设备</w:t>
      </w:r>
      <w:r>
        <w:rPr>
          <w:rFonts w:hint="eastAsia" w:ascii="宋体" w:hAnsi="宋体"/>
          <w:sz w:val="36"/>
        </w:rPr>
        <w:t>】</w:t>
      </w:r>
      <w:r>
        <w:rPr>
          <w:rFonts w:ascii="宋体" w:hAnsi="宋体"/>
          <w:sz w:val="36"/>
        </w:rPr>
        <w:t>采购需求</w:t>
      </w:r>
      <w:bookmarkEnd w:id="0"/>
    </w:p>
    <w:p w14:paraId="559D7B9D">
      <w:pPr>
        <w:tabs>
          <w:tab w:val="left" w:pos="900"/>
        </w:tabs>
        <w:spacing w:before="156" w:beforeLines="50" w:line="360" w:lineRule="auto"/>
        <w:rPr>
          <w:b/>
          <w:szCs w:val="21"/>
        </w:rPr>
      </w:pPr>
      <w:bookmarkStart w:id="1" w:name="_Toc172360661"/>
      <w:bookmarkStart w:id="2" w:name="_Toc158978330"/>
      <w:bookmarkStart w:id="3" w:name="_Toc219271393"/>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44408AFA">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59C2C960">
      <w:pPr>
        <w:tabs>
          <w:tab w:val="left" w:pos="900"/>
        </w:tabs>
        <w:spacing w:before="156" w:beforeLines="5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本项目采购高温（5</w:t>
      </w:r>
      <w:r>
        <w:rPr>
          <w:rFonts w:ascii="宋体" w:hAnsi="宋体"/>
          <w:color w:val="000000" w:themeColor="text1"/>
          <w:szCs w:val="21"/>
          <w14:textFill>
            <w14:solidFill>
              <w14:schemeClr w14:val="tx1"/>
            </w14:solidFill>
          </w14:textFill>
        </w:rPr>
        <w:t>00-1000</w:t>
      </w:r>
      <w:r>
        <w:rPr>
          <w:rFonts w:hint="eastAsia" w:ascii="宋体" w:hAnsi="宋体"/>
          <w:color w:val="000000" w:themeColor="text1"/>
          <w:szCs w:val="21"/>
          <w14:textFill>
            <w14:solidFill>
              <w14:schemeClr w14:val="tx1"/>
            </w14:solidFill>
          </w14:textFill>
        </w:rPr>
        <w:t>℃）荧光寿命测量设备1套，主要用于测量自主研发的稀土掺杂温敏陶瓷薄膜在高温下的荧光寿命特性，反馈材料微观结构信息。</w:t>
      </w:r>
    </w:p>
    <w:p w14:paraId="7B206492">
      <w:pPr>
        <w:tabs>
          <w:tab w:val="left" w:pos="900"/>
        </w:tabs>
        <w:spacing w:before="156" w:beforeLines="50" w:line="360" w:lineRule="auto"/>
        <w:rPr>
          <w:b/>
          <w:szCs w:val="21"/>
        </w:rPr>
      </w:pPr>
      <w:r>
        <w:rPr>
          <w:rFonts w:hAnsi="宋体"/>
          <w:b/>
          <w:szCs w:val="21"/>
        </w:rPr>
        <w:t>（二）为落实政府采购政策需满足的要求</w:t>
      </w:r>
    </w:p>
    <w:p w14:paraId="24BF2762">
      <w:pPr>
        <w:tabs>
          <w:tab w:val="left" w:pos="900"/>
        </w:tabs>
        <w:spacing w:line="360" w:lineRule="auto"/>
        <w:ind w:left="420"/>
        <w:rPr>
          <w:rFonts w:hint="eastAsia" w:hAnsi="宋体"/>
          <w:szCs w:val="21"/>
        </w:rPr>
      </w:pPr>
      <w:r>
        <w:rPr>
          <w:rFonts w:hint="eastAsia" w:hAnsi="宋体"/>
          <w:szCs w:val="24"/>
        </w:rPr>
        <w:t>1</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54569545">
      <w:pPr>
        <w:tabs>
          <w:tab w:val="left" w:pos="900"/>
        </w:tabs>
        <w:spacing w:line="360" w:lineRule="auto"/>
        <w:ind w:left="420"/>
        <w:rPr>
          <w:rFonts w:hint="eastAsia" w:hAnsi="宋体"/>
          <w:color w:val="FF0000"/>
          <w:szCs w:val="24"/>
        </w:rPr>
      </w:pPr>
      <w:r>
        <w:rPr>
          <w:rFonts w:hint="eastAsia" w:hAnsi="宋体"/>
          <w:szCs w:val="24"/>
        </w:rPr>
        <w:t>本项目采购标的对应的《中小企业划型标准规定》所属行业为：</w:t>
      </w:r>
      <w:r>
        <w:rPr>
          <w:rFonts w:hint="eastAsia" w:hAnsi="宋体"/>
          <w:szCs w:val="24"/>
          <w:u w:val="single"/>
        </w:rPr>
        <w:t xml:space="preserve"> </w:t>
      </w:r>
      <w:r>
        <w:rPr>
          <w:rFonts w:hAnsi="宋体"/>
          <w:szCs w:val="24"/>
          <w:u w:val="single"/>
        </w:rPr>
        <w:t xml:space="preserve">  </w:t>
      </w:r>
      <w:r>
        <w:rPr>
          <w:rFonts w:hint="eastAsia" w:hAnsi="宋体"/>
          <w:color w:val="000000" w:themeColor="text1"/>
          <w:szCs w:val="24"/>
          <w:u w:val="single"/>
          <w14:textFill>
            <w14:solidFill>
              <w14:schemeClr w14:val="tx1"/>
            </w14:solidFill>
          </w14:textFill>
        </w:rPr>
        <w:t>工业</w:t>
      </w:r>
      <w:r>
        <w:rPr>
          <w:rFonts w:hAnsi="宋体"/>
          <w:szCs w:val="24"/>
          <w:u w:val="single"/>
        </w:rPr>
        <w:t xml:space="preserve">    </w:t>
      </w:r>
      <w:r>
        <w:rPr>
          <w:rFonts w:hint="eastAsia" w:hAnsi="宋体"/>
          <w:szCs w:val="24"/>
        </w:rPr>
        <w:t>。</w:t>
      </w:r>
    </w:p>
    <w:p w14:paraId="18A95A86">
      <w:pPr>
        <w:tabs>
          <w:tab w:val="left" w:pos="900"/>
        </w:tabs>
        <w:spacing w:line="360" w:lineRule="auto"/>
        <w:ind w:left="420"/>
        <w:rPr>
          <w:rFonts w:hint="eastAsia" w:cs="宋体" w:asciiTheme="minorEastAsia" w:hAnsiTheme="minorEastAsia"/>
          <w:b/>
          <w:color w:val="000000"/>
          <w:kern w:val="0"/>
          <w:sz w:val="20"/>
          <w:szCs w:val="21"/>
        </w:rPr>
      </w:pPr>
      <w:r>
        <w:rPr>
          <w:rFonts w:hAnsi="宋体"/>
          <w:color w:val="000000" w:themeColor="text1"/>
          <w:szCs w:val="24"/>
          <w14:textFill>
            <w14:solidFill>
              <w14:schemeClr w14:val="tx1"/>
            </w14:solidFill>
          </w14:textFill>
        </w:rPr>
        <w:t>2.</w:t>
      </w:r>
      <w:r>
        <w:rPr>
          <w:rFonts w:hint="eastAsia" w:cs="宋体" w:asciiTheme="minorEastAsia" w:hAnsiTheme="minorEastAsia"/>
          <w:color w:val="000000"/>
          <w:kern w:val="0"/>
          <w:sz w:val="20"/>
          <w:szCs w:val="21"/>
        </w:rPr>
        <w:t xml:space="preserve"> </w:t>
      </w:r>
      <w:r>
        <w:rPr>
          <w:rFonts w:hint="eastAsia" w:cs="宋体" w:asciiTheme="minorEastAsia" w:hAnsiTheme="minorEastAsia"/>
          <w:b/>
          <w:color w:val="000000"/>
          <w:kern w:val="0"/>
          <w:sz w:val="20"/>
          <w:szCs w:val="21"/>
          <w:lang w:eastAsia="zh-CN"/>
        </w:rPr>
        <w:t>☑</w:t>
      </w:r>
      <w:r>
        <w:rPr>
          <w:rFonts w:hint="eastAsia" w:cs="宋体" w:asciiTheme="minorEastAsia" w:hAnsiTheme="minorEastAsia"/>
          <w:b/>
          <w:color w:val="000000"/>
          <w:kern w:val="0"/>
          <w:sz w:val="20"/>
          <w:szCs w:val="21"/>
        </w:rPr>
        <w:t xml:space="preserve"> 本采购项目允许进口产品参加。</w:t>
      </w:r>
    </w:p>
    <w:p w14:paraId="34029415">
      <w:pPr>
        <w:tabs>
          <w:tab w:val="left" w:pos="900"/>
        </w:tabs>
        <w:spacing w:line="360" w:lineRule="auto"/>
        <w:ind w:left="420" w:firstLine="201" w:firstLineChars="100"/>
        <w:rPr>
          <w:rFonts w:hint="eastAsia" w:cs="宋体" w:asciiTheme="minorEastAsia" w:hAnsiTheme="minorEastAsia"/>
          <w:b/>
          <w:color w:val="000000"/>
          <w:kern w:val="0"/>
          <w:sz w:val="20"/>
          <w:szCs w:val="21"/>
        </w:rPr>
      </w:pPr>
      <w:r>
        <w:rPr>
          <w:rFonts w:hint="eastAsia" w:cs="宋体" w:asciiTheme="minorEastAsia" w:hAnsiTheme="minorEastAsia"/>
          <w:b/>
          <w:color w:val="000000"/>
          <w:kern w:val="0"/>
          <w:sz w:val="20"/>
          <w:szCs w:val="21"/>
        </w:rPr>
        <w:t>（说明：请项目单位根据采购实际情况在“□”中打勾（</w:t>
      </w:r>
      <w:r>
        <w:rPr>
          <w:rFonts w:hint="eastAsia" w:cs="宋体" w:asciiTheme="minorEastAsia" w:hAnsiTheme="minorEastAsia"/>
          <w:b/>
          <w:color w:val="000000"/>
          <w:kern w:val="0"/>
          <w:sz w:val="24"/>
          <w:szCs w:val="24"/>
        </w:rPr>
        <w:sym w:font="Wingdings 2" w:char="F052"/>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0"/>
          <w:szCs w:val="21"/>
        </w:rPr>
        <w:t>。未进行勾选的，视为只接受本国产品参加）</w:t>
      </w:r>
    </w:p>
    <w:p w14:paraId="76F91C72">
      <w:pPr>
        <w:tabs>
          <w:tab w:val="left" w:pos="900"/>
        </w:tabs>
        <w:spacing w:before="156" w:beforeLines="50" w:line="360" w:lineRule="auto"/>
        <w:rPr>
          <w:rFonts w:hint="eastAsia"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23E3372E">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EC89967">
      <w:pPr>
        <w:tabs>
          <w:tab w:val="left" w:pos="900"/>
        </w:tabs>
        <w:spacing w:before="156" w:beforeLines="50" w:line="360" w:lineRule="auto"/>
        <w:rPr>
          <w:rFonts w:hint="eastAsia" w:hAnsi="宋体"/>
          <w:b/>
          <w:szCs w:val="21"/>
        </w:rPr>
      </w:pPr>
      <w:r>
        <w:rPr>
          <w:rFonts w:hint="eastAsia" w:hAnsi="宋体"/>
          <w:b/>
          <w:szCs w:val="21"/>
        </w:rPr>
        <w:t>三、采购标的概况</w:t>
      </w:r>
    </w:p>
    <w:p w14:paraId="50B1FF60">
      <w:pPr>
        <w:spacing w:before="156" w:beforeLines="50" w:line="360" w:lineRule="auto"/>
        <w:rPr>
          <w:rFonts w:hint="eastAsia" w:hAnsi="宋体"/>
          <w:szCs w:val="21"/>
        </w:rPr>
      </w:pPr>
      <w:r>
        <w:rPr>
          <w:rFonts w:hint="eastAsia" w:ascii="宋体" w:hAnsi="宋体"/>
          <w:szCs w:val="21"/>
        </w:rPr>
        <w:t>（一）采购项目名称：</w:t>
      </w:r>
      <w:r>
        <w:rPr>
          <w:rFonts w:hint="eastAsia" w:ascii="宋体" w:hAnsi="宋体"/>
          <w:szCs w:val="21"/>
          <w:u w:val="single"/>
        </w:rPr>
        <w:t>高温荧光寿命测量设备</w:t>
      </w:r>
      <w:r>
        <w:rPr>
          <w:rFonts w:hAnsi="宋体"/>
          <w:szCs w:val="21"/>
        </w:rPr>
        <w:t xml:space="preserve">   </w:t>
      </w:r>
    </w:p>
    <w:p w14:paraId="579EE27C">
      <w:pPr>
        <w:spacing w:before="156" w:beforeLines="50" w:line="360" w:lineRule="auto"/>
        <w:rPr>
          <w:rFonts w:hint="eastAsia" w:hAnsi="宋体"/>
          <w:szCs w:val="21"/>
          <w:u w:val="single"/>
        </w:rPr>
      </w:pPr>
      <w:r>
        <w:rPr>
          <w:rFonts w:hint="eastAsia" w:hAnsi="宋体"/>
          <w:szCs w:val="21"/>
        </w:rPr>
        <w:t xml:space="preserve">（二）采购数量及计量单位： </w:t>
      </w:r>
      <w:r>
        <w:rPr>
          <w:rFonts w:hAnsi="宋体"/>
          <w:szCs w:val="21"/>
          <w:u w:val="single"/>
        </w:rPr>
        <w:t>1</w:t>
      </w:r>
      <w:r>
        <w:rPr>
          <w:rFonts w:hint="eastAsia" w:hAnsi="宋体"/>
          <w:szCs w:val="21"/>
          <w:u w:val="single"/>
        </w:rPr>
        <w:t xml:space="preserve">套 </w:t>
      </w:r>
    </w:p>
    <w:p w14:paraId="05639C5F">
      <w:pPr>
        <w:spacing w:before="156" w:beforeLines="50" w:line="360" w:lineRule="auto"/>
        <w:rPr>
          <w:rFonts w:hint="eastAsia" w:hAnsi="宋体"/>
          <w:szCs w:val="21"/>
        </w:rPr>
      </w:pPr>
      <w:r>
        <w:rPr>
          <w:rFonts w:hint="eastAsia" w:hAnsi="宋体"/>
          <w:szCs w:val="21"/>
        </w:rPr>
        <w:t xml:space="preserve">（三）最高限价：人民币 </w:t>
      </w:r>
      <w:r>
        <w:rPr>
          <w:rFonts w:hAnsi="宋体"/>
          <w:szCs w:val="21"/>
          <w:u w:val="single"/>
        </w:rPr>
        <w:t xml:space="preserve">800000 </w:t>
      </w:r>
      <w:r>
        <w:rPr>
          <w:rFonts w:hint="eastAsia" w:hAnsi="宋体"/>
          <w:szCs w:val="21"/>
        </w:rPr>
        <w:t>元。</w:t>
      </w:r>
    </w:p>
    <w:p w14:paraId="59729C83">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lang w:val="en-US" w:eastAsia="zh-CN"/>
        </w:rPr>
        <w:t>40</w:t>
      </w:r>
      <w:r>
        <w:rPr>
          <w:rFonts w:hAnsi="宋体"/>
          <w:u w:val="single"/>
        </w:rPr>
        <w:t xml:space="preserve"> </w:t>
      </w:r>
      <w:r>
        <w:rPr>
          <w:rFonts w:hint="eastAsia" w:hAnsi="宋体"/>
        </w:rPr>
        <w:t>天内。</w:t>
      </w:r>
    </w:p>
    <w:p w14:paraId="1CEB29AE">
      <w:pPr>
        <w:tabs>
          <w:tab w:val="left" w:pos="900"/>
        </w:tabs>
        <w:spacing w:before="156" w:beforeLines="50" w:line="360" w:lineRule="auto"/>
        <w:rPr>
          <w:rFonts w:hint="eastAsia" w:hAnsi="宋体"/>
          <w:szCs w:val="21"/>
        </w:rPr>
      </w:pPr>
      <w:r>
        <w:rPr>
          <w:rFonts w:hint="eastAsia" w:hAnsi="宋体"/>
          <w:szCs w:val="21"/>
        </w:rPr>
        <w:t>（五）</w:t>
      </w:r>
      <w:r>
        <w:rPr>
          <w:rFonts w:hAnsi="宋体"/>
          <w:szCs w:val="21"/>
        </w:rPr>
        <w:t>交付地点：</w:t>
      </w:r>
      <w:r>
        <w:rPr>
          <w:rFonts w:hint="eastAsia" w:hAnsi="宋体"/>
          <w:szCs w:val="21"/>
          <w:u w:val="single"/>
        </w:rPr>
        <w:t>西安交通大学创新港2号巨构</w:t>
      </w:r>
      <w:r>
        <w:rPr>
          <w:rFonts w:hint="eastAsia" w:hAnsi="宋体"/>
          <w:szCs w:val="21"/>
        </w:rPr>
        <w:t>。</w:t>
      </w:r>
    </w:p>
    <w:p w14:paraId="7144003A">
      <w:pPr>
        <w:tabs>
          <w:tab w:val="left" w:pos="900"/>
        </w:tabs>
        <w:spacing w:before="156" w:beforeLines="50" w:line="360" w:lineRule="auto"/>
        <w:rPr>
          <w:rFonts w:hint="eastAsia" w:hAnsi="宋体"/>
          <w:szCs w:val="21"/>
          <w:u w:val="single"/>
        </w:rPr>
      </w:pPr>
      <w:r>
        <w:rPr>
          <w:rFonts w:hint="eastAsia" w:hAnsi="宋体"/>
          <w:szCs w:val="21"/>
        </w:rPr>
        <w:t>（六）付款进度安排：</w:t>
      </w:r>
      <w:r>
        <w:rPr>
          <w:rFonts w:hint="eastAsia" w:hAnsi="宋体"/>
          <w:szCs w:val="21"/>
          <w:u w:val="single"/>
          <w:lang w:val="en-US" w:eastAsia="zh-CN"/>
        </w:rPr>
        <w:t>内贸货物：</w:t>
      </w:r>
      <w:r>
        <w:rPr>
          <w:rFonts w:hint="eastAsia" w:hAnsi="宋体"/>
          <w:szCs w:val="21"/>
          <w:u w:val="single"/>
        </w:rPr>
        <w:t>验收合格后付全款</w:t>
      </w:r>
    </w:p>
    <w:p w14:paraId="23E520F7">
      <w:pPr>
        <w:tabs>
          <w:tab w:val="left" w:pos="900"/>
        </w:tabs>
        <w:spacing w:before="156" w:beforeLines="50" w:line="360" w:lineRule="auto"/>
        <w:ind w:left="2100" w:leftChars="1000" w:firstLine="0" w:firstLineChars="0"/>
        <w:rPr>
          <w:rFonts w:hint="eastAsia" w:hAnsi="宋体"/>
          <w:szCs w:val="21"/>
        </w:rPr>
      </w:pPr>
      <w:r>
        <w:rPr>
          <w:rFonts w:hint="eastAsia" w:hAnsi="宋体"/>
          <w:szCs w:val="21"/>
          <w:u w:val="single"/>
          <w:lang w:val="en-US" w:eastAsia="zh-CN"/>
        </w:rPr>
        <w:t>外贸货物：按国际惯例开具100%信用证，见运单解付90%，余款验收合格后解付</w:t>
      </w:r>
      <w:r>
        <w:rPr>
          <w:rFonts w:hAnsi="宋体"/>
          <w:szCs w:val="21"/>
          <w:u w:val="single"/>
        </w:rPr>
        <w:t xml:space="preserve">   </w:t>
      </w:r>
      <w:r>
        <w:rPr>
          <w:rFonts w:hint="eastAsia" w:hAnsi="宋体"/>
          <w:szCs w:val="21"/>
        </w:rPr>
        <w:t>。</w:t>
      </w:r>
      <w:bookmarkStart w:id="4" w:name="_GoBack"/>
      <w:bookmarkEnd w:id="4"/>
    </w:p>
    <w:p w14:paraId="1E6D1BB3">
      <w:pPr>
        <w:tabs>
          <w:tab w:val="left" w:pos="900"/>
        </w:tabs>
        <w:spacing w:before="156" w:beforeLines="50" w:line="360" w:lineRule="auto"/>
        <w:rPr>
          <w:rFonts w:hint="eastAsia"/>
          <w:b/>
          <w:bCs/>
          <w:szCs w:val="21"/>
        </w:rPr>
      </w:pPr>
      <w:r>
        <w:rPr>
          <w:rFonts w:hint="eastAsia" w:hAnsi="宋体"/>
          <w:b/>
          <w:szCs w:val="21"/>
        </w:rPr>
        <w:t>四、采购标的需满足的质量、安全、技术规格、物理特性等要求：</w:t>
      </w:r>
    </w:p>
    <w:p w14:paraId="4F371954">
      <w:pPr>
        <w:tabs>
          <w:tab w:val="left" w:pos="900"/>
        </w:tabs>
        <w:spacing w:before="156" w:beforeLines="50" w:line="360" w:lineRule="auto"/>
        <w:ind w:firstLine="0" w:firstLineChars="0"/>
        <w:rPr>
          <w:b/>
          <w:bCs/>
          <w:szCs w:val="21"/>
        </w:rPr>
      </w:pPr>
      <w:r>
        <w:rPr>
          <w:b/>
          <w:bCs/>
          <w:szCs w:val="21"/>
        </w:rPr>
        <w:t>1.</w:t>
      </w:r>
      <w:r>
        <w:rPr>
          <w:rFonts w:hint="eastAsia"/>
          <w:b/>
          <w:bCs/>
          <w:szCs w:val="21"/>
        </w:rPr>
        <w:t>设备原理和组成</w:t>
      </w:r>
    </w:p>
    <w:p w14:paraId="2AF9B7A9">
      <w:pPr>
        <w:tabs>
          <w:tab w:val="left" w:pos="900"/>
        </w:tabs>
        <w:spacing w:before="156" w:beforeLines="50" w:line="360" w:lineRule="auto"/>
        <w:ind w:firstLine="420" w:firstLineChars="200"/>
        <w:rPr>
          <w:szCs w:val="21"/>
        </w:rPr>
      </w:pPr>
      <w:r>
        <w:rPr>
          <w:rFonts w:hint="eastAsia"/>
          <w:szCs w:val="21"/>
        </w:rPr>
        <w:t>该设备基于光致发光原理进行荧光/磷光的光谱和寿命检测。通过特定波长的激光激发样品表面温敏薄膜中的稀土元素后，使其跃迁至高能激发态，撤去激发光后，激发态返回基态会产生荧光或磷光，其衰减过程(即荧光/磷光寿命)是反映材料微观结构特征的关键参数。荧光/磷光寿命对环境条件具有高敏感性，可作为研究微观结构反应环境变化的核心观测对象。该设备围绕高精度光学测量需求设计，包括提供稳定激发光源的激光器、集成高灵敏度探测器的荧光信号测量模块(可精准采集荧光衰减曲线，尤其捕捉微弱延迟荧光信号)、减少光路损耗且抗干扰的激发/接收复合探头、负责系统控制与数据处理的微型计算机及配套测控软件(支持 5</w:t>
      </w:r>
      <w:r>
        <w:rPr>
          <w:szCs w:val="21"/>
        </w:rPr>
        <w:t>0</w:t>
      </w:r>
      <w:r>
        <w:rPr>
          <w:rFonts w:hint="eastAsia"/>
          <w:szCs w:val="21"/>
        </w:rPr>
        <w:t>x5</w:t>
      </w:r>
      <w:r>
        <w:rPr>
          <w:szCs w:val="21"/>
        </w:rPr>
        <w:t xml:space="preserve">0 </w:t>
      </w:r>
      <w:r>
        <w:rPr>
          <w:rFonts w:hint="eastAsia"/>
          <w:szCs w:val="21"/>
        </w:rPr>
        <w:t>mm 区域自动化逐点扫描或二维成像)，同时具备高温适配设计(核心部件耐受高温)和便携式集成架构(块化组装，便于移动部署)，可实现对不同型号、不同元素掺杂的温敏薄膜进行荧光寿命特性标定，深入研究其微观结构与荧光衰减规律的关联，为多样化实验场景下的材料微观结构研究提供高精度、高空间分辨率的实验数据支撑。</w:t>
      </w:r>
    </w:p>
    <w:p w14:paraId="1AE18656">
      <w:pPr>
        <w:tabs>
          <w:tab w:val="left" w:pos="900"/>
        </w:tabs>
        <w:spacing w:before="156" w:beforeLines="50" w:line="360" w:lineRule="auto"/>
        <w:ind w:firstLine="0" w:firstLineChars="0"/>
        <w:rPr>
          <w:b/>
          <w:bCs/>
          <w:szCs w:val="21"/>
        </w:rPr>
      </w:pPr>
      <w:r>
        <w:rPr>
          <w:b/>
          <w:bCs/>
          <w:szCs w:val="21"/>
        </w:rPr>
        <w:t>2.</w:t>
      </w:r>
      <w:r>
        <w:rPr>
          <w:rFonts w:hint="eastAsia"/>
          <w:b/>
          <w:bCs/>
          <w:szCs w:val="21"/>
        </w:rPr>
        <w:t>供货清单</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5"/>
        <w:gridCol w:w="3852"/>
      </w:tblGrid>
      <w:tr w14:paraId="5C84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5" w:type="dxa"/>
          </w:tcPr>
          <w:p w14:paraId="45A33DAA">
            <w:pPr>
              <w:tabs>
                <w:tab w:val="left" w:pos="900"/>
              </w:tabs>
              <w:spacing w:before="156" w:beforeLines="50"/>
              <w:rPr>
                <w:b/>
                <w:bCs/>
                <w:szCs w:val="21"/>
              </w:rPr>
            </w:pPr>
            <w:r>
              <w:rPr>
                <w:rFonts w:hint="eastAsia"/>
                <w:b/>
                <w:bCs/>
                <w:szCs w:val="21"/>
              </w:rPr>
              <w:t>配件名称</w:t>
            </w:r>
          </w:p>
        </w:tc>
        <w:tc>
          <w:tcPr>
            <w:tcW w:w="3852" w:type="dxa"/>
          </w:tcPr>
          <w:p w14:paraId="22817C26">
            <w:pPr>
              <w:tabs>
                <w:tab w:val="left" w:pos="900"/>
              </w:tabs>
              <w:spacing w:before="156" w:beforeLines="50"/>
              <w:rPr>
                <w:b/>
                <w:bCs/>
                <w:szCs w:val="21"/>
              </w:rPr>
            </w:pPr>
            <w:r>
              <w:rPr>
                <w:rFonts w:hint="eastAsia"/>
                <w:b/>
                <w:bCs/>
                <w:szCs w:val="21"/>
              </w:rPr>
              <w:t>数量</w:t>
            </w:r>
          </w:p>
        </w:tc>
      </w:tr>
      <w:tr w14:paraId="7507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5" w:type="dxa"/>
          </w:tcPr>
          <w:p w14:paraId="63FCDAA8">
            <w:pPr>
              <w:tabs>
                <w:tab w:val="left" w:pos="900"/>
              </w:tabs>
              <w:spacing w:before="156" w:beforeLines="50"/>
              <w:rPr>
                <w:szCs w:val="21"/>
              </w:rPr>
            </w:pPr>
            <w:r>
              <w:rPr>
                <w:rFonts w:hint="eastAsia"/>
                <w:szCs w:val="21"/>
              </w:rPr>
              <w:t>脉冲激发系统</w:t>
            </w:r>
          </w:p>
        </w:tc>
        <w:tc>
          <w:tcPr>
            <w:tcW w:w="3852" w:type="dxa"/>
          </w:tcPr>
          <w:p w14:paraId="765D515E">
            <w:pPr>
              <w:tabs>
                <w:tab w:val="left" w:pos="900"/>
              </w:tabs>
              <w:spacing w:before="156" w:beforeLines="50"/>
              <w:rPr>
                <w:szCs w:val="21"/>
              </w:rPr>
            </w:pPr>
            <w:r>
              <w:rPr>
                <w:rFonts w:hint="eastAsia"/>
                <w:szCs w:val="21"/>
              </w:rPr>
              <w:t>1 套</w:t>
            </w:r>
          </w:p>
        </w:tc>
      </w:tr>
      <w:tr w14:paraId="1D6D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5" w:type="dxa"/>
          </w:tcPr>
          <w:p w14:paraId="3D551949">
            <w:pPr>
              <w:tabs>
                <w:tab w:val="left" w:pos="900"/>
              </w:tabs>
              <w:spacing w:before="156" w:beforeLines="50"/>
              <w:rPr>
                <w:szCs w:val="21"/>
              </w:rPr>
            </w:pPr>
            <w:r>
              <w:rPr>
                <w:rFonts w:hint="eastAsia"/>
                <w:szCs w:val="21"/>
              </w:rPr>
              <w:t>荧光信号测量模块（光谱仪+ICCD相机或光电倍增管+示波器）</w:t>
            </w:r>
          </w:p>
        </w:tc>
        <w:tc>
          <w:tcPr>
            <w:tcW w:w="3852" w:type="dxa"/>
          </w:tcPr>
          <w:p w14:paraId="04B7E236">
            <w:pPr>
              <w:tabs>
                <w:tab w:val="left" w:pos="900"/>
              </w:tabs>
              <w:spacing w:before="156" w:beforeLines="50"/>
              <w:rPr>
                <w:szCs w:val="21"/>
              </w:rPr>
            </w:pPr>
            <w:r>
              <w:rPr>
                <w:szCs w:val="21"/>
              </w:rPr>
              <w:t>1</w:t>
            </w:r>
            <w:r>
              <w:rPr>
                <w:rFonts w:hint="eastAsia"/>
                <w:szCs w:val="21"/>
              </w:rPr>
              <w:t xml:space="preserve"> 套</w:t>
            </w:r>
          </w:p>
        </w:tc>
      </w:tr>
      <w:tr w14:paraId="62C9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5" w:type="dxa"/>
          </w:tcPr>
          <w:p w14:paraId="6C2C3582">
            <w:pPr>
              <w:tabs>
                <w:tab w:val="left" w:pos="900"/>
              </w:tabs>
              <w:spacing w:before="156" w:beforeLines="50"/>
              <w:rPr>
                <w:szCs w:val="21"/>
              </w:rPr>
            </w:pPr>
            <w:r>
              <w:rPr>
                <w:rFonts w:hint="eastAsia"/>
                <w:szCs w:val="21"/>
              </w:rPr>
              <w:t>控制系统（电脑）</w:t>
            </w:r>
          </w:p>
        </w:tc>
        <w:tc>
          <w:tcPr>
            <w:tcW w:w="3852" w:type="dxa"/>
          </w:tcPr>
          <w:p w14:paraId="770DAD97">
            <w:pPr>
              <w:tabs>
                <w:tab w:val="left" w:pos="900"/>
              </w:tabs>
              <w:spacing w:before="156" w:beforeLines="50"/>
              <w:rPr>
                <w:szCs w:val="21"/>
              </w:rPr>
            </w:pPr>
            <w:r>
              <w:rPr>
                <w:rFonts w:hint="eastAsia"/>
                <w:szCs w:val="21"/>
              </w:rPr>
              <w:t>1台</w:t>
            </w:r>
          </w:p>
        </w:tc>
      </w:tr>
      <w:tr w14:paraId="6591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5" w:type="dxa"/>
          </w:tcPr>
          <w:p w14:paraId="370D96F0">
            <w:pPr>
              <w:tabs>
                <w:tab w:val="left" w:pos="900"/>
              </w:tabs>
              <w:spacing w:before="156" w:beforeLines="50"/>
              <w:rPr>
                <w:szCs w:val="21"/>
              </w:rPr>
            </w:pPr>
            <w:r>
              <w:rPr>
                <w:rFonts w:hint="eastAsia"/>
                <w:szCs w:val="21"/>
              </w:rPr>
              <w:t>滤光片（606、585、544、485、456nm）（备品）</w:t>
            </w:r>
          </w:p>
        </w:tc>
        <w:tc>
          <w:tcPr>
            <w:tcW w:w="3852" w:type="dxa"/>
          </w:tcPr>
          <w:p w14:paraId="1F644AAF">
            <w:pPr>
              <w:tabs>
                <w:tab w:val="left" w:pos="900"/>
              </w:tabs>
              <w:spacing w:before="156" w:beforeLines="50"/>
              <w:rPr>
                <w:szCs w:val="21"/>
              </w:rPr>
            </w:pPr>
            <w:r>
              <w:rPr>
                <w:rFonts w:hint="eastAsia"/>
                <w:szCs w:val="21"/>
              </w:rPr>
              <w:t>每种不少于</w:t>
            </w:r>
            <w:r>
              <w:rPr>
                <w:szCs w:val="21"/>
              </w:rPr>
              <w:t>5</w:t>
            </w:r>
            <w:r>
              <w:rPr>
                <w:rFonts w:hint="eastAsia"/>
                <w:szCs w:val="21"/>
              </w:rPr>
              <w:t>个</w:t>
            </w:r>
          </w:p>
        </w:tc>
      </w:tr>
      <w:tr w14:paraId="28F3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5" w:type="dxa"/>
          </w:tcPr>
          <w:p w14:paraId="2733C6B7">
            <w:pPr>
              <w:tabs>
                <w:tab w:val="left" w:pos="900"/>
              </w:tabs>
              <w:spacing w:before="156" w:beforeLines="50"/>
              <w:rPr>
                <w:szCs w:val="21"/>
              </w:rPr>
            </w:pPr>
            <w:r>
              <w:rPr>
                <w:rFonts w:hint="eastAsia"/>
                <w:szCs w:val="21"/>
              </w:rPr>
              <w:t>传输光纤（备品）</w:t>
            </w:r>
          </w:p>
        </w:tc>
        <w:tc>
          <w:tcPr>
            <w:tcW w:w="3852" w:type="dxa"/>
          </w:tcPr>
          <w:p w14:paraId="085B12FB">
            <w:pPr>
              <w:tabs>
                <w:tab w:val="left" w:pos="900"/>
              </w:tabs>
              <w:spacing w:before="156" w:beforeLines="50"/>
              <w:rPr>
                <w:szCs w:val="21"/>
              </w:rPr>
            </w:pPr>
            <w:r>
              <w:rPr>
                <w:rFonts w:hint="eastAsia"/>
                <w:szCs w:val="21"/>
              </w:rPr>
              <w:t>不少于2</w:t>
            </w:r>
            <w:r>
              <w:rPr>
                <w:szCs w:val="21"/>
              </w:rPr>
              <w:t>0m</w:t>
            </w:r>
          </w:p>
        </w:tc>
      </w:tr>
      <w:tr w14:paraId="0280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5" w:type="dxa"/>
          </w:tcPr>
          <w:p w14:paraId="2DD919EA">
            <w:pPr>
              <w:tabs>
                <w:tab w:val="left" w:pos="900"/>
              </w:tabs>
              <w:spacing w:before="156" w:beforeLines="50"/>
              <w:rPr>
                <w:rFonts w:hint="eastAsia"/>
                <w:szCs w:val="21"/>
              </w:rPr>
            </w:pPr>
            <w:r>
              <w:rPr>
                <w:rFonts w:hint="eastAsia"/>
                <w:szCs w:val="21"/>
              </w:rPr>
              <w:t>激发/接收复合采集探头</w:t>
            </w:r>
          </w:p>
        </w:tc>
        <w:tc>
          <w:tcPr>
            <w:tcW w:w="3852" w:type="dxa"/>
          </w:tcPr>
          <w:p w14:paraId="7CC3E6F8">
            <w:pPr>
              <w:tabs>
                <w:tab w:val="left" w:pos="900"/>
              </w:tabs>
              <w:spacing w:before="156" w:beforeLines="50"/>
              <w:rPr>
                <w:szCs w:val="21"/>
              </w:rPr>
            </w:pPr>
            <w:r>
              <w:rPr>
                <w:szCs w:val="21"/>
              </w:rPr>
              <w:t>1</w:t>
            </w:r>
            <w:r>
              <w:rPr>
                <w:rFonts w:hint="eastAsia"/>
                <w:szCs w:val="21"/>
              </w:rPr>
              <w:t xml:space="preserve"> 个</w:t>
            </w:r>
          </w:p>
        </w:tc>
      </w:tr>
      <w:tr w14:paraId="5BDE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5" w:type="dxa"/>
          </w:tcPr>
          <w:p w14:paraId="1C314FB4">
            <w:pPr>
              <w:tabs>
                <w:tab w:val="left" w:pos="900"/>
              </w:tabs>
              <w:spacing w:before="156" w:beforeLines="50"/>
              <w:rPr>
                <w:szCs w:val="21"/>
              </w:rPr>
            </w:pPr>
            <w:r>
              <w:rPr>
                <w:rFonts w:hint="eastAsia"/>
                <w:szCs w:val="21"/>
              </w:rPr>
              <w:t>配套控制软件</w:t>
            </w:r>
          </w:p>
        </w:tc>
        <w:tc>
          <w:tcPr>
            <w:tcW w:w="3852" w:type="dxa"/>
          </w:tcPr>
          <w:p w14:paraId="2ACB7F44">
            <w:pPr>
              <w:tabs>
                <w:tab w:val="left" w:pos="900"/>
              </w:tabs>
              <w:spacing w:before="156" w:beforeLines="50"/>
              <w:rPr>
                <w:rFonts w:hint="eastAsia"/>
                <w:szCs w:val="21"/>
              </w:rPr>
            </w:pPr>
            <w:r>
              <w:rPr>
                <w:rFonts w:hint="eastAsia"/>
                <w:szCs w:val="21"/>
              </w:rPr>
              <w:t>1 套</w:t>
            </w:r>
          </w:p>
        </w:tc>
      </w:tr>
    </w:tbl>
    <w:p w14:paraId="3E8CF1C8">
      <w:pPr>
        <w:tabs>
          <w:tab w:val="left" w:pos="900"/>
        </w:tabs>
        <w:spacing w:before="156" w:beforeLines="50" w:line="360" w:lineRule="auto"/>
        <w:ind w:firstLine="0" w:firstLineChars="0"/>
        <w:rPr>
          <w:rFonts w:hint="eastAsia"/>
          <w:szCs w:val="21"/>
        </w:rPr>
      </w:pPr>
    </w:p>
    <w:p w14:paraId="311A2142">
      <w:pPr>
        <w:tabs>
          <w:tab w:val="left" w:pos="900"/>
        </w:tabs>
        <w:spacing w:before="156" w:beforeLines="50" w:line="360" w:lineRule="auto"/>
        <w:ind w:firstLine="0" w:firstLineChars="0"/>
        <w:rPr>
          <w:b/>
          <w:bCs/>
          <w:szCs w:val="21"/>
        </w:rPr>
      </w:pPr>
      <w:r>
        <w:rPr>
          <w:b/>
          <w:bCs/>
          <w:szCs w:val="21"/>
        </w:rPr>
        <w:t>3.</w:t>
      </w:r>
      <w:r>
        <w:rPr>
          <w:rFonts w:hint="eastAsia"/>
          <w:b/>
          <w:bCs/>
          <w:szCs w:val="21"/>
        </w:rPr>
        <w:t>技术总体要求</w:t>
      </w:r>
    </w:p>
    <w:p w14:paraId="3DCDA355">
      <w:pPr>
        <w:tabs>
          <w:tab w:val="left" w:pos="900"/>
        </w:tabs>
        <w:spacing w:before="156" w:beforeLines="50" w:line="276" w:lineRule="auto"/>
        <w:ind w:firstLine="420" w:firstLineChars="200"/>
        <w:rPr>
          <w:bCs/>
          <w:szCs w:val="21"/>
        </w:rPr>
      </w:pPr>
      <w:r>
        <w:rPr>
          <w:bCs/>
          <w:szCs w:val="21"/>
        </w:rPr>
        <w:t>1)</w:t>
      </w:r>
      <w:r>
        <w:rPr>
          <w:rFonts w:hint="eastAsia"/>
          <w:bCs/>
          <w:szCs w:val="21"/>
        </w:rPr>
        <w:t>激光器激发波长</w:t>
      </w:r>
      <w:r>
        <w:rPr>
          <w:bCs/>
          <w:szCs w:val="21"/>
        </w:rPr>
        <w:t>266 nm</w:t>
      </w:r>
      <w:r>
        <w:rPr>
          <w:rFonts w:hint="eastAsia"/>
          <w:bCs/>
          <w:szCs w:val="21"/>
        </w:rPr>
        <w:t>或</w:t>
      </w:r>
      <w:r>
        <w:rPr>
          <w:bCs/>
          <w:szCs w:val="21"/>
        </w:rPr>
        <w:t>532nm</w:t>
      </w:r>
      <w:r>
        <w:rPr>
          <w:rFonts w:hint="eastAsia"/>
          <w:bCs/>
          <w:szCs w:val="21"/>
        </w:rPr>
        <w:t>；</w:t>
      </w:r>
    </w:p>
    <w:p w14:paraId="14FFC63A">
      <w:pPr>
        <w:tabs>
          <w:tab w:val="left" w:pos="900"/>
        </w:tabs>
        <w:spacing w:before="156" w:beforeLines="50" w:line="276" w:lineRule="auto"/>
        <w:ind w:firstLine="420" w:firstLineChars="200"/>
        <w:rPr>
          <w:bCs/>
          <w:szCs w:val="21"/>
        </w:rPr>
      </w:pPr>
      <w:r>
        <w:rPr>
          <w:bCs/>
          <w:szCs w:val="21"/>
        </w:rPr>
        <w:t>2)</w:t>
      </w:r>
      <w:r>
        <w:rPr>
          <w:rFonts w:hint="eastAsia"/>
          <w:bCs/>
          <w:szCs w:val="21"/>
        </w:rPr>
        <w:t>最高重复频率不小于</w:t>
      </w:r>
      <w:r>
        <w:rPr>
          <w:bCs/>
          <w:szCs w:val="21"/>
        </w:rPr>
        <w:t>20 kHz</w:t>
      </w:r>
      <w:r>
        <w:rPr>
          <w:rFonts w:hint="eastAsia"/>
          <w:bCs/>
          <w:szCs w:val="21"/>
        </w:rPr>
        <w:t>；</w:t>
      </w:r>
    </w:p>
    <w:p w14:paraId="33646A73">
      <w:pPr>
        <w:tabs>
          <w:tab w:val="left" w:pos="900"/>
        </w:tabs>
        <w:spacing w:before="156" w:beforeLines="50" w:line="276" w:lineRule="auto"/>
        <w:ind w:firstLine="420" w:firstLineChars="200"/>
        <w:rPr>
          <w:bCs/>
          <w:szCs w:val="21"/>
        </w:rPr>
      </w:pPr>
      <w:r>
        <w:rPr>
          <w:bCs/>
          <w:szCs w:val="21"/>
        </w:rPr>
        <w:t>3)</w:t>
      </w:r>
      <w:r>
        <w:rPr>
          <w:rFonts w:hint="eastAsia"/>
          <w:bCs/>
          <w:szCs w:val="21"/>
        </w:rPr>
        <w:t>最低重复频率不大于</w:t>
      </w:r>
      <w:r>
        <w:rPr>
          <w:bCs/>
          <w:szCs w:val="21"/>
        </w:rPr>
        <w:t>10 Hz</w:t>
      </w:r>
      <w:r>
        <w:rPr>
          <w:rFonts w:hint="eastAsia"/>
          <w:bCs/>
          <w:szCs w:val="21"/>
        </w:rPr>
        <w:t>；</w:t>
      </w:r>
    </w:p>
    <w:p w14:paraId="2E548D47">
      <w:pPr>
        <w:tabs>
          <w:tab w:val="left" w:pos="900"/>
        </w:tabs>
        <w:spacing w:before="156" w:beforeLines="50" w:line="276" w:lineRule="auto"/>
        <w:ind w:firstLine="420" w:firstLineChars="200"/>
        <w:rPr>
          <w:bCs/>
          <w:szCs w:val="21"/>
        </w:rPr>
      </w:pPr>
      <w:r>
        <w:rPr>
          <w:bCs/>
          <w:szCs w:val="21"/>
        </w:rPr>
        <w:t>4)</w:t>
      </w:r>
      <w:r>
        <w:rPr>
          <w:rFonts w:hint="eastAsia"/>
          <w:bCs/>
          <w:szCs w:val="21"/>
        </w:rPr>
        <w:t>单个脉冲功率大于等于</w:t>
      </w:r>
      <w:r>
        <w:rPr>
          <w:bCs/>
          <w:szCs w:val="21"/>
        </w:rPr>
        <w:t xml:space="preserve">10 </w:t>
      </w:r>
      <w:r>
        <w:rPr>
          <w:rFonts w:hint="eastAsia"/>
          <w:bCs/>
          <w:szCs w:val="21"/>
        </w:rPr>
        <w:t>μ</w:t>
      </w:r>
      <w:r>
        <w:rPr>
          <w:bCs/>
          <w:szCs w:val="21"/>
        </w:rPr>
        <w:t>J</w:t>
      </w:r>
      <w:r>
        <w:rPr>
          <w:rFonts w:hint="eastAsia"/>
          <w:bCs/>
          <w:szCs w:val="21"/>
        </w:rPr>
        <w:t>；</w:t>
      </w:r>
    </w:p>
    <w:p w14:paraId="7CBCABEA">
      <w:pPr>
        <w:tabs>
          <w:tab w:val="left" w:pos="900"/>
        </w:tabs>
        <w:spacing w:before="156" w:beforeLines="50" w:line="276" w:lineRule="auto"/>
        <w:ind w:firstLine="420" w:firstLineChars="200"/>
        <w:rPr>
          <w:bCs/>
          <w:szCs w:val="21"/>
        </w:rPr>
      </w:pPr>
      <w:r>
        <w:rPr>
          <w:bCs/>
          <w:szCs w:val="21"/>
        </w:rPr>
        <w:t>5)</w:t>
      </w:r>
      <w:r>
        <w:rPr>
          <w:rFonts w:hint="eastAsia"/>
          <w:bCs/>
          <w:szCs w:val="21"/>
        </w:rPr>
        <w:t>荧光寿命测量范围</w:t>
      </w:r>
      <w:r>
        <w:rPr>
          <w:bCs/>
          <w:szCs w:val="21"/>
        </w:rPr>
        <w:t>10 ms ~ 10</w:t>
      </w:r>
      <w:r>
        <w:rPr>
          <w:rFonts w:hint="eastAsia"/>
          <w:bCs/>
          <w:szCs w:val="21"/>
        </w:rPr>
        <w:t>μ</w:t>
      </w:r>
      <w:r>
        <w:rPr>
          <w:bCs/>
          <w:szCs w:val="21"/>
        </w:rPr>
        <w:t>s</w:t>
      </w:r>
      <w:r>
        <w:rPr>
          <w:rFonts w:hint="eastAsia"/>
          <w:bCs/>
          <w:szCs w:val="21"/>
        </w:rPr>
        <w:t>；</w:t>
      </w:r>
    </w:p>
    <w:p w14:paraId="29FB474C">
      <w:pPr>
        <w:tabs>
          <w:tab w:val="left" w:pos="900"/>
        </w:tabs>
        <w:spacing w:before="156" w:beforeLines="50" w:line="240" w:lineRule="auto"/>
        <w:ind w:firstLine="420" w:firstLineChars="200"/>
        <w:rPr>
          <w:rFonts w:hint="eastAsia"/>
          <w:szCs w:val="21"/>
        </w:rPr>
      </w:pPr>
      <w:r>
        <w:rPr>
          <w:bCs/>
          <w:szCs w:val="21"/>
        </w:rPr>
        <w:t>6)</w:t>
      </w:r>
      <w:r>
        <w:rPr>
          <w:rFonts w:hint="eastAsia"/>
          <w:bCs/>
          <w:szCs w:val="21"/>
        </w:rPr>
        <w:t>接收发射光波长</w:t>
      </w:r>
      <w:r>
        <w:rPr>
          <w:bCs/>
          <w:szCs w:val="21"/>
        </w:rPr>
        <w:t>350 nm~700nm</w:t>
      </w:r>
      <w:r>
        <w:rPr>
          <w:rFonts w:hint="eastAsia"/>
          <w:bCs/>
          <w:szCs w:val="21"/>
        </w:rPr>
        <w:t>。</w:t>
      </w:r>
    </w:p>
    <w:p w14:paraId="7BD8A0A7">
      <w:pPr>
        <w:tabs>
          <w:tab w:val="left" w:pos="900"/>
        </w:tabs>
        <w:spacing w:before="156" w:beforeLines="50" w:line="360" w:lineRule="auto"/>
        <w:ind w:firstLine="0" w:firstLineChars="0"/>
        <w:rPr>
          <w:b/>
          <w:bCs/>
          <w:szCs w:val="21"/>
        </w:rPr>
      </w:pPr>
      <w:r>
        <w:rPr>
          <w:b/>
          <w:bCs/>
          <w:szCs w:val="21"/>
        </w:rPr>
        <w:t>4.</w:t>
      </w:r>
      <w:r>
        <w:rPr>
          <w:rFonts w:hint="eastAsia"/>
          <w:b/>
          <w:bCs/>
          <w:szCs w:val="21"/>
        </w:rPr>
        <w:t>各模块具体技术要求</w:t>
      </w:r>
    </w:p>
    <w:p w14:paraId="69217DBB">
      <w:pPr>
        <w:tabs>
          <w:tab w:val="left" w:pos="900"/>
        </w:tabs>
        <w:spacing w:before="156" w:beforeLines="50" w:line="360" w:lineRule="auto"/>
        <w:ind w:firstLine="0" w:firstLineChars="0"/>
        <w:rPr>
          <w:szCs w:val="21"/>
        </w:rPr>
      </w:pPr>
      <w:r>
        <w:rPr>
          <w:rFonts w:hint="eastAsia"/>
          <w:szCs w:val="21"/>
        </w:rPr>
        <w:t>4.4.1 脉冲激发系统</w:t>
      </w:r>
    </w:p>
    <w:p w14:paraId="2EE95CE9">
      <w:pPr>
        <w:tabs>
          <w:tab w:val="left" w:pos="900"/>
        </w:tabs>
        <w:spacing w:before="156" w:beforeLines="50" w:line="360" w:lineRule="auto"/>
        <w:ind w:firstLine="420" w:firstLineChars="200"/>
        <w:rPr>
          <w:szCs w:val="21"/>
        </w:rPr>
      </w:pPr>
      <w:r>
        <w:rPr>
          <w:rFonts w:hint="eastAsia"/>
          <w:szCs w:val="21"/>
        </w:rPr>
        <w:t>（1）激光器激发波长为266或532nm；</w:t>
      </w:r>
    </w:p>
    <w:p w14:paraId="0F5AE8CD">
      <w:pPr>
        <w:tabs>
          <w:tab w:val="left" w:pos="900"/>
        </w:tabs>
        <w:spacing w:before="156" w:beforeLines="50" w:line="360" w:lineRule="auto"/>
        <w:ind w:firstLine="420" w:firstLineChars="200"/>
        <w:rPr>
          <w:rFonts w:hint="eastAsia"/>
          <w:szCs w:val="21"/>
        </w:rPr>
      </w:pPr>
      <w:r>
        <w:rPr>
          <w:rFonts w:hint="eastAsia"/>
          <w:szCs w:val="21"/>
        </w:rPr>
        <w:t>（2）激光器重复频率可在10~20kHz内调整；</w:t>
      </w:r>
    </w:p>
    <w:p w14:paraId="4606A934">
      <w:pPr>
        <w:tabs>
          <w:tab w:val="left" w:pos="900"/>
        </w:tabs>
        <w:spacing w:before="156" w:beforeLines="50" w:line="360" w:lineRule="auto"/>
        <w:ind w:firstLine="420" w:firstLineChars="200"/>
        <w:rPr>
          <w:szCs w:val="21"/>
        </w:rPr>
      </w:pPr>
      <w:r>
        <w:rPr>
          <w:rFonts w:hint="eastAsia"/>
          <w:szCs w:val="21"/>
        </w:rPr>
        <w:t>（3）激光器单脉冲能量大于等于10μJ；</w:t>
      </w:r>
    </w:p>
    <w:p w14:paraId="7077D349">
      <w:pPr>
        <w:tabs>
          <w:tab w:val="left" w:pos="900"/>
        </w:tabs>
        <w:spacing w:before="156" w:beforeLines="50" w:line="360" w:lineRule="auto"/>
        <w:ind w:firstLine="420" w:firstLineChars="200"/>
        <w:rPr>
          <w:szCs w:val="21"/>
        </w:rPr>
      </w:pPr>
      <w:r>
        <w:rPr>
          <w:rFonts w:hint="eastAsia"/>
          <w:szCs w:val="21"/>
        </w:rPr>
        <w:t>（4）激光器单脉冲功率大于等于40mW；</w:t>
      </w:r>
    </w:p>
    <w:p w14:paraId="0FF7CD8F">
      <w:pPr>
        <w:tabs>
          <w:tab w:val="left" w:pos="900"/>
        </w:tabs>
        <w:spacing w:before="156" w:beforeLines="50" w:line="360" w:lineRule="auto"/>
        <w:ind w:firstLine="420" w:firstLineChars="200"/>
        <w:rPr>
          <w:szCs w:val="21"/>
        </w:rPr>
      </w:pPr>
      <w:r>
        <w:rPr>
          <w:rFonts w:hint="eastAsia"/>
          <w:szCs w:val="21"/>
        </w:rPr>
        <w:t>（5）脉冲间能量稳定性小于10%。</w:t>
      </w:r>
    </w:p>
    <w:p w14:paraId="0B1F3428">
      <w:pPr>
        <w:tabs>
          <w:tab w:val="left" w:pos="900"/>
        </w:tabs>
        <w:spacing w:before="156" w:beforeLines="50" w:line="360" w:lineRule="auto"/>
        <w:ind w:firstLine="0" w:firstLineChars="0"/>
        <w:rPr>
          <w:szCs w:val="21"/>
        </w:rPr>
      </w:pPr>
      <w:r>
        <w:rPr>
          <w:rFonts w:hint="eastAsia"/>
          <w:szCs w:val="21"/>
        </w:rPr>
        <w:t>4.4.2 荧光信号测量模块</w:t>
      </w:r>
    </w:p>
    <w:p w14:paraId="0E0A0D6F">
      <w:pPr>
        <w:tabs>
          <w:tab w:val="left" w:pos="900"/>
        </w:tabs>
        <w:spacing w:before="156" w:beforeLines="50" w:line="360" w:lineRule="auto"/>
        <w:ind w:firstLine="420" w:firstLineChars="200"/>
        <w:rPr>
          <w:szCs w:val="21"/>
        </w:rPr>
      </w:pPr>
      <w:r>
        <w:rPr>
          <w:rFonts w:hint="eastAsia"/>
          <w:szCs w:val="21"/>
        </w:rPr>
        <w:t>荧光信号测量模块可采用两种方案，方案一为ICCD+光谱仪配套，方案二为示波器+光电倍增管配套。</w:t>
      </w:r>
    </w:p>
    <w:p w14:paraId="46F29987">
      <w:pPr>
        <w:tabs>
          <w:tab w:val="left" w:pos="900"/>
        </w:tabs>
        <w:spacing w:before="156" w:beforeLines="50" w:line="360" w:lineRule="auto"/>
        <w:ind w:firstLine="420" w:firstLineChars="200"/>
        <w:rPr>
          <w:rFonts w:hint="eastAsia"/>
          <w:szCs w:val="21"/>
        </w:rPr>
      </w:pPr>
      <w:r>
        <w:rPr>
          <w:rFonts w:hint="eastAsia"/>
          <w:szCs w:val="21"/>
        </w:rPr>
        <w:t>4.4.2.1 ICCD参数要求</w:t>
      </w:r>
    </w:p>
    <w:p w14:paraId="20D58D7A">
      <w:pPr>
        <w:tabs>
          <w:tab w:val="left" w:pos="900"/>
        </w:tabs>
        <w:spacing w:before="156" w:beforeLines="50" w:line="360" w:lineRule="auto"/>
        <w:ind w:firstLine="420" w:firstLineChars="200"/>
        <w:rPr>
          <w:szCs w:val="21"/>
        </w:rPr>
      </w:pPr>
      <w:r>
        <w:rPr>
          <w:rFonts w:hint="eastAsia"/>
          <w:szCs w:val="21"/>
        </w:rPr>
        <w:t>（1）像素不小于1650*200；</w:t>
      </w:r>
    </w:p>
    <w:p w14:paraId="6F081888">
      <w:pPr>
        <w:tabs>
          <w:tab w:val="left" w:pos="900"/>
        </w:tabs>
        <w:spacing w:before="156" w:beforeLines="50" w:line="360" w:lineRule="auto"/>
        <w:ind w:firstLine="420" w:firstLineChars="200"/>
        <w:rPr>
          <w:szCs w:val="21"/>
        </w:rPr>
      </w:pPr>
      <w:r>
        <w:rPr>
          <w:rFonts w:hint="eastAsia"/>
          <w:szCs w:val="21"/>
        </w:rPr>
        <w:t>（2）像素尺寸不大于16*16μm；</w:t>
      </w:r>
    </w:p>
    <w:p w14:paraId="63E696C7">
      <w:pPr>
        <w:tabs>
          <w:tab w:val="left" w:pos="900"/>
        </w:tabs>
        <w:spacing w:before="156" w:beforeLines="50" w:line="360" w:lineRule="auto"/>
        <w:ind w:firstLine="420" w:firstLineChars="200"/>
        <w:rPr>
          <w:szCs w:val="21"/>
        </w:rPr>
      </w:pPr>
      <w:r>
        <w:rPr>
          <w:rFonts w:hint="eastAsia"/>
          <w:szCs w:val="21"/>
        </w:rPr>
        <w:t>（3）读出速度不小于1.4MHz；</w:t>
      </w:r>
    </w:p>
    <w:p w14:paraId="221D5DD0">
      <w:pPr>
        <w:tabs>
          <w:tab w:val="left" w:pos="900"/>
        </w:tabs>
        <w:spacing w:before="156" w:beforeLines="50" w:line="360" w:lineRule="auto"/>
        <w:ind w:firstLine="420" w:firstLineChars="200"/>
        <w:rPr>
          <w:szCs w:val="21"/>
        </w:rPr>
      </w:pPr>
      <w:r>
        <w:rPr>
          <w:rFonts w:hint="eastAsia"/>
          <w:szCs w:val="21"/>
        </w:rPr>
        <w:t>（4）光谱采样率不小于266spectra/s；</w:t>
      </w:r>
    </w:p>
    <w:p w14:paraId="6557196E">
      <w:pPr>
        <w:tabs>
          <w:tab w:val="left" w:pos="900"/>
        </w:tabs>
        <w:spacing w:before="156" w:beforeLines="50" w:line="360" w:lineRule="auto"/>
        <w:ind w:firstLine="420" w:firstLineChars="200"/>
        <w:rPr>
          <w:szCs w:val="21"/>
        </w:rPr>
      </w:pPr>
      <w:r>
        <w:rPr>
          <w:rFonts w:hint="eastAsia"/>
          <w:szCs w:val="21"/>
        </w:rPr>
        <w:t>（5）灵敏度不小于500μA/lm；</w:t>
      </w:r>
    </w:p>
    <w:p w14:paraId="28883DD5">
      <w:pPr>
        <w:tabs>
          <w:tab w:val="left" w:pos="900"/>
        </w:tabs>
        <w:spacing w:before="156" w:beforeLines="50" w:line="360" w:lineRule="auto"/>
        <w:ind w:firstLine="420" w:firstLineChars="200"/>
        <w:rPr>
          <w:szCs w:val="21"/>
        </w:rPr>
      </w:pPr>
      <w:r>
        <w:rPr>
          <w:rFonts w:hint="eastAsia"/>
          <w:szCs w:val="21"/>
        </w:rPr>
        <w:t>（6）分辨能力不小于501p/mm；</w:t>
      </w:r>
    </w:p>
    <w:p w14:paraId="501D6E12">
      <w:pPr>
        <w:tabs>
          <w:tab w:val="left" w:pos="900"/>
        </w:tabs>
        <w:spacing w:before="156" w:beforeLines="50" w:line="360" w:lineRule="auto"/>
        <w:ind w:firstLine="420" w:firstLineChars="200"/>
        <w:rPr>
          <w:szCs w:val="21"/>
        </w:rPr>
      </w:pPr>
      <w:r>
        <w:rPr>
          <w:rFonts w:hint="eastAsia"/>
          <w:szCs w:val="21"/>
        </w:rPr>
        <w:t>（7）信噪比不小于20；</w:t>
      </w:r>
    </w:p>
    <w:p w14:paraId="5E93129F">
      <w:pPr>
        <w:tabs>
          <w:tab w:val="left" w:pos="900"/>
        </w:tabs>
        <w:spacing w:before="156" w:beforeLines="50" w:line="360" w:lineRule="auto"/>
        <w:ind w:firstLine="420" w:firstLineChars="200"/>
        <w:rPr>
          <w:szCs w:val="21"/>
        </w:rPr>
      </w:pPr>
      <w:r>
        <w:rPr>
          <w:rFonts w:hint="eastAsia"/>
          <w:szCs w:val="21"/>
        </w:rPr>
        <w:t>（8）门控宽度小于150ns。</w:t>
      </w:r>
    </w:p>
    <w:p w14:paraId="4725704F">
      <w:pPr>
        <w:tabs>
          <w:tab w:val="left" w:pos="900"/>
        </w:tabs>
        <w:spacing w:before="156" w:beforeLines="50" w:line="360" w:lineRule="auto"/>
        <w:ind w:firstLine="420" w:firstLineChars="200"/>
        <w:rPr>
          <w:szCs w:val="21"/>
        </w:rPr>
      </w:pPr>
      <w:r>
        <w:rPr>
          <w:rFonts w:hint="eastAsia"/>
          <w:szCs w:val="21"/>
        </w:rPr>
        <w:t>4.4.2.2 光谱仪参数要求</w:t>
      </w:r>
    </w:p>
    <w:p w14:paraId="7C6C846D">
      <w:pPr>
        <w:tabs>
          <w:tab w:val="left" w:pos="900"/>
        </w:tabs>
        <w:spacing w:before="156" w:beforeLines="50" w:line="360" w:lineRule="auto"/>
        <w:ind w:firstLine="420" w:firstLineChars="200"/>
        <w:rPr>
          <w:szCs w:val="21"/>
        </w:rPr>
      </w:pPr>
      <w:r>
        <w:rPr>
          <w:rFonts w:hint="eastAsia"/>
          <w:szCs w:val="21"/>
        </w:rPr>
        <w:t>（1）测量范围涵盖350nm~700nm；</w:t>
      </w:r>
    </w:p>
    <w:p w14:paraId="7D6242A8">
      <w:pPr>
        <w:tabs>
          <w:tab w:val="left" w:pos="900"/>
        </w:tabs>
        <w:spacing w:before="156" w:beforeLines="50" w:line="360" w:lineRule="auto"/>
        <w:ind w:firstLine="420" w:firstLineChars="200"/>
        <w:rPr>
          <w:szCs w:val="21"/>
        </w:rPr>
      </w:pPr>
      <w:r>
        <w:rPr>
          <w:rFonts w:hint="eastAsia"/>
          <w:szCs w:val="21"/>
        </w:rPr>
        <w:t>（2）分辨率优于3nm。</w:t>
      </w:r>
    </w:p>
    <w:p w14:paraId="1EEDB962">
      <w:pPr>
        <w:tabs>
          <w:tab w:val="left" w:pos="900"/>
        </w:tabs>
        <w:spacing w:before="156" w:beforeLines="50" w:line="360" w:lineRule="auto"/>
        <w:ind w:firstLine="420" w:firstLineChars="200"/>
        <w:rPr>
          <w:szCs w:val="21"/>
        </w:rPr>
      </w:pPr>
      <w:r>
        <w:rPr>
          <w:rFonts w:hint="eastAsia"/>
          <w:szCs w:val="21"/>
        </w:rPr>
        <w:t>4.4.2.3 光电倍增管参数要求</w:t>
      </w:r>
    </w:p>
    <w:p w14:paraId="639C6C62">
      <w:pPr>
        <w:tabs>
          <w:tab w:val="left" w:pos="900"/>
        </w:tabs>
        <w:spacing w:before="156" w:beforeLines="50" w:line="360" w:lineRule="auto"/>
        <w:ind w:firstLine="420" w:firstLineChars="200"/>
        <w:rPr>
          <w:szCs w:val="21"/>
        </w:rPr>
      </w:pPr>
      <w:r>
        <w:rPr>
          <w:rFonts w:hint="eastAsia"/>
          <w:szCs w:val="21"/>
        </w:rPr>
        <w:t>（1）光谱响应区间涵盖350~700nm；</w:t>
      </w:r>
    </w:p>
    <w:p w14:paraId="5B637CC8">
      <w:pPr>
        <w:tabs>
          <w:tab w:val="left" w:pos="900"/>
        </w:tabs>
        <w:spacing w:before="156" w:beforeLines="50" w:line="360" w:lineRule="auto"/>
        <w:ind w:firstLine="420" w:firstLineChars="200"/>
        <w:rPr>
          <w:szCs w:val="21"/>
        </w:rPr>
      </w:pPr>
      <w:r>
        <w:rPr>
          <w:rFonts w:hint="eastAsia"/>
          <w:szCs w:val="21"/>
        </w:rPr>
        <w:t>（2）上升时间小于3ns。</w:t>
      </w:r>
    </w:p>
    <w:p w14:paraId="76AFBC2F">
      <w:pPr>
        <w:tabs>
          <w:tab w:val="left" w:pos="900"/>
        </w:tabs>
        <w:spacing w:before="156" w:beforeLines="50" w:line="360" w:lineRule="auto"/>
        <w:ind w:firstLine="420" w:firstLineChars="200"/>
        <w:rPr>
          <w:szCs w:val="21"/>
        </w:rPr>
      </w:pPr>
      <w:r>
        <w:rPr>
          <w:rFonts w:hint="eastAsia"/>
          <w:szCs w:val="21"/>
        </w:rPr>
        <w:t>4.4.2.4 示波器参数要求</w:t>
      </w:r>
    </w:p>
    <w:p w14:paraId="4800A27A">
      <w:pPr>
        <w:tabs>
          <w:tab w:val="left" w:pos="900"/>
        </w:tabs>
        <w:spacing w:before="156" w:beforeLines="50" w:line="360" w:lineRule="auto"/>
        <w:ind w:firstLine="420" w:firstLineChars="200"/>
        <w:rPr>
          <w:szCs w:val="21"/>
        </w:rPr>
      </w:pPr>
      <w:r>
        <w:rPr>
          <w:rFonts w:hint="eastAsia"/>
          <w:szCs w:val="21"/>
        </w:rPr>
        <w:t>（1）采样率不小于1GS/s；</w:t>
      </w:r>
    </w:p>
    <w:p w14:paraId="38C7F131">
      <w:pPr>
        <w:tabs>
          <w:tab w:val="left" w:pos="900"/>
        </w:tabs>
        <w:spacing w:before="156" w:beforeLines="50" w:line="360" w:lineRule="auto"/>
        <w:ind w:firstLine="420" w:firstLineChars="200"/>
        <w:rPr>
          <w:szCs w:val="21"/>
        </w:rPr>
      </w:pPr>
      <w:r>
        <w:rPr>
          <w:rFonts w:hint="eastAsia"/>
          <w:szCs w:val="21"/>
        </w:rPr>
        <w:t>（2）采集信号记录点数不小于2k。</w:t>
      </w:r>
    </w:p>
    <w:p w14:paraId="79C0161F">
      <w:pPr>
        <w:tabs>
          <w:tab w:val="left" w:pos="900"/>
        </w:tabs>
        <w:spacing w:before="156" w:beforeLines="50" w:line="360" w:lineRule="auto"/>
        <w:rPr>
          <w:szCs w:val="21"/>
        </w:rPr>
      </w:pPr>
      <w:r>
        <w:rPr>
          <w:rFonts w:hint="eastAsia"/>
          <w:szCs w:val="21"/>
        </w:rPr>
        <w:t>4.4.3 控制系统及配套软件</w:t>
      </w:r>
    </w:p>
    <w:p w14:paraId="5743CAE5">
      <w:pPr>
        <w:tabs>
          <w:tab w:val="left" w:pos="900"/>
        </w:tabs>
        <w:spacing w:before="156" w:beforeLines="50" w:line="360" w:lineRule="auto"/>
        <w:ind w:firstLine="420" w:firstLineChars="200"/>
        <w:rPr>
          <w:rFonts w:hint="eastAsia"/>
          <w:szCs w:val="21"/>
        </w:rPr>
      </w:pPr>
      <w:r>
        <w:rPr>
          <w:rFonts w:hint="eastAsia"/>
          <w:szCs w:val="21"/>
        </w:rPr>
        <w:t>（1）控制系统要求能够同时运行所有模块控制软件；</w:t>
      </w:r>
    </w:p>
    <w:p w14:paraId="6591F001">
      <w:pPr>
        <w:tabs>
          <w:tab w:val="left" w:pos="900"/>
        </w:tabs>
        <w:spacing w:before="156" w:beforeLines="50" w:line="360" w:lineRule="auto"/>
        <w:ind w:firstLine="420" w:firstLineChars="200"/>
        <w:rPr>
          <w:rFonts w:hint="eastAsia"/>
          <w:szCs w:val="21"/>
        </w:rPr>
      </w:pPr>
      <w:r>
        <w:rPr>
          <w:rFonts w:hint="eastAsia"/>
          <w:szCs w:val="21"/>
        </w:rPr>
        <w:t>（2）配套软件要求能输出测试的荧光寿命衰减曲线。</w:t>
      </w:r>
    </w:p>
    <w:p w14:paraId="3ABB45D6">
      <w:pPr>
        <w:tabs>
          <w:tab w:val="left" w:pos="900"/>
        </w:tabs>
        <w:spacing w:before="156" w:beforeLines="50" w:line="360" w:lineRule="auto"/>
        <w:rPr>
          <w:szCs w:val="21"/>
        </w:rPr>
      </w:pPr>
      <w:r>
        <w:rPr>
          <w:rFonts w:hint="eastAsia"/>
          <w:szCs w:val="21"/>
        </w:rPr>
        <w:t>4.4.4 激发/接收复合采集探头及光纤模块</w:t>
      </w:r>
    </w:p>
    <w:p w14:paraId="418A0565">
      <w:pPr>
        <w:tabs>
          <w:tab w:val="left" w:pos="900"/>
        </w:tabs>
        <w:spacing w:before="156" w:beforeLines="50" w:line="360" w:lineRule="auto"/>
        <w:ind w:firstLine="420" w:firstLineChars="200"/>
        <w:rPr>
          <w:szCs w:val="21"/>
        </w:rPr>
      </w:pPr>
      <w:r>
        <w:rPr>
          <w:rFonts w:hint="eastAsia"/>
          <w:szCs w:val="21"/>
        </w:rPr>
        <w:t>光纤配备激发/接收复合采集探头，要求具备聚焦功能，以保证信号激发及接收效率，同时兼顾耐高温设计，能够在室温至1000℃范围内采集荧光信号，SMA905接口。</w:t>
      </w:r>
    </w:p>
    <w:p w14:paraId="0D3A0C86">
      <w:pPr>
        <w:tabs>
          <w:tab w:val="left" w:pos="900"/>
        </w:tabs>
        <w:spacing w:before="156" w:beforeLines="50" w:line="360" w:lineRule="auto"/>
        <w:rPr>
          <w:szCs w:val="21"/>
        </w:rPr>
      </w:pPr>
      <w:r>
        <w:rPr>
          <w:rFonts w:hint="eastAsia"/>
          <w:szCs w:val="21"/>
        </w:rPr>
        <w:t>4.4.5 其他功能性要求</w:t>
      </w:r>
    </w:p>
    <w:p w14:paraId="1F90C5AC">
      <w:pPr>
        <w:tabs>
          <w:tab w:val="left" w:pos="900"/>
        </w:tabs>
        <w:spacing w:before="156" w:beforeLines="50" w:line="360" w:lineRule="auto"/>
        <w:ind w:firstLine="420" w:firstLineChars="200"/>
        <w:rPr>
          <w:szCs w:val="21"/>
        </w:rPr>
      </w:pPr>
      <w:r>
        <w:rPr>
          <w:rFonts w:hint="eastAsia"/>
          <w:szCs w:val="21"/>
        </w:rPr>
        <w:t>（1）要求设备便携可移动（组装体积不大于1.5m</w:t>
      </w:r>
      <w:r>
        <w:rPr>
          <w:rFonts w:hint="eastAsia"/>
          <w:szCs w:val="21"/>
          <w:vertAlign w:val="superscript"/>
        </w:rPr>
        <w:t>3</w:t>
      </w:r>
      <w:r>
        <w:rPr>
          <w:rFonts w:hint="eastAsia"/>
          <w:szCs w:val="21"/>
        </w:rPr>
        <w:t>，重量不大于150kg），能够根据使用需求挪动设备，改变测点，测量不同位置不同温度下的荧光寿命；</w:t>
      </w:r>
    </w:p>
    <w:p w14:paraId="31B0D592">
      <w:pPr>
        <w:tabs>
          <w:tab w:val="left" w:pos="900"/>
        </w:tabs>
        <w:spacing w:line="360" w:lineRule="auto"/>
        <w:ind w:firstLine="420" w:firstLineChars="200"/>
        <w:contextualSpacing/>
        <w:rPr>
          <w:szCs w:val="21"/>
        </w:rPr>
      </w:pPr>
      <w:r>
        <w:rPr>
          <w:rFonts w:hint="eastAsia"/>
          <w:szCs w:val="21"/>
        </w:rPr>
        <w:t>（2）能够测量</w:t>
      </w:r>
      <w:r>
        <w:rPr>
          <w:szCs w:val="21"/>
        </w:rPr>
        <w:t>500-1</w:t>
      </w:r>
      <w:r>
        <w:rPr>
          <w:rFonts w:hint="eastAsia"/>
          <w:szCs w:val="21"/>
        </w:rPr>
        <w:t>0</w:t>
      </w:r>
      <w:r>
        <w:rPr>
          <w:szCs w:val="21"/>
        </w:rPr>
        <w:t>00</w:t>
      </w:r>
      <w:r>
        <w:rPr>
          <w:rFonts w:hint="eastAsia"/>
          <w:szCs w:val="21"/>
        </w:rPr>
        <w:t>℃区间内的荧光光谱和荧光寿命，荧光寿命测量最大值超过10ms，最小值小于10μ</w:t>
      </w:r>
      <w:r>
        <w:rPr>
          <w:szCs w:val="21"/>
        </w:rPr>
        <w:t>s</w:t>
      </w:r>
      <w:r>
        <w:rPr>
          <w:rFonts w:hint="eastAsia"/>
          <w:szCs w:val="21"/>
        </w:rPr>
        <w:t>；</w:t>
      </w:r>
    </w:p>
    <w:p w14:paraId="3554F856">
      <w:pPr>
        <w:tabs>
          <w:tab w:val="left" w:pos="900"/>
        </w:tabs>
        <w:spacing w:before="156" w:beforeLines="50" w:line="360" w:lineRule="auto"/>
        <w:ind w:firstLine="420" w:firstLineChars="200"/>
        <w:rPr>
          <w:rFonts w:hint="eastAsia"/>
          <w:szCs w:val="21"/>
        </w:rPr>
      </w:pPr>
      <w:r>
        <w:rPr>
          <w:rFonts w:hint="eastAsia"/>
          <w:szCs w:val="21"/>
        </w:rPr>
        <w:t>（3）能够采用逐点扫描式或imaging成像式方法测量不小于</w:t>
      </w:r>
      <w:r>
        <w:rPr>
          <w:szCs w:val="21"/>
        </w:rPr>
        <w:t>50*50mm</w:t>
      </w:r>
      <w:r>
        <w:rPr>
          <w:rFonts w:hint="eastAsia"/>
          <w:szCs w:val="21"/>
        </w:rPr>
        <w:t>范围内的荧光光谱和荧光寿命。</w:t>
      </w:r>
    </w:p>
    <w:p w14:paraId="12DB2F03">
      <w:pPr>
        <w:tabs>
          <w:tab w:val="left" w:pos="900"/>
        </w:tabs>
        <w:spacing w:before="156" w:beforeLines="50" w:line="360" w:lineRule="auto"/>
        <w:rPr>
          <w:rFonts w:hint="eastAsia" w:hAnsi="宋体"/>
          <w:b/>
          <w:szCs w:val="21"/>
        </w:rPr>
      </w:pPr>
      <w:r>
        <w:rPr>
          <w:rFonts w:hint="eastAsia" w:hAnsi="宋体"/>
          <w:b/>
          <w:szCs w:val="21"/>
        </w:rPr>
        <w:t>五、采购标的需满足的服务标准、期限、效率等要求</w:t>
      </w:r>
    </w:p>
    <w:p w14:paraId="7DA741A8">
      <w:pPr>
        <w:numPr>
          <w:ilvl w:val="0"/>
          <w:numId w:val="1"/>
        </w:numPr>
        <w:tabs>
          <w:tab w:val="left" w:pos="900"/>
        </w:tabs>
        <w:spacing w:before="156" w:beforeLines="50" w:line="360" w:lineRule="auto"/>
        <w:rPr>
          <w:rFonts w:hint="eastAsia" w:ascii="宋体" w:hAnsi="宋体"/>
          <w:szCs w:val="21"/>
        </w:rPr>
      </w:pPr>
      <w:r>
        <w:rPr>
          <w:rFonts w:hint="eastAsia" w:ascii="宋体" w:hAnsi="宋体"/>
          <w:szCs w:val="21"/>
        </w:rPr>
        <w:t>质保期：</w:t>
      </w:r>
      <w:r>
        <w:rPr>
          <w:rFonts w:ascii="宋体" w:hAnsi="宋体" w:cs="宋体"/>
          <w:u w:val="single"/>
        </w:rPr>
        <w:t>≥</w:t>
      </w:r>
      <w:r>
        <w:rPr>
          <w:rFonts w:hint="eastAsia" w:ascii="宋体" w:hAnsi="宋体"/>
          <w:szCs w:val="21"/>
          <w:u w:val="single"/>
        </w:rPr>
        <w:t>3</w:t>
      </w:r>
      <w:r>
        <w:rPr>
          <w:rFonts w:hint="eastAsia" w:ascii="宋体" w:hAnsi="宋体"/>
          <w:szCs w:val="21"/>
        </w:rPr>
        <w:t>年，</w:t>
      </w:r>
      <w:r>
        <w:rPr>
          <w:rFonts w:ascii="宋体" w:hAnsi="宋体" w:cs="宋体"/>
        </w:rPr>
        <w:t>质保期内免费维保</w:t>
      </w:r>
      <w:r>
        <w:rPr>
          <w:rFonts w:ascii="宋体" w:hAnsi="宋体" w:cs="宋体"/>
          <w:u w:val="single"/>
        </w:rPr>
        <w:t>≥</w:t>
      </w:r>
      <w:r>
        <w:rPr>
          <w:rFonts w:hint="eastAsia" w:ascii="宋体" w:hAnsi="宋体" w:cs="宋体"/>
          <w:u w:val="single"/>
        </w:rPr>
        <w:t>1</w:t>
      </w:r>
      <w:r>
        <w:rPr>
          <w:rFonts w:ascii="宋体" w:hAnsi="宋体" w:cs="宋体"/>
        </w:rPr>
        <w:t>次/年，免人工服务费。</w:t>
      </w:r>
      <w:r>
        <w:rPr>
          <w:rFonts w:hint="eastAsia" w:ascii="宋体" w:hAnsi="宋体"/>
          <w:szCs w:val="21"/>
        </w:rPr>
        <w:t>质保期满后，仍需提供专业维修服务，投标人在投标文件中需注明维修服务单项报价。</w:t>
      </w:r>
    </w:p>
    <w:p w14:paraId="148EB362">
      <w:pPr>
        <w:numPr>
          <w:ilvl w:val="0"/>
          <w:numId w:val="1"/>
        </w:numPr>
        <w:tabs>
          <w:tab w:val="left" w:pos="900"/>
        </w:tabs>
        <w:spacing w:before="156" w:beforeLines="50" w:line="360" w:lineRule="auto"/>
        <w:rPr>
          <w:rFonts w:hint="eastAsia" w:ascii="宋体" w:hAnsi="宋体"/>
          <w:szCs w:val="21"/>
        </w:rPr>
      </w:pPr>
      <w:r>
        <w:rPr>
          <w:rFonts w:hint="eastAsia" w:ascii="宋体" w:hAnsi="宋体"/>
          <w:szCs w:val="21"/>
        </w:rPr>
        <w:t>服务响应时间：接到维修电话后4小时内给予明确答复，8小时内到达现场维修。维修人员到现场后若问题特殊无法现场修复的，供货方需在24小时内给出合理解决方案。</w:t>
      </w:r>
    </w:p>
    <w:p w14:paraId="12253913">
      <w:pPr>
        <w:pStyle w:val="19"/>
        <w:numPr>
          <w:ilvl w:val="0"/>
          <w:numId w:val="1"/>
        </w:numPr>
        <w:tabs>
          <w:tab w:val="left" w:pos="709"/>
        </w:tabs>
        <w:spacing w:before="156" w:line="360" w:lineRule="auto"/>
        <w:ind w:firstLineChars="0"/>
        <w:rPr>
          <w:rFonts w:hint="eastAsia" w:ascii="宋体" w:hAnsi="宋体" w:cs="宋体"/>
        </w:rPr>
      </w:pPr>
      <w:r>
        <w:rPr>
          <w:rFonts w:ascii="宋体" w:hAnsi="宋体"/>
          <w:szCs w:val="21"/>
        </w:rPr>
        <w:t>培训</w:t>
      </w:r>
      <w:r>
        <w:rPr>
          <w:rFonts w:hint="eastAsia" w:ascii="宋体" w:hAnsi="宋体"/>
          <w:szCs w:val="21"/>
        </w:rPr>
        <w:t>要求：</w:t>
      </w:r>
      <w:r>
        <w:rPr>
          <w:rFonts w:ascii="宋体" w:hAnsi="宋体" w:cs="宋体"/>
        </w:rPr>
        <w:t>提供培训电子资料及视频；供方免费为用户培训至少</w:t>
      </w:r>
      <w:r>
        <w:rPr>
          <w:rFonts w:ascii="宋体" w:hAnsi="宋体" w:cs="宋体"/>
          <w:color w:val="000000" w:themeColor="text1"/>
          <w:u w:val="single"/>
          <w14:textFill>
            <w14:solidFill>
              <w14:schemeClr w14:val="tx1"/>
            </w14:solidFill>
          </w14:textFill>
        </w:rPr>
        <w:t xml:space="preserve"> 3 </w:t>
      </w:r>
      <w:r>
        <w:rPr>
          <w:rFonts w:ascii="宋体" w:hAnsi="宋体" w:cs="宋体"/>
        </w:rPr>
        <w:t>名操作人员进行为期至少</w:t>
      </w:r>
      <w:r>
        <w:rPr>
          <w:rFonts w:ascii="宋体" w:hAnsi="宋体" w:cs="宋体"/>
          <w:color w:val="000000" w:themeColor="text1"/>
          <w:u w:val="single"/>
          <w14:textFill>
            <w14:solidFill>
              <w14:schemeClr w14:val="tx1"/>
            </w14:solidFill>
          </w14:textFill>
        </w:rPr>
        <w:t xml:space="preserve"> 2 </w:t>
      </w:r>
      <w:r>
        <w:rPr>
          <w:rFonts w:ascii="宋体" w:hAnsi="宋体" w:cs="宋体"/>
        </w:rPr>
        <w:t xml:space="preserve">天的现场操作培训以及应用培训，保证用户掌握有关设备的使用、维护、管理和应用等工作要求。不定期的免费提供相关设备应用方面的技术咨询等。 </w:t>
      </w:r>
    </w:p>
    <w:p w14:paraId="390B54B6">
      <w:pPr>
        <w:tabs>
          <w:tab w:val="left" w:pos="420"/>
          <w:tab w:val="left" w:pos="900"/>
        </w:tabs>
        <w:spacing w:before="156" w:beforeLines="50" w:line="360" w:lineRule="auto"/>
        <w:rPr>
          <w:rFonts w:hint="eastAsia"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9"/>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3E45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8601" w:type="dxa"/>
            <w:gridSpan w:val="4"/>
            <w:vAlign w:val="center"/>
          </w:tcPr>
          <w:p w14:paraId="02BD968C">
            <w:pPr>
              <w:widowControl/>
              <w:jc w:val="center"/>
              <w:textAlignment w:val="baseline"/>
              <w:rPr>
                <w:color w:val="000000"/>
                <w:kern w:val="0"/>
                <w:sz w:val="20"/>
                <w:szCs w:val="21"/>
              </w:rPr>
            </w:pPr>
            <w:r>
              <w:rPr>
                <w:color w:val="000000"/>
                <w:kern w:val="0"/>
                <w:sz w:val="20"/>
                <w:szCs w:val="21"/>
              </w:rPr>
              <w:t>现场的检验指标及方法</w:t>
            </w:r>
          </w:p>
        </w:tc>
      </w:tr>
      <w:tr w14:paraId="6FCA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trPr>
        <w:tc>
          <w:tcPr>
            <w:tcW w:w="726" w:type="dxa"/>
            <w:vAlign w:val="center"/>
          </w:tcPr>
          <w:p w14:paraId="00551ED1">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5C8BDA17">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7C3A9DF6">
            <w:pPr>
              <w:widowControl/>
              <w:jc w:val="center"/>
              <w:textAlignment w:val="baseline"/>
              <w:rPr>
                <w:color w:val="000000"/>
                <w:kern w:val="0"/>
                <w:sz w:val="20"/>
                <w:szCs w:val="21"/>
              </w:rPr>
            </w:pPr>
            <w:r>
              <w:rPr>
                <w:color w:val="000000"/>
                <w:kern w:val="0"/>
                <w:sz w:val="20"/>
                <w:szCs w:val="21"/>
              </w:rPr>
              <w:t>验收或测试方法</w:t>
            </w:r>
          </w:p>
        </w:tc>
      </w:tr>
      <w:tr w14:paraId="7C58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5701D517">
            <w:pPr>
              <w:widowControl/>
              <w:jc w:val="left"/>
              <w:textAlignment w:val="baseline"/>
              <w:rPr>
                <w:rFonts w:hint="eastAsia"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4831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44C028D">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230AE2EB">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73B02969">
            <w:pPr>
              <w:widowControl/>
              <w:jc w:val="left"/>
              <w:textAlignment w:val="baseline"/>
              <w:rPr>
                <w:color w:val="000000"/>
                <w:kern w:val="0"/>
                <w:sz w:val="18"/>
                <w:szCs w:val="18"/>
              </w:rPr>
            </w:pPr>
            <w:r>
              <w:rPr>
                <w:color w:val="000000"/>
                <w:kern w:val="0"/>
                <w:sz w:val="18"/>
                <w:szCs w:val="18"/>
              </w:rPr>
              <w:t>现场核查</w:t>
            </w:r>
          </w:p>
        </w:tc>
      </w:tr>
      <w:tr w14:paraId="28E5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FBD6B0C">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10C07E88">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w:t>
            </w:r>
            <w:r>
              <w:rPr>
                <w:rFonts w:hint="eastAsia"/>
                <w:color w:val="000000"/>
                <w:kern w:val="0"/>
                <w:sz w:val="18"/>
                <w:szCs w:val="18"/>
                <w:highlight w:val="none"/>
              </w:rPr>
              <w:t>备品备件、耗品耗材</w:t>
            </w:r>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43C2F2B6">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14:paraId="4821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980CB8D">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D0DB27E">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1185768D">
            <w:pPr>
              <w:rPr>
                <w:rFonts w:hint="eastAsia"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14:paraId="6B18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EE5994E">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59371762">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3188E078">
            <w:pPr>
              <w:widowControl/>
              <w:textAlignment w:val="baseline"/>
              <w:rPr>
                <w:color w:val="000000"/>
                <w:kern w:val="0"/>
                <w:sz w:val="18"/>
                <w:szCs w:val="18"/>
              </w:rPr>
            </w:pPr>
            <w:r>
              <w:rPr>
                <w:color w:val="000000"/>
                <w:kern w:val="0"/>
                <w:sz w:val="18"/>
                <w:szCs w:val="18"/>
              </w:rPr>
              <w:t>现场核查</w:t>
            </w:r>
          </w:p>
        </w:tc>
      </w:tr>
      <w:tr w14:paraId="397C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BB26A6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26A85F10">
            <w:pPr>
              <w:widowControl/>
              <w:textAlignment w:val="baseline"/>
              <w:rPr>
                <w:color w:val="000000" w:themeColor="text1"/>
                <w:kern w:val="0"/>
                <w:sz w:val="18"/>
                <w:szCs w:val="18"/>
                <w14:textFill>
                  <w14:solidFill>
                    <w14:schemeClr w14:val="tx1"/>
                  </w14:solidFill>
                </w14:textFill>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2453AF66">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14:paraId="24EF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B365F17">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6FEAFCC0">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5960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01" w:type="dxa"/>
            <w:gridSpan w:val="4"/>
          </w:tcPr>
          <w:p w14:paraId="07B5829B">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7F63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736CEF6">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6CAE8CFB">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292C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1D94EE4">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28B454F9">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272D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20D8C72">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4CD1C987">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488F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BC79C6D">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03C8C736">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19BA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4233" w:type="dxa"/>
            <w:gridSpan w:val="2"/>
            <w:vAlign w:val="center"/>
          </w:tcPr>
          <w:p w14:paraId="32D6D95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775C6E0A">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2FF65F82">
            <w:pPr>
              <w:widowControl/>
              <w:textAlignment w:val="baseline"/>
              <w:rPr>
                <w:color w:val="000000"/>
                <w:kern w:val="0"/>
                <w:sz w:val="20"/>
                <w:szCs w:val="21"/>
              </w:rPr>
            </w:pPr>
            <w:r>
              <w:rPr>
                <w:color w:val="000000"/>
                <w:kern w:val="0"/>
                <w:sz w:val="20"/>
                <w:szCs w:val="21"/>
              </w:rPr>
              <w:t>否</w:t>
            </w:r>
            <w:r>
              <w:rPr>
                <w:rFonts w:ascii="Segoe UI Emoji" w:hAnsi="Segoe UI Emoji" w:cs="Segoe UI Emoji"/>
                <w:color w:val="000000"/>
                <w:kern w:val="0"/>
                <w:sz w:val="20"/>
                <w:szCs w:val="21"/>
              </w:rPr>
              <w:t>☑</w:t>
            </w:r>
          </w:p>
        </w:tc>
      </w:tr>
      <w:tr w14:paraId="701B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2E0BAC5A">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10DFC640">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73C538A6">
            <w:pPr>
              <w:widowControl/>
              <w:textAlignment w:val="baseline"/>
              <w:rPr>
                <w:color w:val="000000"/>
                <w:kern w:val="0"/>
                <w:sz w:val="20"/>
                <w:szCs w:val="21"/>
              </w:rPr>
            </w:pPr>
            <w:r>
              <w:rPr>
                <w:color w:val="000000"/>
                <w:kern w:val="0"/>
                <w:sz w:val="20"/>
                <w:szCs w:val="21"/>
              </w:rPr>
              <w:t>否</w:t>
            </w:r>
            <w:r>
              <w:rPr>
                <w:rFonts w:ascii="Segoe UI Emoji" w:hAnsi="Segoe UI Emoji" w:cs="Segoe UI Emoji"/>
                <w:color w:val="000000"/>
                <w:kern w:val="0"/>
                <w:sz w:val="20"/>
                <w:szCs w:val="21"/>
              </w:rPr>
              <w:t>☑</w:t>
            </w:r>
          </w:p>
        </w:tc>
      </w:tr>
      <w:tr w14:paraId="235D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5D0EFF19">
            <w:pPr>
              <w:widowControl/>
              <w:textAlignment w:val="baseline"/>
              <w:rPr>
                <w:color w:val="000000"/>
                <w:kern w:val="0"/>
                <w:sz w:val="20"/>
                <w:szCs w:val="21"/>
              </w:rPr>
            </w:pPr>
            <w:r>
              <w:rPr>
                <w:color w:val="000000"/>
                <w:kern w:val="0"/>
                <w:sz w:val="20"/>
                <w:szCs w:val="21"/>
              </w:rPr>
              <w:t>除现场验收外，需提供的其他验收要求</w:t>
            </w:r>
          </w:p>
        </w:tc>
      </w:tr>
      <w:tr w14:paraId="0EB8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4A12E6F1">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s="宋体" w:asciiTheme="minorEastAsia" w:hAnsiTheme="minorEastAsia"/>
                <w:color w:val="000000"/>
                <w:kern w:val="0"/>
                <w:sz w:val="20"/>
                <w:szCs w:val="21"/>
              </w:rPr>
              <w:t>□</w:t>
            </w:r>
            <w:r>
              <w:rPr>
                <w:color w:val="000000"/>
                <w:kern w:val="0"/>
                <w:sz w:val="20"/>
                <w:szCs w:val="21"/>
              </w:rPr>
              <w:t>否</w:t>
            </w:r>
            <w:r>
              <w:rPr>
                <w:rFonts w:ascii="Segoe UI Emoji" w:hAnsi="Segoe UI Emoji" w:cs="Segoe UI Emoji"/>
                <w:color w:val="000000"/>
                <w:kern w:val="0"/>
                <w:sz w:val="20"/>
                <w:szCs w:val="21"/>
              </w:rPr>
              <w:t>☑</w:t>
            </w:r>
            <w:r>
              <w:rPr>
                <w:color w:val="000000"/>
                <w:kern w:val="0"/>
                <w:sz w:val="20"/>
                <w:szCs w:val="21"/>
              </w:rPr>
              <w:t>需提供第三方检测报告</w:t>
            </w:r>
          </w:p>
          <w:p w14:paraId="52328863">
            <w:pPr>
              <w:widowControl/>
              <w:spacing w:line="450" w:lineRule="atLeast"/>
              <w:textAlignment w:val="baseline"/>
              <w:rPr>
                <w:color w:val="000000"/>
                <w:kern w:val="0"/>
                <w:sz w:val="20"/>
                <w:szCs w:val="21"/>
              </w:rPr>
            </w:pPr>
          </w:p>
        </w:tc>
        <w:tc>
          <w:tcPr>
            <w:tcW w:w="4368" w:type="dxa"/>
            <w:gridSpan w:val="2"/>
            <w:vAlign w:val="center"/>
          </w:tcPr>
          <w:p w14:paraId="77A719D3">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6096A804">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56E2F7F8"/>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4B8AE">
    <w:pPr>
      <w:pStyle w:val="5"/>
      <w:jc w:val="center"/>
    </w:pPr>
    <w:r>
      <w:fldChar w:fldCharType="begin"/>
    </w:r>
    <w:r>
      <w:instrText xml:space="preserve">PAGE   \* MERGEFORMAT</w:instrText>
    </w:r>
    <w:r>
      <w:fldChar w:fldCharType="separate"/>
    </w:r>
    <w:r>
      <w:rPr>
        <w:lang w:val="zh-CN"/>
      </w:rPr>
      <w:t>4</w:t>
    </w:r>
    <w:r>
      <w:fldChar w:fldCharType="end"/>
    </w:r>
  </w:p>
  <w:p w14:paraId="13EDB325">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02AB"/>
    <w:rsid w:val="000170BA"/>
    <w:rsid w:val="00017C9A"/>
    <w:rsid w:val="00090056"/>
    <w:rsid w:val="000A209A"/>
    <w:rsid w:val="000C588B"/>
    <w:rsid w:val="000F304C"/>
    <w:rsid w:val="00103360"/>
    <w:rsid w:val="00105428"/>
    <w:rsid w:val="0012727F"/>
    <w:rsid w:val="00140AF0"/>
    <w:rsid w:val="001507CE"/>
    <w:rsid w:val="00157667"/>
    <w:rsid w:val="001609FC"/>
    <w:rsid w:val="00162A76"/>
    <w:rsid w:val="00176534"/>
    <w:rsid w:val="0018461B"/>
    <w:rsid w:val="00192B6A"/>
    <w:rsid w:val="001B03C0"/>
    <w:rsid w:val="001B4556"/>
    <w:rsid w:val="001B712C"/>
    <w:rsid w:val="001C07B3"/>
    <w:rsid w:val="001C0880"/>
    <w:rsid w:val="001C41C3"/>
    <w:rsid w:val="001C7C84"/>
    <w:rsid w:val="001E3D8E"/>
    <w:rsid w:val="001F7189"/>
    <w:rsid w:val="00210C81"/>
    <w:rsid w:val="0021630A"/>
    <w:rsid w:val="002204EA"/>
    <w:rsid w:val="00220D6D"/>
    <w:rsid w:val="0022231E"/>
    <w:rsid w:val="00237253"/>
    <w:rsid w:val="00241394"/>
    <w:rsid w:val="00253EED"/>
    <w:rsid w:val="002815C8"/>
    <w:rsid w:val="002A4902"/>
    <w:rsid w:val="002A6571"/>
    <w:rsid w:val="002B3A1B"/>
    <w:rsid w:val="002D21C1"/>
    <w:rsid w:val="002D68DE"/>
    <w:rsid w:val="002E15AC"/>
    <w:rsid w:val="002F0B44"/>
    <w:rsid w:val="003011EC"/>
    <w:rsid w:val="003027D7"/>
    <w:rsid w:val="00310E17"/>
    <w:rsid w:val="003113D4"/>
    <w:rsid w:val="00315F11"/>
    <w:rsid w:val="00342E31"/>
    <w:rsid w:val="003458D7"/>
    <w:rsid w:val="00345D8D"/>
    <w:rsid w:val="00347868"/>
    <w:rsid w:val="00353EC3"/>
    <w:rsid w:val="0036352F"/>
    <w:rsid w:val="003649AF"/>
    <w:rsid w:val="003B0155"/>
    <w:rsid w:val="003B1B61"/>
    <w:rsid w:val="003D06DB"/>
    <w:rsid w:val="003D7571"/>
    <w:rsid w:val="003E4113"/>
    <w:rsid w:val="003E4FDA"/>
    <w:rsid w:val="003E7339"/>
    <w:rsid w:val="004243A9"/>
    <w:rsid w:val="00426CB3"/>
    <w:rsid w:val="00435C21"/>
    <w:rsid w:val="0044531C"/>
    <w:rsid w:val="0044676F"/>
    <w:rsid w:val="00453832"/>
    <w:rsid w:val="00456C21"/>
    <w:rsid w:val="00471038"/>
    <w:rsid w:val="004951D7"/>
    <w:rsid w:val="004A43F0"/>
    <w:rsid w:val="004B3DFE"/>
    <w:rsid w:val="004B4857"/>
    <w:rsid w:val="004D5AE6"/>
    <w:rsid w:val="004D713A"/>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6E8"/>
    <w:rsid w:val="005C3DA0"/>
    <w:rsid w:val="005E6A0A"/>
    <w:rsid w:val="005F1571"/>
    <w:rsid w:val="005F35CC"/>
    <w:rsid w:val="005F401F"/>
    <w:rsid w:val="00611202"/>
    <w:rsid w:val="00613A4D"/>
    <w:rsid w:val="006237BE"/>
    <w:rsid w:val="00636F27"/>
    <w:rsid w:val="00640733"/>
    <w:rsid w:val="00644C5B"/>
    <w:rsid w:val="00651E3C"/>
    <w:rsid w:val="00661A6A"/>
    <w:rsid w:val="006878E9"/>
    <w:rsid w:val="006C2918"/>
    <w:rsid w:val="006C782C"/>
    <w:rsid w:val="006D095D"/>
    <w:rsid w:val="006E16BE"/>
    <w:rsid w:val="00703AC6"/>
    <w:rsid w:val="00710AA5"/>
    <w:rsid w:val="00715B3F"/>
    <w:rsid w:val="00735A12"/>
    <w:rsid w:val="00755455"/>
    <w:rsid w:val="007554BB"/>
    <w:rsid w:val="0076501A"/>
    <w:rsid w:val="007839AE"/>
    <w:rsid w:val="00785146"/>
    <w:rsid w:val="00796893"/>
    <w:rsid w:val="007A5DE1"/>
    <w:rsid w:val="007B40AA"/>
    <w:rsid w:val="007D5AA5"/>
    <w:rsid w:val="007F4BD9"/>
    <w:rsid w:val="007F7C52"/>
    <w:rsid w:val="00800E12"/>
    <w:rsid w:val="00801053"/>
    <w:rsid w:val="0080610F"/>
    <w:rsid w:val="008153D5"/>
    <w:rsid w:val="00823CA9"/>
    <w:rsid w:val="008259CB"/>
    <w:rsid w:val="008403A0"/>
    <w:rsid w:val="0084652E"/>
    <w:rsid w:val="008532E2"/>
    <w:rsid w:val="008576FF"/>
    <w:rsid w:val="00860346"/>
    <w:rsid w:val="00870113"/>
    <w:rsid w:val="00871000"/>
    <w:rsid w:val="00873F09"/>
    <w:rsid w:val="00876511"/>
    <w:rsid w:val="0089621F"/>
    <w:rsid w:val="008A438C"/>
    <w:rsid w:val="008B15FC"/>
    <w:rsid w:val="008C0BE7"/>
    <w:rsid w:val="008D094B"/>
    <w:rsid w:val="008D6F13"/>
    <w:rsid w:val="008F2ED3"/>
    <w:rsid w:val="00902581"/>
    <w:rsid w:val="00907FA7"/>
    <w:rsid w:val="00912013"/>
    <w:rsid w:val="00925E61"/>
    <w:rsid w:val="0093583B"/>
    <w:rsid w:val="00946EF5"/>
    <w:rsid w:val="00961A70"/>
    <w:rsid w:val="0099177F"/>
    <w:rsid w:val="00995789"/>
    <w:rsid w:val="009A364E"/>
    <w:rsid w:val="009A69CC"/>
    <w:rsid w:val="009B01C8"/>
    <w:rsid w:val="009B08FD"/>
    <w:rsid w:val="009B2EF0"/>
    <w:rsid w:val="009D3518"/>
    <w:rsid w:val="009D5211"/>
    <w:rsid w:val="009F6CAB"/>
    <w:rsid w:val="009F7A2C"/>
    <w:rsid w:val="00A047F0"/>
    <w:rsid w:val="00A05F76"/>
    <w:rsid w:val="00A06CB3"/>
    <w:rsid w:val="00A161FC"/>
    <w:rsid w:val="00A61746"/>
    <w:rsid w:val="00A64470"/>
    <w:rsid w:val="00A765E9"/>
    <w:rsid w:val="00A83019"/>
    <w:rsid w:val="00A865ED"/>
    <w:rsid w:val="00AA0A5D"/>
    <w:rsid w:val="00AB48E9"/>
    <w:rsid w:val="00AC005D"/>
    <w:rsid w:val="00AC6F95"/>
    <w:rsid w:val="00AE1AFA"/>
    <w:rsid w:val="00AE67A6"/>
    <w:rsid w:val="00AF7468"/>
    <w:rsid w:val="00B015CE"/>
    <w:rsid w:val="00B151BE"/>
    <w:rsid w:val="00B31024"/>
    <w:rsid w:val="00B4135B"/>
    <w:rsid w:val="00B43698"/>
    <w:rsid w:val="00B4481B"/>
    <w:rsid w:val="00B47D50"/>
    <w:rsid w:val="00B60466"/>
    <w:rsid w:val="00B72BD6"/>
    <w:rsid w:val="00B91989"/>
    <w:rsid w:val="00B94A57"/>
    <w:rsid w:val="00BA34F9"/>
    <w:rsid w:val="00BA359E"/>
    <w:rsid w:val="00BB2053"/>
    <w:rsid w:val="00BB469B"/>
    <w:rsid w:val="00BB7A38"/>
    <w:rsid w:val="00BC3D86"/>
    <w:rsid w:val="00BC7870"/>
    <w:rsid w:val="00BD0727"/>
    <w:rsid w:val="00BD6B3D"/>
    <w:rsid w:val="00BE12E8"/>
    <w:rsid w:val="00BE5444"/>
    <w:rsid w:val="00C1098B"/>
    <w:rsid w:val="00C15054"/>
    <w:rsid w:val="00C36A51"/>
    <w:rsid w:val="00C63818"/>
    <w:rsid w:val="00C82348"/>
    <w:rsid w:val="00CA2AE0"/>
    <w:rsid w:val="00CB069B"/>
    <w:rsid w:val="00CD153F"/>
    <w:rsid w:val="00CD2230"/>
    <w:rsid w:val="00CD2A76"/>
    <w:rsid w:val="00CD50E0"/>
    <w:rsid w:val="00D04B4C"/>
    <w:rsid w:val="00D324D9"/>
    <w:rsid w:val="00D41788"/>
    <w:rsid w:val="00D45ED1"/>
    <w:rsid w:val="00D56E82"/>
    <w:rsid w:val="00D655A5"/>
    <w:rsid w:val="00D76D08"/>
    <w:rsid w:val="00D94396"/>
    <w:rsid w:val="00D96823"/>
    <w:rsid w:val="00D97FEA"/>
    <w:rsid w:val="00DA22A7"/>
    <w:rsid w:val="00DB6ED1"/>
    <w:rsid w:val="00DC1928"/>
    <w:rsid w:val="00DD1B3D"/>
    <w:rsid w:val="00DF0F1C"/>
    <w:rsid w:val="00DF1EA0"/>
    <w:rsid w:val="00DF5062"/>
    <w:rsid w:val="00E02C57"/>
    <w:rsid w:val="00E02FC1"/>
    <w:rsid w:val="00E0581E"/>
    <w:rsid w:val="00E1130A"/>
    <w:rsid w:val="00E22081"/>
    <w:rsid w:val="00E4264C"/>
    <w:rsid w:val="00E470BD"/>
    <w:rsid w:val="00E73399"/>
    <w:rsid w:val="00E74CB1"/>
    <w:rsid w:val="00E7573D"/>
    <w:rsid w:val="00E81506"/>
    <w:rsid w:val="00E821CF"/>
    <w:rsid w:val="00E85911"/>
    <w:rsid w:val="00E931F1"/>
    <w:rsid w:val="00E949E8"/>
    <w:rsid w:val="00E96AA8"/>
    <w:rsid w:val="00F01AB9"/>
    <w:rsid w:val="00F072C1"/>
    <w:rsid w:val="00F07693"/>
    <w:rsid w:val="00F10369"/>
    <w:rsid w:val="00F14D3E"/>
    <w:rsid w:val="00F17DEA"/>
    <w:rsid w:val="00F31480"/>
    <w:rsid w:val="00F35137"/>
    <w:rsid w:val="00F37C29"/>
    <w:rsid w:val="00F42538"/>
    <w:rsid w:val="00F43286"/>
    <w:rsid w:val="00F57DCD"/>
    <w:rsid w:val="00F91084"/>
    <w:rsid w:val="00F92ED8"/>
    <w:rsid w:val="00F9789E"/>
    <w:rsid w:val="00FB00E1"/>
    <w:rsid w:val="00FC1111"/>
    <w:rsid w:val="00FC3BB8"/>
    <w:rsid w:val="00FC4692"/>
    <w:rsid w:val="00FD61EA"/>
    <w:rsid w:val="00FE1B41"/>
    <w:rsid w:val="00FF21F2"/>
    <w:rsid w:val="00FF339E"/>
    <w:rsid w:val="00FF47AD"/>
    <w:rsid w:val="00FF47EA"/>
    <w:rsid w:val="00FF698C"/>
    <w:rsid w:val="025C5C92"/>
    <w:rsid w:val="18D47809"/>
    <w:rsid w:val="1BC72B84"/>
    <w:rsid w:val="3FC76DDB"/>
    <w:rsid w:val="4FAF6015"/>
    <w:rsid w:val="70337D8E"/>
    <w:rsid w:val="72F62F56"/>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link w:val="12"/>
    <w:qFormat/>
    <w:uiPriority w:val="0"/>
    <w:rPr>
      <w:rFonts w:ascii="宋体" w:hAnsi="Courier New" w:cstheme="minorBidi"/>
      <w:szCs w:val="22"/>
    </w:rPr>
  </w:style>
  <w:style w:type="paragraph" w:styleId="4">
    <w:name w:val="Balloon Text"/>
    <w:basedOn w:val="1"/>
    <w:link w:val="20"/>
    <w:semiHidden/>
    <w:unhideWhenUsed/>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4"/>
    <w:qFormat/>
    <w:uiPriority w:val="0"/>
    <w:pPr>
      <w:spacing w:before="240" w:after="60"/>
      <w:jc w:val="center"/>
      <w:outlineLvl w:val="0"/>
    </w:pPr>
    <w:rPr>
      <w:rFonts w:ascii="Arial" w:hAnsi="Arial" w:cs="Arial"/>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纯文本 字符"/>
    <w:link w:val="3"/>
    <w:qFormat/>
    <w:uiPriority w:val="0"/>
    <w:rPr>
      <w:rFonts w:ascii="宋体" w:hAnsi="Courier New" w:eastAsia="宋体"/>
    </w:rPr>
  </w:style>
  <w:style w:type="character" w:customStyle="1" w:styleId="13">
    <w:name w:val="页脚 字符"/>
    <w:link w:val="5"/>
    <w:qFormat/>
    <w:uiPriority w:val="0"/>
    <w:rPr>
      <w:sz w:val="18"/>
    </w:rPr>
  </w:style>
  <w:style w:type="character" w:customStyle="1" w:styleId="14">
    <w:name w:val="标题 字符"/>
    <w:link w:val="7"/>
    <w:qFormat/>
    <w:uiPriority w:val="0"/>
    <w:rPr>
      <w:rFonts w:ascii="Arial" w:hAnsi="Arial" w:eastAsia="宋体" w:cs="Arial"/>
      <w:b/>
      <w:bCs/>
      <w:sz w:val="32"/>
      <w:szCs w:val="32"/>
    </w:rPr>
  </w:style>
  <w:style w:type="character" w:customStyle="1" w:styleId="15">
    <w:name w:val="页脚 Char"/>
    <w:basedOn w:val="10"/>
    <w:semiHidden/>
    <w:qFormat/>
    <w:uiPriority w:val="99"/>
    <w:rPr>
      <w:rFonts w:ascii="Times New Roman" w:hAnsi="Times New Roman" w:eastAsia="宋体" w:cs="Times New Roman"/>
      <w:sz w:val="18"/>
      <w:szCs w:val="18"/>
    </w:rPr>
  </w:style>
  <w:style w:type="character" w:customStyle="1" w:styleId="16">
    <w:name w:val="标题 Char"/>
    <w:basedOn w:val="10"/>
    <w:qFormat/>
    <w:uiPriority w:val="10"/>
    <w:rPr>
      <w:rFonts w:eastAsia="宋体" w:asciiTheme="majorHAnsi" w:hAnsiTheme="majorHAnsi" w:cstheme="majorBidi"/>
      <w:b/>
      <w:bCs/>
      <w:sz w:val="32"/>
      <w:szCs w:val="32"/>
    </w:rPr>
  </w:style>
  <w:style w:type="character" w:customStyle="1" w:styleId="17">
    <w:name w:val="纯文本 Char"/>
    <w:basedOn w:val="10"/>
    <w:semiHidden/>
    <w:qFormat/>
    <w:uiPriority w:val="99"/>
    <w:rPr>
      <w:rFonts w:ascii="宋体" w:hAnsi="Courier New" w:eastAsia="宋体" w:cs="Courier New"/>
      <w:szCs w:val="21"/>
    </w:rPr>
  </w:style>
  <w:style w:type="character" w:customStyle="1" w:styleId="18">
    <w:name w:val="页眉 字符"/>
    <w:basedOn w:val="10"/>
    <w:link w:val="6"/>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批注框文本 字符"/>
    <w:basedOn w:val="10"/>
    <w:link w:val="4"/>
    <w:semiHidden/>
    <w:qFormat/>
    <w:uiPriority w:val="99"/>
    <w:rPr>
      <w:rFonts w:ascii="Times New Roman" w:hAnsi="Times New Roman" w:eastAsia="宋体" w:cs="Times New Roman"/>
      <w:sz w:val="18"/>
      <w:szCs w:val="18"/>
    </w:rPr>
  </w:style>
  <w:style w:type="paragraph" w:customStyle="1" w:styleId="21">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paragraph" w:customStyle="1" w:styleId="22">
    <w:name w:val="修订1"/>
    <w:hidden/>
    <w:semiHidden/>
    <w:qFormat/>
    <w:uiPriority w:val="99"/>
    <w:rPr>
      <w:rFonts w:ascii="Times New Roman" w:hAnsi="Times New Roman" w:eastAsia="宋体" w:cs="Times New Roman"/>
      <w:kern w:val="2"/>
      <w:sz w:val="21"/>
      <w:lang w:val="en-US" w:eastAsia="zh-CN" w:bidi="ar-SA"/>
    </w:rPr>
  </w:style>
  <w:style w:type="character" w:styleId="23">
    <w:name w:val="Placeholder Text"/>
    <w:basedOn w:val="10"/>
    <w:semiHidden/>
    <w:qFormat/>
    <w:uiPriority w:val="99"/>
    <w:rPr>
      <w:color w:val="808080"/>
    </w:rPr>
  </w:style>
  <w:style w:type="paragraph" w:customStyle="1" w:styleId="24">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25">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AA273-EFCC-45D2-B84D-620C3F324E56}">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2975</Words>
  <Characters>3243</Characters>
  <Lines>27</Lines>
  <Paragraphs>7</Paragraphs>
  <TotalTime>77</TotalTime>
  <ScaleCrop>false</ScaleCrop>
  <LinksUpToDate>false</LinksUpToDate>
  <CharactersWithSpaces>3296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Master.Lei</cp:lastModifiedBy>
  <dcterms:modified xsi:type="dcterms:W3CDTF">2025-08-25T07:52:40Z</dcterms:modified>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F6E82928F61D4052B2A03D14502A8B9A_13</vt:lpwstr>
  </property>
  <property fmtid="{D5CDD505-2E9C-101B-9397-08002B2CF9AE}" pid="4" name="KSOTemplateDocerSaveRecord">
    <vt:lpwstr>eyJoZGlkIjoiNDEyNjBlYjNiMGU3NDFiY2VjNGMyYWM0NTgzMTU5NjciLCJ1c2VySWQiOiIxMTU3NTcyMzE1In0=</vt:lpwstr>
  </property>
</Properties>
</file>