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4FF20">
      <w:pPr>
        <w:pStyle w:val="7"/>
        <w:adjustRightInd w:val="0"/>
        <w:snapToGrid w:val="0"/>
        <w:spacing w:before="0" w:after="0" w:line="360" w:lineRule="auto"/>
        <w:outlineLvl w:val="9"/>
        <w:rPr>
          <w:rFonts w:hint="eastAsia" w:ascii="方正小标宋简体" w:hAnsi="宋体" w:eastAsia="方正小标宋简体"/>
          <w:b w:val="0"/>
          <w:bCs w:val="0"/>
          <w:sz w:val="36"/>
        </w:rPr>
      </w:pPr>
      <w:bookmarkStart w:id="0" w:name="_Toc38367762"/>
      <w:r>
        <w:rPr>
          <w:rFonts w:hint="eastAsia" w:ascii="方正小标宋简体" w:hAnsi="宋体" w:eastAsia="方正小标宋简体"/>
          <w:b w:val="0"/>
          <w:bCs w:val="0"/>
          <w:sz w:val="36"/>
        </w:rPr>
        <w:t>【实验动物饲料】采购需求</w:t>
      </w:r>
      <w:bookmarkEnd w:id="0"/>
    </w:p>
    <w:p w14:paraId="77C2D7A7">
      <w:pPr>
        <w:tabs>
          <w:tab w:val="left" w:pos="900"/>
        </w:tabs>
        <w:adjustRightInd w:val="0"/>
        <w:snapToGrid w:val="0"/>
        <w:spacing w:line="360" w:lineRule="auto"/>
        <w:ind w:firstLine="422" w:firstLineChars="200"/>
        <w:rPr>
          <w:b/>
          <w:szCs w:val="21"/>
        </w:rPr>
      </w:pPr>
      <w:bookmarkStart w:id="1" w:name="_Toc172360661"/>
      <w:bookmarkStart w:id="2" w:name="_Toc219271393"/>
      <w:bookmarkStart w:id="3" w:name="_Toc158978330"/>
      <w:r>
        <w:rPr>
          <w:rFonts w:hint="eastAsia" w:hAnsi="宋体"/>
          <w:b/>
          <w:szCs w:val="21"/>
        </w:rPr>
        <w:t>一、</w:t>
      </w:r>
      <w:r>
        <w:rPr>
          <w:rFonts w:hAnsi="宋体"/>
          <w:b/>
          <w:szCs w:val="21"/>
        </w:rPr>
        <w:t>采购</w:t>
      </w:r>
      <w:r>
        <w:rPr>
          <w:rFonts w:hint="eastAsia" w:hAnsi="宋体"/>
          <w:b/>
          <w:szCs w:val="21"/>
        </w:rPr>
        <w:t>标的</w:t>
      </w:r>
      <w:r>
        <w:rPr>
          <w:rFonts w:hAnsi="宋体"/>
          <w:b/>
          <w:szCs w:val="21"/>
        </w:rPr>
        <w:t>需实现的功能或者目标，以及为落实政府采购政策需满足的要求：</w:t>
      </w:r>
    </w:p>
    <w:p w14:paraId="08D81523">
      <w:pPr>
        <w:tabs>
          <w:tab w:val="left" w:pos="900"/>
        </w:tabs>
        <w:adjustRightInd w:val="0"/>
        <w:snapToGrid w:val="0"/>
        <w:spacing w:line="360" w:lineRule="auto"/>
        <w:ind w:firstLine="422" w:firstLineChars="200"/>
        <w:rPr>
          <w:b/>
          <w:szCs w:val="21"/>
        </w:rPr>
      </w:pPr>
      <w:r>
        <w:rPr>
          <w:rFonts w:hAnsi="宋体"/>
          <w:b/>
          <w:szCs w:val="21"/>
        </w:rPr>
        <w:t>（一）采购</w:t>
      </w:r>
      <w:r>
        <w:rPr>
          <w:rFonts w:hint="eastAsia" w:hAnsi="宋体"/>
          <w:b/>
          <w:szCs w:val="21"/>
        </w:rPr>
        <w:t>标的</w:t>
      </w:r>
      <w:r>
        <w:rPr>
          <w:rFonts w:hAnsi="宋体"/>
          <w:b/>
          <w:szCs w:val="21"/>
        </w:rPr>
        <w:t>需实现的功能或者目标</w:t>
      </w:r>
    </w:p>
    <w:p w14:paraId="6CBB6131">
      <w:pPr>
        <w:tabs>
          <w:tab w:val="left" w:pos="900"/>
        </w:tabs>
        <w:adjustRightInd w:val="0"/>
        <w:snapToGrid w:val="0"/>
        <w:spacing w:line="360" w:lineRule="auto"/>
        <w:ind w:firstLine="420" w:firstLineChars="200"/>
        <w:rPr>
          <w:rFonts w:hint="eastAsia" w:hAnsi="宋体"/>
        </w:rPr>
      </w:pPr>
      <w:r>
        <w:rPr>
          <w:rFonts w:hint="eastAsia" w:hAnsi="宋体"/>
        </w:rPr>
        <w:t>本项目拟采购</w:t>
      </w:r>
      <w:r>
        <w:rPr>
          <w:rFonts w:hint="eastAsia" w:hAnsi="宋体"/>
          <w:lang w:val="en-US" w:eastAsia="zh-CN"/>
        </w:rPr>
        <w:t>辐照灭菌实验用</w:t>
      </w:r>
      <w:r>
        <w:rPr>
          <w:rFonts w:hint="eastAsia" w:hAnsi="宋体"/>
        </w:rPr>
        <w:t>鼠生长繁殖饲料</w:t>
      </w:r>
      <w:r>
        <w:rPr>
          <w:rFonts w:hint="eastAsia" w:hAnsi="宋体"/>
          <w:lang w:eastAsia="zh-CN"/>
        </w:rPr>
        <w:t>（</w:t>
      </w:r>
      <w:r>
        <w:rPr>
          <w:rFonts w:hint="eastAsia" w:hAnsi="宋体"/>
          <w:lang w:val="en-US" w:eastAsia="zh-CN"/>
        </w:rPr>
        <w:t>核心产品</w:t>
      </w:r>
      <w:r>
        <w:rPr>
          <w:rFonts w:hint="eastAsia" w:hAnsi="宋体"/>
          <w:lang w:eastAsia="zh-CN"/>
        </w:rPr>
        <w:t>）</w:t>
      </w:r>
      <w:r>
        <w:rPr>
          <w:rFonts w:hint="eastAsia" w:hAnsi="宋体"/>
        </w:rPr>
        <w:t>、辐照灭菌实验用转基因鼠料及</w:t>
      </w:r>
      <w:r>
        <w:rPr>
          <w:rFonts w:hint="eastAsia" w:hAnsi="宋体"/>
          <w:lang w:val="en-US" w:eastAsia="zh-CN"/>
        </w:rPr>
        <w:t>普通级实验动物</w:t>
      </w:r>
      <w:r>
        <w:rPr>
          <w:rFonts w:hint="eastAsia" w:hAnsi="宋体"/>
        </w:rPr>
        <w:t>犬、兔</w:t>
      </w:r>
      <w:r>
        <w:rPr>
          <w:rFonts w:hint="eastAsia" w:hAnsi="宋体"/>
          <w:lang w:eastAsia="zh-CN"/>
        </w:rPr>
        <w:t>、</w:t>
      </w:r>
      <w:r>
        <w:rPr>
          <w:rFonts w:hint="eastAsia" w:hAnsi="宋体"/>
          <w:lang w:val="en-US" w:eastAsia="zh-CN"/>
        </w:rPr>
        <w:t>猴等</w:t>
      </w:r>
      <w:r>
        <w:rPr>
          <w:rFonts w:hint="eastAsia" w:hAnsi="宋体"/>
        </w:rPr>
        <w:t>维持饲料，主要用于实验动物中心SPF</w:t>
      </w:r>
      <w:r>
        <w:rPr>
          <w:rFonts w:hint="eastAsia" w:hAnsi="宋体"/>
          <w:lang w:val="en-US" w:eastAsia="zh-CN"/>
        </w:rPr>
        <w:t>级</w:t>
      </w:r>
      <w:r>
        <w:rPr>
          <w:rFonts w:hint="eastAsia" w:hAnsi="宋体"/>
        </w:rPr>
        <w:t>实验</w:t>
      </w:r>
      <w:r>
        <w:rPr>
          <w:rFonts w:hint="eastAsia" w:hAnsi="宋体"/>
          <w:lang w:val="en-US" w:eastAsia="zh-CN"/>
        </w:rPr>
        <w:t>用大鼠、</w:t>
      </w:r>
      <w:r>
        <w:rPr>
          <w:rFonts w:hint="eastAsia" w:hAnsi="宋体"/>
        </w:rPr>
        <w:t>小鼠繁殖及普通</w:t>
      </w:r>
      <w:r>
        <w:rPr>
          <w:rFonts w:hint="eastAsia" w:hAnsi="宋体"/>
          <w:lang w:val="en-US" w:eastAsia="zh-CN"/>
        </w:rPr>
        <w:t>级中</w:t>
      </w:r>
      <w:r>
        <w:rPr>
          <w:rFonts w:hint="eastAsia" w:hAnsi="宋体"/>
        </w:rPr>
        <w:t>大动物饲养所需。</w:t>
      </w:r>
      <w:r>
        <w:rPr>
          <w:rFonts w:hint="eastAsia" w:hAnsi="宋体"/>
          <w:lang w:val="en-US" w:eastAsia="zh-CN"/>
        </w:rPr>
        <w:t>配合</w:t>
      </w:r>
      <w:r>
        <w:rPr>
          <w:rFonts w:hint="eastAsia" w:hAnsi="宋体"/>
        </w:rPr>
        <w:t>饲料需富含</w:t>
      </w:r>
      <w:r>
        <w:rPr>
          <w:rFonts w:hint="eastAsia" w:hAnsi="宋体"/>
          <w:lang w:val="en-US" w:eastAsia="zh-CN"/>
        </w:rPr>
        <w:t>实验动物</w:t>
      </w:r>
      <w:r>
        <w:rPr>
          <w:rFonts w:hint="eastAsia" w:hAnsi="宋体"/>
        </w:rPr>
        <w:t>生长繁殖所需的各种营养元素，以及不低于国标规定的微量元素</w:t>
      </w:r>
      <w:r>
        <w:rPr>
          <w:rFonts w:hint="eastAsia" w:hAnsi="宋体"/>
          <w:lang w:val="en-US" w:eastAsia="zh-CN"/>
        </w:rPr>
        <w:t>和不高于国标限值的化学污染物和微生物指标</w:t>
      </w:r>
      <w:r>
        <w:rPr>
          <w:rFonts w:hint="eastAsia" w:hAnsi="宋体"/>
          <w:lang w:eastAsia="zh-CN"/>
        </w:rPr>
        <w:t>。</w:t>
      </w:r>
      <w:r>
        <w:rPr>
          <w:rFonts w:hint="eastAsia" w:hAnsi="宋体"/>
          <w:lang w:val="en-US" w:eastAsia="zh-CN"/>
        </w:rPr>
        <w:t>配合饲料需</w:t>
      </w:r>
      <w:r>
        <w:rPr>
          <w:rFonts w:hint="eastAsia" w:hAnsi="宋体"/>
        </w:rPr>
        <w:t>能够更好的促进大鼠、小鼠等的生长、繁育，稳定产仔数和成活率，SPF大鼠、小鼠</w:t>
      </w:r>
      <w:r>
        <w:rPr>
          <w:rFonts w:hint="eastAsia" w:hAnsi="宋体"/>
          <w:lang w:val="en-US" w:eastAsia="zh-CN"/>
        </w:rPr>
        <w:t>生长</w:t>
      </w:r>
      <w:r>
        <w:rPr>
          <w:rFonts w:hint="eastAsia" w:hAnsi="宋体"/>
        </w:rPr>
        <w:t>繁殖饲料及转基因鼠饲料须经过钴</w:t>
      </w:r>
      <w:r>
        <w:rPr>
          <w:rFonts w:hint="eastAsia" w:hAnsi="宋体"/>
          <w:vertAlign w:val="superscript"/>
        </w:rPr>
        <w:t>60</w:t>
      </w:r>
      <w:r>
        <w:rPr>
          <w:rFonts w:hint="eastAsia" w:hAnsi="宋体"/>
          <w:vertAlign w:val="baseline"/>
          <w:lang w:val="en-US" w:eastAsia="zh-CN"/>
        </w:rPr>
        <w:t>辐照</w:t>
      </w:r>
      <w:r>
        <w:rPr>
          <w:rFonts w:hint="eastAsia" w:hAnsi="宋体"/>
        </w:rPr>
        <w:t>灭菌</w:t>
      </w:r>
      <w:r>
        <w:rPr>
          <w:rFonts w:hint="eastAsia" w:hAnsi="宋体"/>
          <w:lang w:val="en-US" w:eastAsia="zh-CN"/>
        </w:rPr>
        <w:t>处理</w:t>
      </w:r>
      <w:r>
        <w:rPr>
          <w:rFonts w:hint="eastAsia" w:hAnsi="宋体"/>
        </w:rPr>
        <w:t>；普通</w:t>
      </w:r>
      <w:r>
        <w:rPr>
          <w:rFonts w:hint="eastAsia" w:hAnsi="宋体"/>
          <w:lang w:val="en-US" w:eastAsia="zh-CN"/>
        </w:rPr>
        <w:t>级实验动物</w:t>
      </w:r>
      <w:r>
        <w:rPr>
          <w:rFonts w:hint="eastAsia" w:hAnsi="宋体"/>
        </w:rPr>
        <w:t>饲料要求营养全面均衡，满足各类实验动物的生长要求。此外</w:t>
      </w:r>
      <w:r>
        <w:rPr>
          <w:rFonts w:hint="eastAsia" w:hAnsi="宋体"/>
          <w:lang w:eastAsia="zh-CN"/>
        </w:rPr>
        <w:t>，</w:t>
      </w:r>
      <w:r>
        <w:rPr>
          <w:rFonts w:hint="eastAsia" w:hAnsi="宋体"/>
        </w:rPr>
        <w:t>各类饲料须通过国家质量技术标准认证。</w:t>
      </w:r>
    </w:p>
    <w:p w14:paraId="7E45FA3A">
      <w:pPr>
        <w:tabs>
          <w:tab w:val="left" w:pos="900"/>
        </w:tabs>
        <w:adjustRightInd w:val="0"/>
        <w:snapToGrid w:val="0"/>
        <w:spacing w:line="360" w:lineRule="auto"/>
        <w:ind w:firstLine="422" w:firstLineChars="200"/>
        <w:rPr>
          <w:b/>
          <w:szCs w:val="21"/>
        </w:rPr>
      </w:pPr>
      <w:r>
        <w:rPr>
          <w:rFonts w:hAnsi="宋体"/>
          <w:b/>
          <w:szCs w:val="21"/>
        </w:rPr>
        <w:t>（二）政府采购政策</w:t>
      </w:r>
      <w:r>
        <w:rPr>
          <w:rFonts w:hint="eastAsia" w:hAnsi="宋体"/>
          <w:b/>
          <w:szCs w:val="21"/>
        </w:rPr>
        <w:t>落实</w:t>
      </w:r>
      <w:r>
        <w:rPr>
          <w:rFonts w:hAnsi="宋体"/>
          <w:b/>
          <w:szCs w:val="21"/>
        </w:rPr>
        <w:t>要求</w:t>
      </w:r>
    </w:p>
    <w:p w14:paraId="5D9D7DE0">
      <w:pPr>
        <w:tabs>
          <w:tab w:val="left" w:pos="900"/>
        </w:tabs>
        <w:adjustRightInd w:val="0"/>
        <w:snapToGrid w:val="0"/>
        <w:spacing w:line="360" w:lineRule="auto"/>
        <w:ind w:firstLine="420" w:firstLineChars="200"/>
        <w:rPr>
          <w:rFonts w:hint="eastAsia" w:hAnsi="宋体"/>
          <w:szCs w:val="21"/>
        </w:rPr>
      </w:pPr>
      <w:r>
        <w:rPr>
          <w:rFonts w:hint="eastAsia" w:hAnsi="宋体"/>
          <w:szCs w:val="24"/>
        </w:rPr>
        <w:t>1</w:t>
      </w:r>
      <w:r>
        <w:rPr>
          <w:rFonts w:hAnsi="宋体"/>
          <w:szCs w:val="24"/>
        </w:rPr>
        <w:t xml:space="preserve">. </w:t>
      </w:r>
      <w:r>
        <w:rPr>
          <w:rFonts w:hint="eastAsia" w:hAnsi="宋体"/>
          <w:szCs w:val="24"/>
        </w:rPr>
        <w:t>中小企业扶持政策：</w:t>
      </w:r>
      <w:r>
        <w:rPr>
          <w:rFonts w:hAnsi="宋体"/>
          <w:szCs w:val="24"/>
        </w:rPr>
        <w:t>根据</w:t>
      </w:r>
      <w:r>
        <w:rPr>
          <w:rFonts w:hAnsi="宋体"/>
        </w:rPr>
        <w:t>《政府采购促进中小企业发展管理办法》</w:t>
      </w:r>
      <w:r>
        <w:rPr>
          <w:rFonts w:hint="eastAsia" w:hAnsi="宋体"/>
        </w:rPr>
        <w:t>（财库〔2</w:t>
      </w:r>
      <w:r>
        <w:rPr>
          <w:rFonts w:hAnsi="宋体"/>
        </w:rPr>
        <w:t>020</w:t>
      </w:r>
      <w:r>
        <w:rPr>
          <w:rFonts w:hint="eastAsia" w:hAnsi="宋体"/>
        </w:rPr>
        <w:t>〕4</w:t>
      </w:r>
      <w:r>
        <w:rPr>
          <w:rFonts w:hAnsi="宋体"/>
        </w:rPr>
        <w:t>6</w:t>
      </w:r>
      <w:r>
        <w:rPr>
          <w:rFonts w:hint="eastAsia" w:hAnsi="宋体"/>
        </w:rPr>
        <w:t>号）</w:t>
      </w:r>
      <w:r>
        <w:rPr>
          <w:rFonts w:hAnsi="宋体"/>
        </w:rPr>
        <w:t>规定，本项目</w:t>
      </w:r>
      <w:r>
        <w:rPr>
          <w:rFonts w:hint="eastAsia" w:hAnsi="宋体"/>
        </w:rPr>
        <w:t>采购标的</w:t>
      </w:r>
      <w:r>
        <w:rPr>
          <w:rFonts w:hAnsi="宋体"/>
        </w:rPr>
        <w:t>为</w:t>
      </w:r>
      <w:r>
        <w:rPr>
          <w:rFonts w:hint="eastAsia" w:hAnsi="宋体"/>
        </w:rPr>
        <w:t>中小</w:t>
      </w:r>
      <w:r>
        <w:rPr>
          <w:rFonts w:hAnsi="宋体"/>
        </w:rPr>
        <w:t>型企业</w:t>
      </w:r>
      <w:r>
        <w:rPr>
          <w:rFonts w:hint="eastAsia" w:hAnsi="宋体"/>
        </w:rPr>
        <w:t>制造、承建或承接</w:t>
      </w:r>
      <w:r>
        <w:rPr>
          <w:rFonts w:hAnsi="宋体"/>
          <w:szCs w:val="24"/>
        </w:rPr>
        <w:t>的，</w:t>
      </w:r>
      <w:r>
        <w:rPr>
          <w:rFonts w:hAnsi="宋体"/>
        </w:rPr>
        <w:t>投标人应</w:t>
      </w:r>
      <w:r>
        <w:rPr>
          <w:rFonts w:hint="eastAsia" w:hAnsi="宋体"/>
        </w:rPr>
        <w:t>提供办法规定的</w:t>
      </w:r>
      <w:r>
        <w:rPr>
          <w:rFonts w:hAnsi="宋体"/>
          <w:szCs w:val="21"/>
        </w:rPr>
        <w:t>《中小企业声明函》</w:t>
      </w:r>
      <w:r>
        <w:rPr>
          <w:rFonts w:hint="eastAsia" w:hAnsi="宋体"/>
          <w:szCs w:val="21"/>
        </w:rPr>
        <w:t>，否则不得享受相关中小企业扶持政策</w:t>
      </w:r>
      <w:r>
        <w:rPr>
          <w:rFonts w:hAnsi="宋体"/>
          <w:szCs w:val="24"/>
        </w:rPr>
        <w:t>。投标人应对提交的中小企业声明函的真实性负责，提交的中小企业声明函不真实的，应承担相应的法律责任</w:t>
      </w:r>
      <w:r>
        <w:rPr>
          <w:rFonts w:hAnsi="宋体"/>
          <w:szCs w:val="21"/>
        </w:rPr>
        <w:t>。</w:t>
      </w:r>
    </w:p>
    <w:p w14:paraId="10E82A49">
      <w:pPr>
        <w:tabs>
          <w:tab w:val="left" w:pos="900"/>
        </w:tabs>
        <w:adjustRightInd w:val="0"/>
        <w:snapToGrid w:val="0"/>
        <w:spacing w:line="360" w:lineRule="auto"/>
        <w:ind w:firstLine="420" w:firstLineChars="200"/>
        <w:rPr>
          <w:rFonts w:hint="eastAsia" w:hAnsi="宋体"/>
          <w:szCs w:val="24"/>
        </w:rPr>
      </w:pPr>
      <w:r>
        <w:rPr>
          <w:rFonts w:hint="eastAsia" w:hAnsi="宋体"/>
          <w:szCs w:val="24"/>
        </w:rPr>
        <w:t>本项目</w:t>
      </w:r>
      <w:bookmarkStart w:id="4" w:name="OLE_LINK23"/>
      <w:r>
        <w:rPr>
          <w:rFonts w:hint="eastAsia" w:hAnsi="宋体"/>
          <w:szCs w:val="24"/>
        </w:rPr>
        <w:t>采购标的对应的《中小企业划型标准规定》所属行业</w:t>
      </w:r>
      <w:bookmarkEnd w:id="4"/>
      <w:r>
        <w:rPr>
          <w:rFonts w:hint="eastAsia" w:hAnsi="宋体"/>
          <w:szCs w:val="24"/>
        </w:rPr>
        <w:t xml:space="preserve">为： </w:t>
      </w:r>
      <w:r>
        <w:rPr>
          <w:rFonts w:hint="eastAsia" w:hAnsi="宋体"/>
          <w:szCs w:val="24"/>
          <w:u w:val="single"/>
        </w:rPr>
        <w:t xml:space="preserve"> 工业</w:t>
      </w:r>
      <w:r>
        <w:rPr>
          <w:rFonts w:hAnsi="宋体"/>
          <w:szCs w:val="24"/>
          <w:u w:val="single"/>
        </w:rPr>
        <w:t xml:space="preserve"> </w:t>
      </w:r>
      <w:r>
        <w:rPr>
          <w:rFonts w:hint="eastAsia" w:hAnsi="宋体"/>
          <w:szCs w:val="24"/>
        </w:rPr>
        <w:t>。</w:t>
      </w:r>
    </w:p>
    <w:p w14:paraId="34515769">
      <w:pPr>
        <w:tabs>
          <w:tab w:val="left" w:pos="900"/>
        </w:tabs>
        <w:adjustRightInd w:val="0"/>
        <w:snapToGrid w:val="0"/>
        <w:spacing w:line="360" w:lineRule="auto"/>
        <w:ind w:firstLine="420" w:firstLineChars="200"/>
        <w:rPr>
          <w:rFonts w:hint="eastAsia" w:hAnsi="宋体"/>
          <w:szCs w:val="24"/>
        </w:rPr>
      </w:pPr>
      <w:r>
        <w:rPr>
          <w:rFonts w:hAnsi="宋体"/>
          <w:szCs w:val="24"/>
        </w:rPr>
        <w:t xml:space="preserve">2. </w:t>
      </w:r>
      <w:r>
        <w:rPr>
          <w:rFonts w:hint="eastAsia" w:hAnsi="宋体"/>
          <w:szCs w:val="24"/>
        </w:rPr>
        <w:t>进口产品政策：本采购项目</w:t>
      </w:r>
      <w:r>
        <w:rPr>
          <w:rFonts w:hAnsi="宋体"/>
          <w:szCs w:val="24"/>
        </w:rPr>
        <w:t xml:space="preserve"> </w:t>
      </w:r>
      <w:r>
        <w:rPr>
          <w:rFonts w:hint="eastAsia" w:hAnsi="宋体"/>
          <w:szCs w:val="24"/>
        </w:rPr>
        <w:t>□允许</w:t>
      </w:r>
      <w:r>
        <w:rPr>
          <w:rFonts w:hAnsi="宋体"/>
          <w:szCs w:val="24"/>
        </w:rPr>
        <w:t xml:space="preserve"> </w:t>
      </w:r>
      <w:r>
        <w:rPr>
          <w:rFonts w:hint="eastAsia" w:hAnsi="宋体"/>
          <w:szCs w:val="24"/>
        </w:rPr>
        <w:t>☑不允许</w:t>
      </w:r>
      <w:r>
        <w:rPr>
          <w:rFonts w:hAnsi="宋体"/>
          <w:szCs w:val="24"/>
        </w:rPr>
        <w:t xml:space="preserve"> </w:t>
      </w:r>
      <w:r>
        <w:rPr>
          <w:rFonts w:hint="eastAsia" w:hAnsi="宋体"/>
          <w:szCs w:val="24"/>
        </w:rPr>
        <w:t>进口产品参加。（未进行勾选的，视为只接受本国产品参加）</w:t>
      </w:r>
    </w:p>
    <w:p w14:paraId="3A979E91">
      <w:pPr>
        <w:tabs>
          <w:tab w:val="left" w:pos="900"/>
        </w:tabs>
        <w:adjustRightInd w:val="0"/>
        <w:snapToGrid w:val="0"/>
        <w:spacing w:line="360" w:lineRule="auto"/>
        <w:ind w:firstLine="422" w:firstLineChars="200"/>
        <w:rPr>
          <w:rFonts w:hint="eastAsia" w:hAnsi="宋体"/>
          <w:b/>
          <w:szCs w:val="21"/>
        </w:rPr>
      </w:pPr>
      <w:r>
        <w:rPr>
          <w:rFonts w:hint="eastAsia" w:hAnsi="宋体"/>
          <w:b/>
          <w:szCs w:val="21"/>
        </w:rPr>
        <w:t>二、</w:t>
      </w:r>
      <w:r>
        <w:rPr>
          <w:rFonts w:hAnsi="宋体"/>
          <w:b/>
          <w:szCs w:val="21"/>
        </w:rPr>
        <w:t>采购</w:t>
      </w:r>
      <w:r>
        <w:rPr>
          <w:rFonts w:hint="eastAsia" w:hAnsi="宋体"/>
          <w:b/>
          <w:szCs w:val="21"/>
        </w:rPr>
        <w:t>标的</w:t>
      </w:r>
      <w:r>
        <w:rPr>
          <w:rFonts w:hAnsi="宋体"/>
          <w:b/>
          <w:szCs w:val="21"/>
        </w:rPr>
        <w:t>需执行的国家相关标准、行业标准、地方标准或者其他标准、规范：</w:t>
      </w:r>
    </w:p>
    <w:p w14:paraId="65AAFC29">
      <w:pPr>
        <w:tabs>
          <w:tab w:val="left" w:pos="900"/>
        </w:tabs>
        <w:adjustRightInd w:val="0"/>
        <w:snapToGrid w:val="0"/>
        <w:spacing w:line="360" w:lineRule="auto"/>
        <w:ind w:firstLine="420" w:firstLineChars="200"/>
        <w:rPr>
          <w:szCs w:val="21"/>
        </w:rPr>
      </w:pPr>
      <w:r>
        <w:rPr>
          <w:rFonts w:hint="eastAsia"/>
          <w:szCs w:val="21"/>
        </w:rPr>
        <w:t>1.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3B2BE04E">
      <w:pPr>
        <w:tabs>
          <w:tab w:val="left" w:pos="900"/>
        </w:tabs>
        <w:spacing w:line="360" w:lineRule="auto"/>
        <w:ind w:firstLine="210" w:firstLineChars="100"/>
      </w:pPr>
      <w:r>
        <w:t>产品质量符合</w:t>
      </w:r>
      <w:r>
        <w:rPr>
          <w:rFonts w:hint="eastAsia"/>
        </w:rPr>
        <w:t>：</w:t>
      </w:r>
      <w:r>
        <w:t>GB/T-14924.1-2001《实验动物 配合饲料通用质量标准》</w:t>
      </w:r>
    </w:p>
    <w:p w14:paraId="23AE1D35">
      <w:pPr>
        <w:tabs>
          <w:tab w:val="left" w:pos="900"/>
        </w:tabs>
        <w:spacing w:line="360" w:lineRule="auto"/>
        <w:ind w:firstLine="1680" w:firstLineChars="800"/>
      </w:pPr>
      <w:r>
        <w:t>GB/T-14924.2-2001《实验动物 配合饲料卫生标准》</w:t>
      </w:r>
    </w:p>
    <w:p w14:paraId="19BB58A7">
      <w:pPr>
        <w:tabs>
          <w:tab w:val="left" w:pos="900"/>
        </w:tabs>
        <w:spacing w:line="360" w:lineRule="auto"/>
        <w:ind w:firstLine="1680" w:firstLineChars="800"/>
      </w:pPr>
      <w:bookmarkStart w:id="5" w:name="OLE_LINK15"/>
      <w:r>
        <w:t>GB-14924.3-2010《实验动物 配合饲料营养成分》</w:t>
      </w:r>
    </w:p>
    <w:bookmarkEnd w:id="5"/>
    <w:p w14:paraId="73909BD9">
      <w:pPr>
        <w:tabs>
          <w:tab w:val="left" w:pos="900"/>
        </w:tabs>
        <w:spacing w:line="360" w:lineRule="auto"/>
        <w:ind w:firstLine="210" w:firstLineChars="100"/>
      </w:pPr>
      <w:r>
        <w:t>辐照灭菌实验用转基因鼠饲料符合Q/320115XTSW14-2024《实验动物实验鼠配合饲料II》</w:t>
      </w:r>
    </w:p>
    <w:p w14:paraId="4D759371">
      <w:pPr>
        <w:tabs>
          <w:tab w:val="left" w:pos="900"/>
        </w:tabs>
        <w:spacing w:line="360" w:lineRule="auto"/>
        <w:ind w:firstLine="210" w:firstLineChars="100"/>
        <w:rPr>
          <w:rFonts w:hint="eastAsia" w:ascii="楷体" w:hAnsi="楷体" w:eastAsia="楷体"/>
          <w:color w:val="FF0000"/>
          <w:sz w:val="22"/>
          <w:szCs w:val="22"/>
        </w:rPr>
      </w:pPr>
      <w:r>
        <w:t>产品从原材料入库到成品出库，严格按照公司SOP标准操作规程执行。</w:t>
      </w:r>
    </w:p>
    <w:p w14:paraId="5A8FCC1C">
      <w:pPr>
        <w:tabs>
          <w:tab w:val="left" w:pos="900"/>
        </w:tabs>
        <w:adjustRightInd w:val="0"/>
        <w:snapToGrid w:val="0"/>
        <w:spacing w:line="360" w:lineRule="auto"/>
        <w:ind w:firstLine="422" w:firstLineChars="200"/>
        <w:rPr>
          <w:rFonts w:hint="eastAsia" w:hAnsi="宋体"/>
          <w:b/>
          <w:szCs w:val="21"/>
        </w:rPr>
      </w:pPr>
      <w:r>
        <w:rPr>
          <w:rFonts w:hint="eastAsia" w:hAnsi="宋体"/>
          <w:b/>
          <w:szCs w:val="21"/>
        </w:rPr>
        <w:t>三、采购标的概况</w:t>
      </w:r>
    </w:p>
    <w:p w14:paraId="599624B6">
      <w:pPr>
        <w:adjustRightInd w:val="0"/>
        <w:snapToGrid w:val="0"/>
        <w:spacing w:line="360" w:lineRule="auto"/>
        <w:ind w:firstLine="420" w:firstLineChars="200"/>
        <w:rPr>
          <w:rFonts w:hint="eastAsia" w:hAnsi="宋体"/>
          <w:szCs w:val="21"/>
        </w:rPr>
      </w:pPr>
      <w:r>
        <w:rPr>
          <w:rFonts w:hint="eastAsia" w:ascii="宋体" w:hAnsi="宋体"/>
          <w:szCs w:val="21"/>
        </w:rPr>
        <w:t>（一）采购项目名称：</w:t>
      </w:r>
      <w:r>
        <w:rPr>
          <w:rFonts w:hint="eastAsia" w:ascii="宋体" w:hAnsi="宋体"/>
          <w:szCs w:val="21"/>
          <w:u w:val="single"/>
        </w:rPr>
        <w:t>实验动物饲料</w:t>
      </w:r>
      <w:r>
        <w:rPr>
          <w:rFonts w:hint="eastAsia" w:ascii="宋体" w:hAnsi="宋体"/>
          <w:szCs w:val="21"/>
        </w:rPr>
        <w:t>。</w:t>
      </w:r>
    </w:p>
    <w:p w14:paraId="700B5273">
      <w:pPr>
        <w:adjustRightInd w:val="0"/>
        <w:snapToGrid w:val="0"/>
        <w:spacing w:line="360" w:lineRule="auto"/>
        <w:ind w:firstLine="420" w:firstLineChars="200"/>
      </w:pPr>
      <w:r>
        <w:rPr>
          <w:rFonts w:hint="eastAsia" w:hAnsi="宋体"/>
          <w:szCs w:val="21"/>
        </w:rPr>
        <w:t>（二）采购数量及计量单位：</w:t>
      </w:r>
      <w:r>
        <w:rPr>
          <w:rFonts w:hint="eastAsia"/>
          <w:u w:val="single"/>
        </w:rPr>
        <w:t>辐照灭菌实验鼠生长繁殖饲料150,000公斤（核心产品），辐照灭菌实验用转基因鼠饲料2,000公斤，实验犬维持饲料5,000公斤，实验兔维持饲料5,000公斤，实验猴维持饲料1,000公斤，按用户需求分批次供货。</w:t>
      </w:r>
    </w:p>
    <w:tbl>
      <w:tblPr>
        <w:tblStyle w:val="10"/>
        <w:tblpPr w:leftFromText="180" w:rightFromText="180" w:vertAnchor="text" w:horzAnchor="page" w:tblpX="1535" w:tblpY="52"/>
        <w:tblOverlap w:val="never"/>
        <w:tblW w:w="88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6"/>
        <w:gridCol w:w="1351"/>
        <w:gridCol w:w="1685"/>
        <w:gridCol w:w="1475"/>
      </w:tblGrid>
      <w:tr w14:paraId="7B18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4336" w:type="dxa"/>
          </w:tcPr>
          <w:p w14:paraId="5565993A">
            <w:pPr>
              <w:jc w:val="center"/>
              <w:rPr>
                <w:rFonts w:hint="eastAsia" w:ascii="仿宋" w:hAnsi="仿宋" w:eastAsia="仿宋"/>
                <w:b/>
                <w:szCs w:val="21"/>
              </w:rPr>
            </w:pPr>
            <w:r>
              <w:rPr>
                <w:rFonts w:hint="eastAsia" w:ascii="仿宋" w:hAnsi="仿宋" w:eastAsia="仿宋"/>
                <w:b/>
                <w:szCs w:val="21"/>
              </w:rPr>
              <w:t>产品名称</w:t>
            </w:r>
          </w:p>
        </w:tc>
        <w:tc>
          <w:tcPr>
            <w:tcW w:w="1351" w:type="dxa"/>
          </w:tcPr>
          <w:p w14:paraId="3A7C5F5A">
            <w:pPr>
              <w:jc w:val="center"/>
              <w:rPr>
                <w:rFonts w:hint="eastAsia" w:ascii="仿宋" w:hAnsi="仿宋" w:eastAsia="仿宋"/>
                <w:b/>
                <w:szCs w:val="21"/>
              </w:rPr>
            </w:pPr>
            <w:r>
              <w:rPr>
                <w:rFonts w:hint="eastAsia" w:ascii="仿宋" w:hAnsi="仿宋" w:eastAsia="仿宋"/>
                <w:b/>
                <w:szCs w:val="21"/>
              </w:rPr>
              <w:t>数量(公斤)</w:t>
            </w:r>
          </w:p>
        </w:tc>
        <w:tc>
          <w:tcPr>
            <w:tcW w:w="1685" w:type="dxa"/>
          </w:tcPr>
          <w:p w14:paraId="1C4B9232">
            <w:pPr>
              <w:jc w:val="center"/>
              <w:rPr>
                <w:rFonts w:hint="eastAsia" w:ascii="仿宋" w:hAnsi="仿宋" w:eastAsia="仿宋"/>
                <w:b/>
                <w:szCs w:val="21"/>
              </w:rPr>
            </w:pPr>
            <w:r>
              <w:rPr>
                <w:rFonts w:hint="eastAsia" w:ascii="仿宋" w:hAnsi="仿宋" w:eastAsia="仿宋"/>
                <w:b/>
                <w:szCs w:val="21"/>
              </w:rPr>
              <w:t>单价</w:t>
            </w:r>
          </w:p>
        </w:tc>
        <w:tc>
          <w:tcPr>
            <w:tcW w:w="1475" w:type="dxa"/>
          </w:tcPr>
          <w:p w14:paraId="5FA9B3E8">
            <w:pPr>
              <w:jc w:val="center"/>
              <w:rPr>
                <w:rFonts w:hint="eastAsia" w:ascii="仿宋" w:hAnsi="仿宋" w:eastAsia="仿宋"/>
                <w:b/>
                <w:szCs w:val="21"/>
              </w:rPr>
            </w:pPr>
            <w:r>
              <w:rPr>
                <w:rFonts w:hint="eastAsia" w:ascii="仿宋" w:hAnsi="仿宋" w:eastAsia="仿宋"/>
                <w:b/>
                <w:szCs w:val="21"/>
              </w:rPr>
              <w:t>金额（元）</w:t>
            </w:r>
          </w:p>
        </w:tc>
      </w:tr>
      <w:tr w14:paraId="247D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4336" w:type="dxa"/>
          </w:tcPr>
          <w:p w14:paraId="56884878">
            <w:pPr>
              <w:jc w:val="center"/>
              <w:rPr>
                <w:rFonts w:hint="eastAsia" w:ascii="仿宋" w:hAnsi="仿宋" w:eastAsia="仿宋"/>
                <w:b/>
                <w:szCs w:val="21"/>
              </w:rPr>
            </w:pPr>
            <w:bookmarkStart w:id="6" w:name="OLE_LINK2"/>
            <w:r>
              <w:rPr>
                <w:rFonts w:hint="eastAsia" w:ascii="仿宋" w:hAnsi="仿宋" w:eastAsia="仿宋"/>
                <w:b/>
                <w:szCs w:val="21"/>
              </w:rPr>
              <w:t>辐照灭菌实验鼠生长繁殖饲料</w:t>
            </w:r>
            <w:bookmarkEnd w:id="6"/>
            <w:r>
              <w:rPr>
                <w:rFonts w:hint="eastAsia" w:ascii="仿宋" w:hAnsi="仿宋" w:eastAsia="仿宋"/>
                <w:b/>
                <w:szCs w:val="21"/>
              </w:rPr>
              <w:t>（核心产品）</w:t>
            </w:r>
          </w:p>
        </w:tc>
        <w:tc>
          <w:tcPr>
            <w:tcW w:w="1351" w:type="dxa"/>
          </w:tcPr>
          <w:p w14:paraId="2525EA65">
            <w:pPr>
              <w:jc w:val="center"/>
              <w:rPr>
                <w:rFonts w:hint="eastAsia" w:ascii="仿宋" w:hAnsi="仿宋" w:eastAsia="仿宋"/>
                <w:b/>
                <w:szCs w:val="21"/>
              </w:rPr>
            </w:pPr>
            <w:r>
              <w:rPr>
                <w:rFonts w:hint="eastAsia" w:ascii="仿宋" w:hAnsi="仿宋" w:eastAsia="仿宋"/>
                <w:b/>
                <w:szCs w:val="21"/>
              </w:rPr>
              <w:t>150,000</w:t>
            </w:r>
          </w:p>
        </w:tc>
        <w:tc>
          <w:tcPr>
            <w:tcW w:w="1685" w:type="dxa"/>
          </w:tcPr>
          <w:p w14:paraId="184C3CB6">
            <w:pPr>
              <w:jc w:val="center"/>
              <w:rPr>
                <w:rFonts w:hint="eastAsia" w:ascii="仿宋" w:hAnsi="仿宋" w:eastAsia="仿宋"/>
                <w:b/>
                <w:szCs w:val="21"/>
              </w:rPr>
            </w:pPr>
            <w:r>
              <w:rPr>
                <w:rFonts w:ascii="仿宋" w:hAnsi="仿宋" w:eastAsia="仿宋"/>
                <w:b/>
                <w:szCs w:val="21"/>
              </w:rPr>
              <w:t>1</w:t>
            </w:r>
            <w:r>
              <w:rPr>
                <w:rFonts w:hint="eastAsia" w:ascii="仿宋" w:hAnsi="仿宋" w:eastAsia="仿宋"/>
                <w:b/>
                <w:szCs w:val="21"/>
              </w:rPr>
              <w:t>1.66元/公斤</w:t>
            </w:r>
          </w:p>
        </w:tc>
        <w:tc>
          <w:tcPr>
            <w:tcW w:w="1475" w:type="dxa"/>
          </w:tcPr>
          <w:p w14:paraId="74D94377">
            <w:pPr>
              <w:jc w:val="center"/>
              <w:rPr>
                <w:rFonts w:hint="eastAsia" w:ascii="仿宋" w:hAnsi="仿宋" w:eastAsia="仿宋"/>
                <w:b/>
                <w:szCs w:val="21"/>
              </w:rPr>
            </w:pPr>
            <w:r>
              <w:rPr>
                <w:rFonts w:hint="eastAsia" w:ascii="仿宋" w:hAnsi="仿宋" w:eastAsia="仿宋"/>
                <w:b/>
                <w:szCs w:val="21"/>
              </w:rPr>
              <w:t>1,749,000</w:t>
            </w:r>
          </w:p>
        </w:tc>
      </w:tr>
      <w:tr w14:paraId="2295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336" w:type="dxa"/>
          </w:tcPr>
          <w:p w14:paraId="292F289F">
            <w:pPr>
              <w:jc w:val="center"/>
              <w:rPr>
                <w:rFonts w:hint="eastAsia" w:ascii="仿宋" w:hAnsi="仿宋" w:eastAsia="仿宋"/>
                <w:b/>
                <w:szCs w:val="21"/>
              </w:rPr>
            </w:pPr>
            <w:r>
              <w:rPr>
                <w:rFonts w:hint="eastAsia" w:ascii="仿宋" w:hAnsi="仿宋" w:eastAsia="仿宋"/>
                <w:b/>
                <w:szCs w:val="21"/>
              </w:rPr>
              <w:t>实验犬维持饲料</w:t>
            </w:r>
          </w:p>
        </w:tc>
        <w:tc>
          <w:tcPr>
            <w:tcW w:w="1351" w:type="dxa"/>
          </w:tcPr>
          <w:p w14:paraId="309B82EC">
            <w:pPr>
              <w:jc w:val="center"/>
              <w:rPr>
                <w:rFonts w:hint="eastAsia" w:ascii="仿宋" w:hAnsi="仿宋" w:eastAsia="仿宋"/>
                <w:b/>
                <w:szCs w:val="21"/>
              </w:rPr>
            </w:pPr>
            <w:r>
              <w:rPr>
                <w:rFonts w:hint="eastAsia" w:ascii="仿宋" w:hAnsi="仿宋" w:eastAsia="仿宋"/>
                <w:b/>
                <w:szCs w:val="21"/>
              </w:rPr>
              <w:t>5,000</w:t>
            </w:r>
          </w:p>
        </w:tc>
        <w:tc>
          <w:tcPr>
            <w:tcW w:w="1685" w:type="dxa"/>
          </w:tcPr>
          <w:p w14:paraId="71432AD3">
            <w:pPr>
              <w:jc w:val="center"/>
              <w:rPr>
                <w:rFonts w:hint="eastAsia" w:ascii="仿宋" w:hAnsi="仿宋" w:eastAsia="仿宋"/>
                <w:b/>
                <w:szCs w:val="21"/>
              </w:rPr>
            </w:pPr>
            <w:r>
              <w:rPr>
                <w:rFonts w:hint="eastAsia" w:ascii="仿宋" w:hAnsi="仿宋" w:eastAsia="仿宋"/>
                <w:b/>
                <w:szCs w:val="21"/>
              </w:rPr>
              <w:t>9.75元/公斤</w:t>
            </w:r>
          </w:p>
        </w:tc>
        <w:tc>
          <w:tcPr>
            <w:tcW w:w="1475" w:type="dxa"/>
          </w:tcPr>
          <w:p w14:paraId="32BE0D0C">
            <w:pPr>
              <w:jc w:val="center"/>
              <w:rPr>
                <w:rFonts w:hint="eastAsia" w:ascii="仿宋" w:hAnsi="仿宋" w:eastAsia="仿宋"/>
                <w:b/>
                <w:szCs w:val="21"/>
              </w:rPr>
            </w:pPr>
            <w:r>
              <w:rPr>
                <w:rFonts w:hint="eastAsia" w:ascii="仿宋" w:hAnsi="仿宋" w:eastAsia="仿宋"/>
                <w:b/>
                <w:szCs w:val="21"/>
              </w:rPr>
              <w:t>48,750</w:t>
            </w:r>
          </w:p>
        </w:tc>
      </w:tr>
      <w:tr w14:paraId="3755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336" w:type="dxa"/>
            <w:vAlign w:val="bottom"/>
          </w:tcPr>
          <w:p w14:paraId="0105DCBA">
            <w:pPr>
              <w:jc w:val="center"/>
              <w:rPr>
                <w:rFonts w:hint="eastAsia" w:ascii="仿宋" w:hAnsi="仿宋" w:eastAsia="仿宋"/>
                <w:b/>
                <w:szCs w:val="21"/>
              </w:rPr>
            </w:pPr>
            <w:r>
              <w:rPr>
                <w:rFonts w:hint="eastAsia" w:ascii="仿宋" w:hAnsi="仿宋" w:eastAsia="仿宋"/>
                <w:b/>
                <w:szCs w:val="21"/>
              </w:rPr>
              <w:t>实验兔维持饲料</w:t>
            </w:r>
          </w:p>
        </w:tc>
        <w:tc>
          <w:tcPr>
            <w:tcW w:w="1351" w:type="dxa"/>
          </w:tcPr>
          <w:p w14:paraId="32608A0C">
            <w:pPr>
              <w:jc w:val="center"/>
              <w:rPr>
                <w:rFonts w:hint="eastAsia" w:ascii="仿宋" w:hAnsi="仿宋" w:eastAsia="仿宋"/>
                <w:b/>
                <w:szCs w:val="21"/>
              </w:rPr>
            </w:pPr>
            <w:r>
              <w:rPr>
                <w:rFonts w:hint="eastAsia" w:ascii="仿宋" w:hAnsi="仿宋" w:eastAsia="仿宋"/>
                <w:b/>
                <w:szCs w:val="21"/>
              </w:rPr>
              <w:t>5,000</w:t>
            </w:r>
          </w:p>
        </w:tc>
        <w:tc>
          <w:tcPr>
            <w:tcW w:w="1685" w:type="dxa"/>
          </w:tcPr>
          <w:p w14:paraId="56C356DC">
            <w:pPr>
              <w:jc w:val="center"/>
              <w:rPr>
                <w:rFonts w:hint="eastAsia" w:ascii="仿宋" w:hAnsi="仿宋" w:eastAsia="仿宋"/>
                <w:b/>
                <w:szCs w:val="21"/>
              </w:rPr>
            </w:pPr>
            <w:r>
              <w:rPr>
                <w:rFonts w:ascii="仿宋" w:hAnsi="仿宋" w:eastAsia="仿宋"/>
                <w:b/>
                <w:szCs w:val="21"/>
              </w:rPr>
              <w:t>8</w:t>
            </w:r>
            <w:r>
              <w:rPr>
                <w:rFonts w:hint="eastAsia" w:ascii="仿宋" w:hAnsi="仿宋" w:eastAsia="仿宋"/>
                <w:b/>
                <w:szCs w:val="21"/>
              </w:rPr>
              <w:t>.25元/公斤</w:t>
            </w:r>
          </w:p>
        </w:tc>
        <w:tc>
          <w:tcPr>
            <w:tcW w:w="1475" w:type="dxa"/>
          </w:tcPr>
          <w:p w14:paraId="5C861F10">
            <w:pPr>
              <w:jc w:val="center"/>
              <w:rPr>
                <w:rFonts w:hint="eastAsia" w:ascii="仿宋" w:hAnsi="仿宋" w:eastAsia="仿宋"/>
                <w:b/>
                <w:szCs w:val="21"/>
              </w:rPr>
            </w:pPr>
            <w:r>
              <w:rPr>
                <w:rFonts w:hint="eastAsia" w:ascii="仿宋" w:hAnsi="仿宋" w:eastAsia="仿宋"/>
                <w:b/>
                <w:szCs w:val="21"/>
              </w:rPr>
              <w:t>41,250</w:t>
            </w:r>
          </w:p>
        </w:tc>
      </w:tr>
      <w:tr w14:paraId="6C91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336" w:type="dxa"/>
            <w:vAlign w:val="bottom"/>
          </w:tcPr>
          <w:p w14:paraId="0AC0A3EF">
            <w:pPr>
              <w:jc w:val="center"/>
              <w:rPr>
                <w:rFonts w:hint="eastAsia" w:ascii="仿宋" w:hAnsi="仿宋" w:eastAsia="仿宋"/>
                <w:b/>
                <w:szCs w:val="21"/>
              </w:rPr>
            </w:pPr>
            <w:r>
              <w:rPr>
                <w:rFonts w:hint="eastAsia" w:ascii="仿宋" w:hAnsi="仿宋" w:eastAsia="仿宋"/>
                <w:b/>
                <w:szCs w:val="21"/>
              </w:rPr>
              <w:t>辐照灭菌实验用转基因鼠料</w:t>
            </w:r>
          </w:p>
        </w:tc>
        <w:tc>
          <w:tcPr>
            <w:tcW w:w="1351" w:type="dxa"/>
          </w:tcPr>
          <w:p w14:paraId="744F7DB3">
            <w:pPr>
              <w:jc w:val="center"/>
              <w:rPr>
                <w:rFonts w:hint="eastAsia" w:ascii="仿宋" w:hAnsi="仿宋" w:eastAsia="仿宋"/>
                <w:b/>
                <w:szCs w:val="21"/>
              </w:rPr>
            </w:pPr>
            <w:r>
              <w:rPr>
                <w:rFonts w:hint="eastAsia" w:ascii="仿宋" w:hAnsi="仿宋" w:eastAsia="仿宋"/>
                <w:b/>
                <w:szCs w:val="21"/>
              </w:rPr>
              <w:t>2,000</w:t>
            </w:r>
          </w:p>
        </w:tc>
        <w:tc>
          <w:tcPr>
            <w:tcW w:w="1685" w:type="dxa"/>
          </w:tcPr>
          <w:p w14:paraId="6AEB9BEE">
            <w:pPr>
              <w:jc w:val="center"/>
              <w:rPr>
                <w:rFonts w:hint="eastAsia" w:ascii="仿宋" w:hAnsi="仿宋" w:eastAsia="仿宋"/>
                <w:b/>
                <w:szCs w:val="21"/>
              </w:rPr>
            </w:pPr>
            <w:r>
              <w:rPr>
                <w:rFonts w:hint="eastAsia" w:ascii="仿宋" w:hAnsi="仿宋" w:eastAsia="仿宋"/>
                <w:b/>
                <w:szCs w:val="21"/>
              </w:rPr>
              <w:t>13.70元/公斤</w:t>
            </w:r>
          </w:p>
        </w:tc>
        <w:tc>
          <w:tcPr>
            <w:tcW w:w="1475" w:type="dxa"/>
          </w:tcPr>
          <w:p w14:paraId="0D92E25E">
            <w:pPr>
              <w:jc w:val="center"/>
              <w:rPr>
                <w:rFonts w:hint="eastAsia" w:ascii="仿宋" w:hAnsi="仿宋" w:eastAsia="仿宋"/>
                <w:b/>
                <w:szCs w:val="21"/>
              </w:rPr>
            </w:pPr>
            <w:r>
              <w:rPr>
                <w:rFonts w:hint="eastAsia" w:ascii="仿宋" w:hAnsi="仿宋" w:eastAsia="仿宋"/>
                <w:b/>
                <w:szCs w:val="21"/>
              </w:rPr>
              <w:t>27,400</w:t>
            </w:r>
          </w:p>
        </w:tc>
      </w:tr>
      <w:tr w14:paraId="07B4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336" w:type="dxa"/>
            <w:vAlign w:val="bottom"/>
          </w:tcPr>
          <w:p w14:paraId="34F1F635">
            <w:pPr>
              <w:jc w:val="center"/>
              <w:rPr>
                <w:rFonts w:hint="eastAsia" w:ascii="仿宋" w:hAnsi="仿宋" w:eastAsia="仿宋"/>
                <w:b/>
                <w:szCs w:val="21"/>
              </w:rPr>
            </w:pPr>
            <w:r>
              <w:rPr>
                <w:rFonts w:hint="eastAsia" w:ascii="仿宋" w:hAnsi="仿宋" w:eastAsia="仿宋"/>
                <w:b/>
                <w:szCs w:val="21"/>
              </w:rPr>
              <w:t>实验猴维持饲料</w:t>
            </w:r>
          </w:p>
        </w:tc>
        <w:tc>
          <w:tcPr>
            <w:tcW w:w="1351" w:type="dxa"/>
          </w:tcPr>
          <w:p w14:paraId="57539784">
            <w:pPr>
              <w:jc w:val="center"/>
              <w:rPr>
                <w:rFonts w:hint="eastAsia" w:ascii="仿宋" w:hAnsi="仿宋" w:eastAsia="仿宋"/>
                <w:b/>
                <w:szCs w:val="21"/>
              </w:rPr>
            </w:pPr>
            <w:r>
              <w:rPr>
                <w:rFonts w:hint="eastAsia" w:ascii="仿宋" w:hAnsi="仿宋" w:eastAsia="仿宋"/>
                <w:b/>
                <w:szCs w:val="21"/>
              </w:rPr>
              <w:t>1,000</w:t>
            </w:r>
          </w:p>
        </w:tc>
        <w:tc>
          <w:tcPr>
            <w:tcW w:w="1685" w:type="dxa"/>
          </w:tcPr>
          <w:p w14:paraId="7BB63AEA">
            <w:pPr>
              <w:jc w:val="center"/>
              <w:rPr>
                <w:rFonts w:hint="eastAsia" w:ascii="仿宋" w:hAnsi="仿宋" w:eastAsia="仿宋"/>
                <w:b/>
                <w:szCs w:val="21"/>
              </w:rPr>
            </w:pPr>
            <w:r>
              <w:rPr>
                <w:rFonts w:hint="eastAsia" w:ascii="仿宋" w:hAnsi="仿宋" w:eastAsia="仿宋"/>
                <w:b/>
                <w:szCs w:val="21"/>
              </w:rPr>
              <w:t>12.20元/公斤</w:t>
            </w:r>
          </w:p>
        </w:tc>
        <w:tc>
          <w:tcPr>
            <w:tcW w:w="1475" w:type="dxa"/>
          </w:tcPr>
          <w:p w14:paraId="6E1AB203">
            <w:pPr>
              <w:jc w:val="center"/>
              <w:rPr>
                <w:rFonts w:hint="eastAsia" w:ascii="仿宋" w:hAnsi="仿宋" w:eastAsia="仿宋"/>
                <w:b/>
                <w:szCs w:val="21"/>
              </w:rPr>
            </w:pPr>
            <w:r>
              <w:rPr>
                <w:rFonts w:hint="eastAsia" w:ascii="仿宋" w:hAnsi="仿宋" w:eastAsia="仿宋"/>
                <w:b/>
                <w:szCs w:val="21"/>
              </w:rPr>
              <w:t>12,200</w:t>
            </w:r>
          </w:p>
        </w:tc>
      </w:tr>
      <w:tr w14:paraId="5B39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4336" w:type="dxa"/>
          </w:tcPr>
          <w:p w14:paraId="5945C50F">
            <w:pPr>
              <w:jc w:val="center"/>
              <w:rPr>
                <w:rFonts w:hint="eastAsia" w:ascii="仿宋" w:hAnsi="仿宋" w:eastAsia="仿宋"/>
                <w:b/>
                <w:szCs w:val="21"/>
              </w:rPr>
            </w:pPr>
            <w:r>
              <w:rPr>
                <w:rFonts w:hint="eastAsia" w:ascii="仿宋" w:hAnsi="仿宋" w:eastAsia="仿宋"/>
                <w:b/>
                <w:szCs w:val="21"/>
              </w:rPr>
              <w:t>合计</w:t>
            </w:r>
          </w:p>
        </w:tc>
        <w:tc>
          <w:tcPr>
            <w:tcW w:w="1351" w:type="dxa"/>
          </w:tcPr>
          <w:p w14:paraId="2BFA0626">
            <w:pPr>
              <w:jc w:val="center"/>
              <w:rPr>
                <w:rFonts w:hint="eastAsia" w:ascii="仿宋" w:hAnsi="仿宋" w:eastAsia="仿宋"/>
                <w:b/>
                <w:szCs w:val="21"/>
              </w:rPr>
            </w:pPr>
          </w:p>
        </w:tc>
        <w:tc>
          <w:tcPr>
            <w:tcW w:w="1685" w:type="dxa"/>
          </w:tcPr>
          <w:p w14:paraId="08E3DE85">
            <w:pPr>
              <w:jc w:val="center"/>
              <w:rPr>
                <w:rFonts w:hint="eastAsia" w:ascii="仿宋" w:hAnsi="仿宋" w:eastAsia="仿宋"/>
                <w:b/>
                <w:szCs w:val="21"/>
              </w:rPr>
            </w:pPr>
          </w:p>
        </w:tc>
        <w:tc>
          <w:tcPr>
            <w:tcW w:w="1475" w:type="dxa"/>
          </w:tcPr>
          <w:p w14:paraId="0EEC0E99">
            <w:pPr>
              <w:jc w:val="center"/>
              <w:rPr>
                <w:rFonts w:hint="eastAsia" w:ascii="仿宋" w:hAnsi="仿宋" w:eastAsia="仿宋"/>
                <w:b/>
                <w:szCs w:val="21"/>
              </w:rPr>
            </w:pPr>
            <w:r>
              <w:rPr>
                <w:rFonts w:hint="eastAsia" w:ascii="仿宋" w:hAnsi="仿宋" w:eastAsia="仿宋"/>
                <w:b/>
                <w:szCs w:val="21"/>
              </w:rPr>
              <w:t>1,878,600</w:t>
            </w:r>
          </w:p>
        </w:tc>
      </w:tr>
    </w:tbl>
    <w:p w14:paraId="7EED9C34">
      <w:pPr>
        <w:adjustRightInd w:val="0"/>
        <w:snapToGrid w:val="0"/>
        <w:spacing w:line="360" w:lineRule="auto"/>
        <w:ind w:firstLine="420" w:firstLineChars="200"/>
        <w:rPr>
          <w:rFonts w:hint="eastAsia" w:hAnsi="宋体"/>
          <w:szCs w:val="21"/>
        </w:rPr>
      </w:pPr>
    </w:p>
    <w:p w14:paraId="7D66FB09">
      <w:pPr>
        <w:adjustRightInd w:val="0"/>
        <w:snapToGrid w:val="0"/>
        <w:spacing w:line="360" w:lineRule="auto"/>
        <w:ind w:firstLine="420" w:firstLineChars="200"/>
        <w:rPr>
          <w:rFonts w:hint="eastAsia" w:hAnsi="宋体"/>
          <w:szCs w:val="21"/>
        </w:rPr>
      </w:pPr>
      <w:r>
        <w:rPr>
          <w:rFonts w:hint="eastAsia" w:hAnsi="宋体"/>
          <w:szCs w:val="21"/>
        </w:rPr>
        <w:t>（三）最高限价：人民币</w:t>
      </w:r>
      <w:r>
        <w:rPr>
          <w:rFonts w:hint="eastAsia" w:hAnsi="宋体"/>
          <w:szCs w:val="21"/>
          <w:u w:val="single"/>
        </w:rPr>
        <w:t xml:space="preserve"> 1,878,600.00 </w:t>
      </w:r>
      <w:r>
        <w:rPr>
          <w:rFonts w:hint="eastAsia" w:hAnsi="宋体"/>
          <w:szCs w:val="21"/>
        </w:rPr>
        <w:t>元（大写：</w:t>
      </w:r>
      <w:r>
        <w:rPr>
          <w:rFonts w:hint="eastAsia" w:hAnsi="宋体"/>
          <w:szCs w:val="21"/>
          <w:u w:val="single"/>
        </w:rPr>
        <w:t>壹佰捌拾柒万捌仟陆佰元整</w:t>
      </w:r>
      <w:r>
        <w:rPr>
          <w:rFonts w:hint="eastAsia" w:hAnsi="宋体"/>
          <w:szCs w:val="21"/>
        </w:rPr>
        <w:t>）</w:t>
      </w:r>
    </w:p>
    <w:p w14:paraId="72B992CF">
      <w:pPr>
        <w:adjustRightInd w:val="0"/>
        <w:snapToGrid w:val="0"/>
        <w:spacing w:line="360" w:lineRule="auto"/>
        <w:ind w:firstLine="420" w:firstLineChars="200"/>
        <w:jc w:val="left"/>
        <w:rPr>
          <w:szCs w:val="21"/>
        </w:rPr>
      </w:pPr>
      <w:r>
        <w:rPr>
          <w:rFonts w:hint="eastAsia" w:hAnsi="宋体"/>
          <w:szCs w:val="21"/>
        </w:rPr>
        <w:t>（四）</w:t>
      </w:r>
      <w:r>
        <w:rPr>
          <w:rFonts w:hAnsi="宋体"/>
          <w:szCs w:val="21"/>
        </w:rPr>
        <w:t>交付时间</w:t>
      </w:r>
      <w:r>
        <w:rPr>
          <w:rFonts w:hint="eastAsia" w:hAnsi="宋体"/>
          <w:szCs w:val="21"/>
        </w:rPr>
        <w:t>：</w:t>
      </w:r>
      <w:r>
        <w:rPr>
          <w:rFonts w:hAnsi="宋体"/>
        </w:rPr>
        <w:t>合同签订后</w:t>
      </w:r>
      <w:r>
        <w:rPr>
          <w:rFonts w:hint="eastAsia" w:hAnsi="宋体"/>
          <w:u w:val="single"/>
        </w:rPr>
        <w:t>按用户需求，下单后10个自然日内送达指定地点</w:t>
      </w:r>
      <w:r>
        <w:rPr>
          <w:rFonts w:hint="eastAsia" w:hAnsi="宋体"/>
        </w:rPr>
        <w:t>。</w:t>
      </w:r>
      <w:r>
        <w:rPr>
          <w:rFonts w:hAnsi="宋体"/>
          <w:szCs w:val="21"/>
        </w:rPr>
        <w:t xml:space="preserve">   </w:t>
      </w:r>
      <w:bookmarkStart w:id="14" w:name="_GoBack"/>
      <w:bookmarkEnd w:id="14"/>
      <w:r>
        <w:rPr>
          <w:rFonts w:hAnsi="宋体"/>
          <w:szCs w:val="21"/>
        </w:rPr>
        <w:t xml:space="preserve">                     </w:t>
      </w:r>
    </w:p>
    <w:p w14:paraId="544209DB">
      <w:pPr>
        <w:tabs>
          <w:tab w:val="left" w:pos="420"/>
          <w:tab w:val="left" w:pos="900"/>
        </w:tabs>
        <w:adjustRightInd w:val="0"/>
        <w:snapToGrid w:val="0"/>
        <w:spacing w:line="360" w:lineRule="auto"/>
        <w:ind w:firstLine="420" w:firstLineChars="200"/>
        <w:rPr>
          <w:rFonts w:hint="eastAsia" w:ascii="宋体" w:hAnsi="宋体"/>
          <w:szCs w:val="21"/>
        </w:rPr>
      </w:pPr>
      <w:r>
        <w:rPr>
          <w:rFonts w:hint="eastAsia" w:hAnsi="宋体"/>
          <w:szCs w:val="21"/>
        </w:rPr>
        <w:t>（五）</w:t>
      </w:r>
      <w:r>
        <w:rPr>
          <w:rFonts w:hAnsi="宋体"/>
          <w:szCs w:val="21"/>
        </w:rPr>
        <w:t>交付地点：</w:t>
      </w:r>
      <w:r>
        <w:rPr>
          <w:szCs w:val="21"/>
          <w:u w:val="single"/>
        </w:rPr>
        <w:t>西安交通大学</w:t>
      </w:r>
      <w:r>
        <w:rPr>
          <w:rFonts w:hint="eastAsia"/>
          <w:szCs w:val="21"/>
          <w:u w:val="single"/>
        </w:rPr>
        <w:t>实验动物中心各校区</w:t>
      </w:r>
      <w:r>
        <w:rPr>
          <w:szCs w:val="21"/>
          <w:u w:val="single"/>
        </w:rPr>
        <w:t>指定地点</w:t>
      </w:r>
      <w:r>
        <w:rPr>
          <w:rFonts w:hint="eastAsia"/>
          <w:szCs w:val="21"/>
        </w:rPr>
        <w:t>。</w:t>
      </w:r>
      <w:r>
        <w:rPr>
          <w:rFonts w:hAnsi="宋体"/>
          <w:szCs w:val="21"/>
        </w:rPr>
        <w:t xml:space="preserve">                           </w:t>
      </w:r>
      <w:r>
        <w:rPr>
          <w:rFonts w:hAnsi="宋体"/>
          <w:szCs w:val="21"/>
          <w:u w:val="single"/>
        </w:rPr>
        <w:t xml:space="preserve">    </w:t>
      </w:r>
    </w:p>
    <w:p w14:paraId="6835FFA0">
      <w:pPr>
        <w:tabs>
          <w:tab w:val="left" w:pos="900"/>
        </w:tabs>
        <w:adjustRightInd w:val="0"/>
        <w:snapToGrid w:val="0"/>
        <w:spacing w:line="360" w:lineRule="auto"/>
        <w:ind w:firstLine="420" w:firstLineChars="200"/>
        <w:rPr>
          <w:szCs w:val="21"/>
        </w:rPr>
      </w:pPr>
      <w:r>
        <w:rPr>
          <w:rFonts w:hint="eastAsia" w:hAnsi="宋体"/>
          <w:szCs w:val="21"/>
        </w:rPr>
        <w:t>（六）付款进度安排：</w:t>
      </w:r>
      <w:r>
        <w:rPr>
          <w:rFonts w:hint="eastAsia" w:cs="宋体" w:asciiTheme="minorEastAsia" w:hAnsiTheme="minorEastAsia"/>
          <w:b/>
          <w:color w:val="000000"/>
          <w:kern w:val="0"/>
          <w:szCs w:val="21"/>
        </w:rPr>
        <w:t>☑</w:t>
      </w:r>
      <w:r>
        <w:rPr>
          <w:rFonts w:hint="eastAsia" w:hAnsi="宋体"/>
          <w:szCs w:val="21"/>
        </w:rPr>
        <w:t xml:space="preserve"> 按</w:t>
      </w:r>
      <w:r>
        <w:rPr>
          <w:rFonts w:hAnsi="宋体"/>
          <w:szCs w:val="21"/>
        </w:rPr>
        <w:t>采购文件</w:t>
      </w:r>
      <w:r>
        <w:rPr>
          <w:rFonts w:hint="eastAsia" w:hAnsi="宋体"/>
          <w:szCs w:val="21"/>
        </w:rPr>
        <w:t>要求</w:t>
      </w:r>
      <w:r>
        <w:rPr>
          <w:rFonts w:hint="eastAsia" w:hAnsi="宋体"/>
          <w:szCs w:val="21"/>
          <w:u w:val="single"/>
        </w:rPr>
        <w:t xml:space="preserve"> 每批次货物验收合格并收到发票后30日内支付该批次货款</w:t>
      </w:r>
      <w:r>
        <w:rPr>
          <w:rFonts w:hint="eastAsia"/>
          <w:szCs w:val="21"/>
        </w:rPr>
        <w:t xml:space="preserve">。                  </w:t>
      </w:r>
    </w:p>
    <w:p w14:paraId="5FA361AF">
      <w:pPr>
        <w:tabs>
          <w:tab w:val="left" w:pos="900"/>
        </w:tabs>
        <w:adjustRightInd w:val="0"/>
        <w:snapToGrid w:val="0"/>
        <w:spacing w:line="360" w:lineRule="auto"/>
        <w:ind w:firstLine="402" w:firstLineChars="200"/>
        <w:rPr>
          <w:rFonts w:hint="eastAsia" w:hAnsi="宋体"/>
          <w:szCs w:val="21"/>
        </w:rPr>
      </w:pP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hint="eastAsia" w:cs="宋体" w:asciiTheme="minorEastAsia" w:hAnsiTheme="minorEastAsia"/>
          <w:b/>
          <w:color w:val="000000"/>
          <w:kern w:val="0"/>
          <w:sz w:val="20"/>
          <w:szCs w:val="21"/>
        </w:rPr>
        <w:t>□</w:t>
      </w:r>
      <w:r>
        <w:rPr>
          <w:rFonts w:hAnsi="宋体"/>
          <w:szCs w:val="21"/>
        </w:rPr>
        <w:t>其他要求</w:t>
      </w:r>
      <w:r>
        <w:rPr>
          <w:rFonts w:hint="eastAsia" w:hAnsi="宋体"/>
          <w:szCs w:val="21"/>
        </w:rPr>
        <w:t>：</w:t>
      </w:r>
      <w:r>
        <w:rPr>
          <w:rFonts w:hAnsi="宋体"/>
          <w:szCs w:val="21"/>
          <w:u w:val="single"/>
        </w:rPr>
        <w:t xml:space="preserve">                                  </w:t>
      </w:r>
      <w:r>
        <w:rPr>
          <w:rFonts w:hint="eastAsia" w:hAnsi="宋体"/>
          <w:szCs w:val="21"/>
        </w:rPr>
        <w:t>。</w:t>
      </w:r>
    </w:p>
    <w:p w14:paraId="3C999C16">
      <w:pPr>
        <w:numPr>
          <w:ilvl w:val="0"/>
          <w:numId w:val="1"/>
        </w:numPr>
        <w:tabs>
          <w:tab w:val="left" w:pos="900"/>
        </w:tabs>
        <w:adjustRightInd w:val="0"/>
        <w:snapToGrid w:val="0"/>
        <w:spacing w:line="360" w:lineRule="auto"/>
        <w:ind w:firstLine="422" w:firstLineChars="200"/>
        <w:rPr>
          <w:rFonts w:hint="eastAsia" w:hAnsi="宋体"/>
          <w:b/>
          <w:szCs w:val="21"/>
        </w:rPr>
      </w:pPr>
      <w:r>
        <w:rPr>
          <w:rFonts w:hint="eastAsia" w:hAnsi="宋体"/>
          <w:b/>
          <w:szCs w:val="21"/>
        </w:rPr>
        <w:t>采购标的需满足的质量、安全、技术规格、物理特性等要求：</w:t>
      </w:r>
    </w:p>
    <w:tbl>
      <w:tblPr>
        <w:tblStyle w:val="10"/>
        <w:tblW w:w="9196" w:type="dxa"/>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1559"/>
        <w:gridCol w:w="6944"/>
      </w:tblGrid>
      <w:tr w14:paraId="0CE1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93" w:type="dxa"/>
            <w:vAlign w:val="center"/>
          </w:tcPr>
          <w:p w14:paraId="7800EC27">
            <w:pPr>
              <w:tabs>
                <w:tab w:val="left" w:pos="900"/>
              </w:tabs>
              <w:spacing w:before="156" w:beforeLines="50" w:line="360" w:lineRule="auto"/>
              <w:jc w:val="center"/>
              <w:rPr>
                <w:szCs w:val="21"/>
              </w:rPr>
            </w:pPr>
            <w:r>
              <w:rPr>
                <w:szCs w:val="21"/>
              </w:rPr>
              <w:t>序号</w:t>
            </w:r>
          </w:p>
        </w:tc>
        <w:tc>
          <w:tcPr>
            <w:tcW w:w="1559" w:type="dxa"/>
            <w:vAlign w:val="center"/>
          </w:tcPr>
          <w:p w14:paraId="67C5F05A">
            <w:pPr>
              <w:tabs>
                <w:tab w:val="left" w:pos="900"/>
              </w:tabs>
              <w:spacing w:before="156" w:beforeLines="50" w:line="360" w:lineRule="auto"/>
              <w:jc w:val="center"/>
              <w:rPr>
                <w:szCs w:val="21"/>
              </w:rPr>
            </w:pPr>
            <w:r>
              <w:rPr>
                <w:szCs w:val="21"/>
              </w:rPr>
              <w:t>名称</w:t>
            </w:r>
          </w:p>
        </w:tc>
        <w:tc>
          <w:tcPr>
            <w:tcW w:w="6944" w:type="dxa"/>
            <w:vAlign w:val="center"/>
          </w:tcPr>
          <w:p w14:paraId="0701E449">
            <w:pPr>
              <w:tabs>
                <w:tab w:val="left" w:pos="900"/>
              </w:tabs>
              <w:spacing w:before="156" w:beforeLines="50" w:line="360" w:lineRule="auto"/>
              <w:jc w:val="center"/>
              <w:rPr>
                <w:rFonts w:hint="default" w:eastAsia="宋体"/>
                <w:szCs w:val="21"/>
                <w:lang w:val="en-US" w:eastAsia="zh-CN"/>
              </w:rPr>
            </w:pPr>
            <w:r>
              <w:rPr>
                <w:rFonts w:hint="eastAsia"/>
                <w:szCs w:val="21"/>
              </w:rPr>
              <w:t>核心</w:t>
            </w:r>
            <w:r>
              <w:rPr>
                <w:szCs w:val="21"/>
              </w:rPr>
              <w:t>参数要求</w:t>
            </w:r>
            <w:r>
              <w:rPr>
                <w:rFonts w:hint="eastAsia"/>
                <w:szCs w:val="21"/>
                <w:lang w:val="en-US" w:eastAsia="zh-CN"/>
              </w:rPr>
              <w:t>（*星号项为必须满足项，否则为无效投标）</w:t>
            </w:r>
          </w:p>
        </w:tc>
      </w:tr>
      <w:tr w14:paraId="5539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3" w:hRule="atLeast"/>
        </w:trPr>
        <w:tc>
          <w:tcPr>
            <w:tcW w:w="693" w:type="dxa"/>
            <w:vAlign w:val="center"/>
          </w:tcPr>
          <w:p w14:paraId="1E1CECA6">
            <w:pPr>
              <w:tabs>
                <w:tab w:val="left" w:pos="900"/>
              </w:tabs>
              <w:spacing w:before="156" w:beforeLines="50" w:line="360" w:lineRule="auto"/>
              <w:jc w:val="center"/>
              <w:rPr>
                <w:szCs w:val="21"/>
              </w:rPr>
            </w:pPr>
            <w:r>
              <w:rPr>
                <w:szCs w:val="21"/>
              </w:rPr>
              <w:t>1</w:t>
            </w:r>
          </w:p>
        </w:tc>
        <w:tc>
          <w:tcPr>
            <w:tcW w:w="1559" w:type="dxa"/>
            <w:vAlign w:val="center"/>
          </w:tcPr>
          <w:p w14:paraId="56AF5267">
            <w:pPr>
              <w:tabs>
                <w:tab w:val="left" w:pos="900"/>
              </w:tabs>
              <w:spacing w:before="156" w:beforeLines="50" w:line="360" w:lineRule="auto"/>
              <w:jc w:val="center"/>
              <w:rPr>
                <w:szCs w:val="21"/>
              </w:rPr>
            </w:pPr>
            <w:r>
              <w:rPr>
                <w:rFonts w:hint="eastAsia"/>
                <w:szCs w:val="21"/>
              </w:rPr>
              <w:t>质量标准</w:t>
            </w:r>
          </w:p>
        </w:tc>
        <w:tc>
          <w:tcPr>
            <w:tcW w:w="6944" w:type="dxa"/>
            <w:vAlign w:val="center"/>
          </w:tcPr>
          <w:p w14:paraId="06523BD2">
            <w:pPr>
              <w:tabs>
                <w:tab w:val="left" w:pos="900"/>
              </w:tabs>
              <w:ind w:left="420" w:hanging="420" w:hangingChars="200"/>
              <w:rPr>
                <w:rFonts w:hint="eastAsia"/>
                <w:szCs w:val="21"/>
              </w:rPr>
            </w:pPr>
            <w:r>
              <w:rPr>
                <w:rFonts w:hint="eastAsia"/>
                <w:szCs w:val="21"/>
              </w:rPr>
              <w:t>1.1* 饲料质量符合国标GB/T-14924.1-2001《实验动物 配合饲料通用质量标准》；营养指标均以9</w:t>
            </w:r>
            <w:r>
              <w:rPr>
                <w:szCs w:val="21"/>
              </w:rPr>
              <w:t>0%</w:t>
            </w:r>
            <w:r>
              <w:rPr>
                <w:rFonts w:hint="eastAsia"/>
                <w:szCs w:val="21"/>
              </w:rPr>
              <w:t>干物质为基础，卫生指标以8</w:t>
            </w:r>
            <w:r>
              <w:rPr>
                <w:szCs w:val="21"/>
              </w:rPr>
              <w:t>8%</w:t>
            </w:r>
            <w:r>
              <w:rPr>
                <w:rFonts w:hint="eastAsia"/>
                <w:szCs w:val="21"/>
              </w:rPr>
              <w:t>干物质为基础；各项氨基酸、维生素、矿物质及微量元素的指标均为配合饲料中的总含量；</w:t>
            </w:r>
          </w:p>
          <w:p w14:paraId="1A5A569E">
            <w:pPr>
              <w:tabs>
                <w:tab w:val="left" w:pos="900"/>
              </w:tabs>
              <w:ind w:left="420" w:hanging="420" w:hangingChars="200"/>
              <w:rPr>
                <w:szCs w:val="21"/>
              </w:rPr>
            </w:pPr>
            <w:r>
              <w:rPr>
                <w:rFonts w:hint="eastAsia"/>
                <w:szCs w:val="21"/>
              </w:rPr>
              <w:t>1.2* 感官指标：配合饲料应混合均匀，新鲜、无杂质、无异味、无霉变、无发酵、无虫蛀及鼠咬；</w:t>
            </w:r>
            <w:bookmarkStart w:id="7" w:name="OLE_LINK6"/>
            <w:bookmarkStart w:id="8" w:name="OLE_LINK1"/>
          </w:p>
          <w:p w14:paraId="6A923B3D">
            <w:pPr>
              <w:tabs>
                <w:tab w:val="left" w:pos="900"/>
              </w:tabs>
              <w:ind w:left="420" w:hanging="420" w:hangingChars="200"/>
              <w:rPr>
                <w:szCs w:val="21"/>
              </w:rPr>
            </w:pPr>
            <w:r>
              <w:rPr>
                <w:rFonts w:hint="eastAsia"/>
                <w:szCs w:val="21"/>
              </w:rPr>
              <w:t>1.</w:t>
            </w:r>
            <w:r>
              <w:rPr>
                <w:rFonts w:hint="eastAsia"/>
                <w:szCs w:val="21"/>
                <w:lang w:val="en-US" w:eastAsia="zh-CN"/>
              </w:rPr>
              <w:t>3</w:t>
            </w:r>
            <w:r>
              <w:rPr>
                <w:rFonts w:hint="eastAsia"/>
                <w:szCs w:val="21"/>
              </w:rPr>
              <w:t xml:space="preserve"> 实验鼠饲料为棒状饲料，</w:t>
            </w:r>
            <w:bookmarkEnd w:id="7"/>
            <w:bookmarkStart w:id="9" w:name="OLE_LINK10"/>
            <w:r>
              <w:rPr>
                <w:rFonts w:hint="eastAsia"/>
                <w:szCs w:val="21"/>
              </w:rPr>
              <w:t>饲料的硬度指标</w:t>
            </w:r>
            <w:r>
              <w:rPr>
                <w:rFonts w:hint="eastAsia"/>
                <w:szCs w:val="21"/>
                <w:lang w:val="en-US" w:eastAsia="zh-CN"/>
              </w:rPr>
              <w:t>15</w:t>
            </w:r>
            <w:r>
              <w:rPr>
                <w:szCs w:val="21"/>
              </w:rPr>
              <w:t>~</w:t>
            </w:r>
            <w:r>
              <w:rPr>
                <w:rFonts w:hint="eastAsia"/>
                <w:szCs w:val="21"/>
                <w:lang w:val="en-US" w:eastAsia="zh-CN"/>
              </w:rPr>
              <w:t>25</w:t>
            </w:r>
            <w:r>
              <w:rPr>
                <w:rFonts w:hint="eastAsia"/>
                <w:szCs w:val="21"/>
              </w:rPr>
              <w:t>kg</w:t>
            </w:r>
            <w:bookmarkEnd w:id="9"/>
            <w:r>
              <w:rPr>
                <w:rFonts w:hint="eastAsia"/>
                <w:szCs w:val="21"/>
              </w:rPr>
              <w:t>，长度3cm~4cm，直径1</w:t>
            </w:r>
            <w:r>
              <w:rPr>
                <w:szCs w:val="21"/>
              </w:rPr>
              <w:t>.</w:t>
            </w:r>
            <w:r>
              <w:rPr>
                <w:rFonts w:hint="eastAsia"/>
                <w:szCs w:val="21"/>
              </w:rPr>
              <w:t>2</w:t>
            </w:r>
            <w:r>
              <w:rPr>
                <w:szCs w:val="21"/>
              </w:rPr>
              <w:t>c</w:t>
            </w:r>
            <w:r>
              <w:rPr>
                <w:rFonts w:hint="eastAsia"/>
                <w:szCs w:val="21"/>
              </w:rPr>
              <w:t>m~1</w:t>
            </w:r>
            <w:r>
              <w:rPr>
                <w:szCs w:val="21"/>
              </w:rPr>
              <w:t>.3c</w:t>
            </w:r>
            <w:r>
              <w:rPr>
                <w:rFonts w:hint="eastAsia"/>
                <w:szCs w:val="21"/>
              </w:rPr>
              <w:t>m（提供不少于250g样品）；</w:t>
            </w:r>
            <w:bookmarkEnd w:id="8"/>
          </w:p>
          <w:p w14:paraId="55F04E16">
            <w:pPr>
              <w:tabs>
                <w:tab w:val="left" w:pos="900"/>
              </w:tabs>
              <w:ind w:left="420" w:hanging="420" w:hangingChars="200"/>
              <w:rPr>
                <w:szCs w:val="21"/>
              </w:rPr>
            </w:pPr>
            <w:r>
              <w:rPr>
                <w:rFonts w:hint="eastAsia"/>
                <w:szCs w:val="21"/>
              </w:rPr>
              <w:t>1.</w:t>
            </w:r>
            <w:r>
              <w:rPr>
                <w:rFonts w:hint="eastAsia"/>
                <w:szCs w:val="21"/>
                <w:lang w:val="en-US" w:eastAsia="zh-CN"/>
              </w:rPr>
              <w:t>4</w:t>
            </w:r>
            <w:r>
              <w:rPr>
                <w:rFonts w:hint="eastAsia"/>
                <w:szCs w:val="21"/>
              </w:rPr>
              <w:t xml:space="preserve"> 包装：按照国标要求采购标所列所有配合饲料至少应有2层包装；实验鼠饲料要求</w:t>
            </w:r>
            <w:r>
              <w:rPr>
                <w:szCs w:val="21"/>
                <w:highlight w:val="none"/>
              </w:rPr>
              <w:t>抽真空双层包装</w:t>
            </w:r>
            <w:r>
              <w:rPr>
                <w:rFonts w:hint="eastAsia"/>
                <w:szCs w:val="21"/>
                <w:highlight w:val="none"/>
              </w:rPr>
              <w:t>，密封性好</w:t>
            </w:r>
            <w:bookmarkStart w:id="10" w:name="OLE_LINK19"/>
            <w:r>
              <w:rPr>
                <w:rFonts w:hint="eastAsia"/>
                <w:szCs w:val="21"/>
                <w:highlight w:val="none"/>
              </w:rPr>
              <w:t>，抗磨损、抗刺破等</w:t>
            </w:r>
            <w:bookmarkEnd w:id="10"/>
            <w:r>
              <w:rPr>
                <w:rFonts w:hint="eastAsia"/>
                <w:szCs w:val="21"/>
                <w:highlight w:val="none"/>
              </w:rPr>
              <w:t>（提供第三方证明材料）；漏气率≤</w:t>
            </w:r>
            <w:r>
              <w:rPr>
                <w:rFonts w:hint="eastAsia"/>
                <w:szCs w:val="21"/>
                <w:highlight w:val="none"/>
                <w:lang w:val="en-US" w:eastAsia="zh-CN"/>
              </w:rPr>
              <w:t>5</w:t>
            </w:r>
            <w:r>
              <w:rPr>
                <w:rFonts w:hint="eastAsia"/>
                <w:szCs w:val="21"/>
                <w:highlight w:val="none"/>
              </w:rPr>
              <w:t xml:space="preserve"> %（</w:t>
            </w:r>
            <w:r>
              <w:rPr>
                <w:rFonts w:hint="eastAsia"/>
                <w:szCs w:val="21"/>
              </w:rPr>
              <w:t>提供证明材料）</w:t>
            </w:r>
            <w:r>
              <w:rPr>
                <w:szCs w:val="21"/>
              </w:rPr>
              <w:t>；</w:t>
            </w:r>
          </w:p>
          <w:p w14:paraId="1EF918CE">
            <w:pPr>
              <w:tabs>
                <w:tab w:val="left" w:pos="900"/>
              </w:tabs>
              <w:ind w:left="420" w:hanging="420" w:hangingChars="200"/>
              <w:rPr>
                <w:szCs w:val="21"/>
              </w:rPr>
            </w:pPr>
            <w:r>
              <w:rPr>
                <w:rFonts w:hint="eastAsia"/>
                <w:szCs w:val="21"/>
              </w:rPr>
              <w:t>1.</w:t>
            </w:r>
            <w:r>
              <w:rPr>
                <w:rFonts w:hint="eastAsia"/>
                <w:szCs w:val="21"/>
                <w:lang w:val="en-US" w:eastAsia="zh-CN"/>
              </w:rPr>
              <w:t>5</w:t>
            </w:r>
            <w:r>
              <w:rPr>
                <w:rFonts w:hint="eastAsia"/>
                <w:szCs w:val="21"/>
              </w:rPr>
              <w:t xml:space="preserve"> </w:t>
            </w:r>
            <w:r>
              <w:rPr>
                <w:szCs w:val="21"/>
              </w:rPr>
              <w:t>每批次饲料附最新的检测报告</w:t>
            </w:r>
            <w:r>
              <w:rPr>
                <w:rFonts w:hint="eastAsia"/>
                <w:szCs w:val="21"/>
              </w:rPr>
              <w:t>，额外需提供2023年至2025年连续三年，每年2次第三方检测报告，</w:t>
            </w:r>
            <w:r>
              <w:rPr>
                <w:rFonts w:hint="eastAsia"/>
                <w:color w:val="auto"/>
                <w:szCs w:val="21"/>
                <w:highlight w:val="none"/>
                <w:shd w:val="clear"/>
              </w:rPr>
              <w:t>并提供第三方饲料保质期内验证报告。</w:t>
            </w:r>
          </w:p>
        </w:tc>
      </w:tr>
      <w:tr w14:paraId="4D47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693" w:type="dxa"/>
            <w:vAlign w:val="center"/>
          </w:tcPr>
          <w:p w14:paraId="223D01D0">
            <w:pPr>
              <w:tabs>
                <w:tab w:val="left" w:pos="900"/>
              </w:tabs>
              <w:spacing w:before="156" w:beforeLines="50" w:line="360" w:lineRule="auto"/>
              <w:jc w:val="center"/>
              <w:rPr>
                <w:szCs w:val="21"/>
              </w:rPr>
            </w:pPr>
            <w:r>
              <w:rPr>
                <w:szCs w:val="21"/>
              </w:rPr>
              <w:t>2</w:t>
            </w:r>
          </w:p>
        </w:tc>
        <w:tc>
          <w:tcPr>
            <w:tcW w:w="1559" w:type="dxa"/>
            <w:vAlign w:val="center"/>
          </w:tcPr>
          <w:p w14:paraId="3260771A">
            <w:pPr>
              <w:jc w:val="center"/>
              <w:rPr>
                <w:szCs w:val="21"/>
              </w:rPr>
            </w:pPr>
            <w:r>
              <w:rPr>
                <w:rFonts w:hint="eastAsia"/>
                <w:szCs w:val="21"/>
              </w:rPr>
              <w:t>营养成分标准</w:t>
            </w:r>
          </w:p>
        </w:tc>
        <w:tc>
          <w:tcPr>
            <w:tcW w:w="6944" w:type="dxa"/>
            <w:vAlign w:val="center"/>
          </w:tcPr>
          <w:p w14:paraId="5E92D198">
            <w:pPr>
              <w:ind w:left="420" w:hanging="420" w:hangingChars="200"/>
              <w:rPr>
                <w:rFonts w:hint="eastAsia"/>
                <w:szCs w:val="21"/>
              </w:rPr>
            </w:pPr>
            <w:r>
              <w:rPr>
                <w:rFonts w:hint="eastAsia"/>
                <w:szCs w:val="21"/>
              </w:rPr>
              <w:t>2.1* 饲料营养成分不得低于国标GB-14924.3-2010《实验动物 配合饲料营养成分》中常规营养成分（粗蛋白质、粗脂肪、粗纤维、钙和磷等）、氨基酸指标、维生素指标及常量矿物质和微量矿物质指标规定；</w:t>
            </w:r>
          </w:p>
          <w:p w14:paraId="5BC4A3B7">
            <w:pPr>
              <w:ind w:left="420" w:hanging="420" w:hangingChars="200"/>
              <w:rPr>
                <w:szCs w:val="21"/>
              </w:rPr>
            </w:pPr>
            <w:r>
              <w:rPr>
                <w:rFonts w:hint="eastAsia"/>
                <w:szCs w:val="21"/>
              </w:rPr>
              <w:t>2.2* 配合饲料营养成分指标检测方法按照G</w:t>
            </w:r>
            <w:r>
              <w:rPr>
                <w:szCs w:val="21"/>
              </w:rPr>
              <w:t>B/T 14924.9</w:t>
            </w:r>
            <w:r>
              <w:rPr>
                <w:rFonts w:hint="eastAsia"/>
                <w:szCs w:val="21"/>
              </w:rPr>
              <w:t>、G</w:t>
            </w:r>
            <w:r>
              <w:rPr>
                <w:szCs w:val="21"/>
              </w:rPr>
              <w:t>B/T 14924.10</w:t>
            </w:r>
            <w:r>
              <w:rPr>
                <w:rFonts w:hint="eastAsia"/>
                <w:szCs w:val="21"/>
              </w:rPr>
              <w:t>、G</w:t>
            </w:r>
            <w:r>
              <w:rPr>
                <w:szCs w:val="21"/>
              </w:rPr>
              <w:t>B/T 14924.11</w:t>
            </w:r>
            <w:r>
              <w:rPr>
                <w:rFonts w:hint="eastAsia"/>
                <w:szCs w:val="21"/>
              </w:rPr>
              <w:t>、G</w:t>
            </w:r>
            <w:r>
              <w:rPr>
                <w:szCs w:val="21"/>
              </w:rPr>
              <w:t>B/T 14924.12</w:t>
            </w:r>
            <w:r>
              <w:rPr>
                <w:rFonts w:hint="eastAsia"/>
                <w:szCs w:val="21"/>
              </w:rPr>
              <w:t>执行；</w:t>
            </w:r>
          </w:p>
          <w:p w14:paraId="0FA4673A">
            <w:pPr>
              <w:ind w:left="420" w:hanging="420" w:hangingChars="200"/>
              <w:rPr>
                <w:szCs w:val="21"/>
              </w:rPr>
            </w:pPr>
            <w:r>
              <w:rPr>
                <w:rFonts w:hint="eastAsia"/>
                <w:szCs w:val="21"/>
              </w:rPr>
              <w:t>2.3* 配合饲料产品混匀度≤</w:t>
            </w:r>
            <w:r>
              <w:rPr>
                <w:szCs w:val="21"/>
              </w:rPr>
              <w:t>10%</w:t>
            </w:r>
            <w:bookmarkStart w:id="11" w:name="OLE_LINK5"/>
            <w:r>
              <w:rPr>
                <w:rFonts w:hint="eastAsia"/>
                <w:szCs w:val="21"/>
              </w:rPr>
              <w:t>（附第三方检测报告）</w:t>
            </w:r>
            <w:bookmarkEnd w:id="11"/>
            <w:r>
              <w:rPr>
                <w:rFonts w:hint="eastAsia"/>
                <w:szCs w:val="21"/>
              </w:rPr>
              <w:t>；</w:t>
            </w:r>
          </w:p>
          <w:p w14:paraId="2CA1A8E1">
            <w:pPr>
              <w:ind w:left="420" w:hanging="420" w:hangingChars="200"/>
              <w:rPr>
                <w:szCs w:val="21"/>
              </w:rPr>
            </w:pPr>
            <w:r>
              <w:rPr>
                <w:rFonts w:hint="eastAsia"/>
                <w:szCs w:val="21"/>
              </w:rPr>
              <w:t>2.4 核心产品除国标要求营养成分指标外，</w:t>
            </w:r>
            <w:r>
              <w:rPr>
                <w:rFonts w:hint="eastAsia"/>
                <w:szCs w:val="21"/>
                <w:highlight w:val="none"/>
              </w:rPr>
              <w:t>动物性蛋白原料使用量≥50%</w:t>
            </w:r>
            <w:r>
              <w:rPr>
                <w:rFonts w:hint="eastAsia"/>
                <w:szCs w:val="21"/>
              </w:rPr>
              <w:t>（提供</w:t>
            </w:r>
            <w:r>
              <w:rPr>
                <w:rFonts w:hint="eastAsia"/>
                <w:szCs w:val="21"/>
                <w:lang w:val="en-US" w:eastAsia="zh-CN"/>
              </w:rPr>
              <w:t>第三方检测报告</w:t>
            </w:r>
            <w:r>
              <w:rPr>
                <w:rFonts w:hint="eastAsia"/>
                <w:szCs w:val="21"/>
              </w:rPr>
              <w:t>）。</w:t>
            </w:r>
          </w:p>
        </w:tc>
      </w:tr>
      <w:tr w14:paraId="0F2B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0" w:hRule="atLeast"/>
        </w:trPr>
        <w:tc>
          <w:tcPr>
            <w:tcW w:w="693" w:type="dxa"/>
            <w:vAlign w:val="center"/>
          </w:tcPr>
          <w:p w14:paraId="59BDEED9">
            <w:pPr>
              <w:tabs>
                <w:tab w:val="left" w:pos="900"/>
              </w:tabs>
              <w:spacing w:before="156" w:beforeLines="50" w:line="360" w:lineRule="auto"/>
              <w:jc w:val="center"/>
              <w:rPr>
                <w:szCs w:val="21"/>
              </w:rPr>
            </w:pPr>
            <w:r>
              <w:rPr>
                <w:rFonts w:hint="eastAsia"/>
                <w:szCs w:val="21"/>
              </w:rPr>
              <w:t>3</w:t>
            </w:r>
          </w:p>
        </w:tc>
        <w:tc>
          <w:tcPr>
            <w:tcW w:w="1559" w:type="dxa"/>
            <w:vAlign w:val="center"/>
          </w:tcPr>
          <w:p w14:paraId="6680F2DD">
            <w:pPr>
              <w:jc w:val="center"/>
              <w:rPr>
                <w:szCs w:val="21"/>
              </w:rPr>
            </w:pPr>
            <w:r>
              <w:rPr>
                <w:rFonts w:hint="eastAsia"/>
                <w:szCs w:val="21"/>
              </w:rPr>
              <w:t>卫生标准</w:t>
            </w:r>
          </w:p>
        </w:tc>
        <w:tc>
          <w:tcPr>
            <w:tcW w:w="6944" w:type="dxa"/>
            <w:vAlign w:val="center"/>
          </w:tcPr>
          <w:p w14:paraId="4ECFD8C1">
            <w:pPr>
              <w:ind w:left="420" w:hanging="420" w:hangingChars="200"/>
              <w:rPr>
                <w:szCs w:val="21"/>
              </w:rPr>
            </w:pPr>
            <w:r>
              <w:rPr>
                <w:rFonts w:hint="eastAsia"/>
                <w:szCs w:val="21"/>
              </w:rPr>
              <w:t>3.1* 饲料卫生标准符合国标G</w:t>
            </w:r>
            <w:r>
              <w:rPr>
                <w:szCs w:val="21"/>
              </w:rPr>
              <w:t>B/T14924.2-2001</w:t>
            </w:r>
            <w:r>
              <w:rPr>
                <w:rFonts w:hint="eastAsia"/>
                <w:szCs w:val="21"/>
              </w:rPr>
              <w:t>《实验动物 配合饲料卫生标准》中规定的卫生要求和检验方法；</w:t>
            </w:r>
          </w:p>
          <w:p w14:paraId="304D4311">
            <w:pPr>
              <w:ind w:left="420" w:hanging="420" w:hangingChars="200"/>
              <w:rPr>
                <w:szCs w:val="21"/>
              </w:rPr>
            </w:pPr>
            <w:r>
              <w:rPr>
                <w:rFonts w:hint="eastAsia"/>
                <w:szCs w:val="21"/>
              </w:rPr>
              <w:t>3.2* 实验动物配合饲料无毒、无害，不得掺入抗生素、驱虫剂、色素、促生长剂以及激素等添加剂；</w:t>
            </w:r>
          </w:p>
          <w:p w14:paraId="43214A80">
            <w:pPr>
              <w:ind w:left="420" w:hanging="420" w:hangingChars="200"/>
              <w:rPr>
                <w:szCs w:val="21"/>
              </w:rPr>
            </w:pPr>
            <w:r>
              <w:rPr>
                <w:rFonts w:hint="eastAsia"/>
                <w:szCs w:val="21"/>
              </w:rPr>
              <w:t>3.3* 饲料中化学污染物指标（砷、铅、镉、汞、六六六、滴滴涕和黄曲霉素B</w:t>
            </w:r>
            <w:r>
              <w:rPr>
                <w:szCs w:val="21"/>
                <w:vertAlign w:val="subscript"/>
              </w:rPr>
              <w:t>1</w:t>
            </w:r>
            <w:r>
              <w:rPr>
                <w:rFonts w:hint="eastAsia"/>
                <w:szCs w:val="21"/>
              </w:rPr>
              <w:t>）不得高于G</w:t>
            </w:r>
            <w:r>
              <w:rPr>
                <w:szCs w:val="21"/>
              </w:rPr>
              <w:t>B/T14924.2-2001</w:t>
            </w:r>
            <w:r>
              <w:rPr>
                <w:rFonts w:hint="eastAsia"/>
                <w:szCs w:val="21"/>
              </w:rPr>
              <w:t>《实验动物 配合饲料卫生标准》中4</w:t>
            </w:r>
            <w:r>
              <w:rPr>
                <w:szCs w:val="21"/>
              </w:rPr>
              <w:t>.1</w:t>
            </w:r>
            <w:r>
              <w:rPr>
                <w:rFonts w:hint="eastAsia"/>
                <w:szCs w:val="21"/>
              </w:rPr>
              <w:t>所列限值；</w:t>
            </w:r>
          </w:p>
          <w:p w14:paraId="56658F0A">
            <w:pPr>
              <w:ind w:left="420" w:hanging="420" w:hangingChars="200"/>
              <w:rPr>
                <w:szCs w:val="21"/>
              </w:rPr>
            </w:pPr>
            <w:r>
              <w:rPr>
                <w:rFonts w:hint="eastAsia"/>
                <w:szCs w:val="21"/>
              </w:rPr>
              <w:t>3.4* 饲料中微生物指标（菌落总数、大肠菌群、霉菌和酵母数及致病菌）不得高于G</w:t>
            </w:r>
            <w:r>
              <w:rPr>
                <w:szCs w:val="21"/>
              </w:rPr>
              <w:t>B/T14924.2-2001</w:t>
            </w:r>
            <w:r>
              <w:rPr>
                <w:rFonts w:hint="eastAsia"/>
                <w:szCs w:val="21"/>
              </w:rPr>
              <w:t>《实验动物 配合饲料卫生标准》中4</w:t>
            </w:r>
            <w:r>
              <w:rPr>
                <w:szCs w:val="21"/>
              </w:rPr>
              <w:t>.2</w:t>
            </w:r>
            <w:r>
              <w:rPr>
                <w:rFonts w:hint="eastAsia"/>
                <w:szCs w:val="21"/>
              </w:rPr>
              <w:t>所列限值；</w:t>
            </w:r>
          </w:p>
          <w:p w14:paraId="3771BF83">
            <w:pPr>
              <w:ind w:left="420" w:hanging="420" w:hangingChars="200"/>
              <w:rPr>
                <w:szCs w:val="21"/>
              </w:rPr>
            </w:pPr>
            <w:r>
              <w:rPr>
                <w:rFonts w:hint="eastAsia"/>
                <w:szCs w:val="21"/>
              </w:rPr>
              <w:t>3.5* 辐照灭菌实验鼠饲料灭菌方式：钴</w:t>
            </w:r>
            <w:r>
              <w:rPr>
                <w:rFonts w:hint="eastAsia"/>
                <w:szCs w:val="21"/>
                <w:vertAlign w:val="superscript"/>
              </w:rPr>
              <w:t>60</w:t>
            </w:r>
            <w:r>
              <w:rPr>
                <w:szCs w:val="21"/>
              </w:rPr>
              <w:t>辐照灭菌处理，</w:t>
            </w:r>
            <w:r>
              <w:rPr>
                <w:rFonts w:hint="eastAsia"/>
                <w:szCs w:val="21"/>
              </w:rPr>
              <w:t>达到</w:t>
            </w:r>
            <w:r>
              <w:rPr>
                <w:szCs w:val="21"/>
              </w:rPr>
              <w:t>SPF级实验鼠卫生要求；</w:t>
            </w:r>
          </w:p>
          <w:p w14:paraId="7BF20809">
            <w:pPr>
              <w:ind w:left="420" w:hanging="420" w:hangingChars="200"/>
              <w:rPr>
                <w:szCs w:val="21"/>
              </w:rPr>
            </w:pPr>
            <w:r>
              <w:rPr>
                <w:rFonts w:hint="eastAsia"/>
                <w:szCs w:val="21"/>
              </w:rPr>
              <w:t>3.6* 饲料卫生标准中所列指标检验方法依据G</w:t>
            </w:r>
            <w:r>
              <w:rPr>
                <w:szCs w:val="21"/>
              </w:rPr>
              <w:t>B/T14924.2-2001</w:t>
            </w:r>
            <w:r>
              <w:rPr>
                <w:rFonts w:hint="eastAsia"/>
                <w:szCs w:val="21"/>
              </w:rPr>
              <w:t>《实验动物 配合饲料卫生标准》中“5</w:t>
            </w:r>
            <w:r>
              <w:rPr>
                <w:szCs w:val="21"/>
              </w:rPr>
              <w:t xml:space="preserve"> </w:t>
            </w:r>
            <w:r>
              <w:rPr>
                <w:rFonts w:hint="eastAsia"/>
                <w:szCs w:val="21"/>
              </w:rPr>
              <w:t>检验方法”中测定标准执行。</w:t>
            </w:r>
          </w:p>
        </w:tc>
      </w:tr>
      <w:tr w14:paraId="2136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693" w:type="dxa"/>
            <w:vAlign w:val="center"/>
          </w:tcPr>
          <w:p w14:paraId="676AFAB5">
            <w:pPr>
              <w:tabs>
                <w:tab w:val="left" w:pos="900"/>
              </w:tabs>
              <w:spacing w:before="156" w:beforeLines="50" w:line="360" w:lineRule="auto"/>
              <w:jc w:val="center"/>
              <w:rPr>
                <w:szCs w:val="21"/>
              </w:rPr>
            </w:pPr>
            <w:r>
              <w:rPr>
                <w:szCs w:val="21"/>
              </w:rPr>
              <w:t>4</w:t>
            </w:r>
          </w:p>
        </w:tc>
        <w:tc>
          <w:tcPr>
            <w:tcW w:w="1559" w:type="dxa"/>
            <w:shd w:val="clear" w:color="auto" w:fill="auto"/>
            <w:vAlign w:val="center"/>
          </w:tcPr>
          <w:p w14:paraId="0E20E346">
            <w:pPr>
              <w:jc w:val="center"/>
              <w:rPr>
                <w:szCs w:val="21"/>
              </w:rPr>
            </w:pPr>
            <w:r>
              <w:rPr>
                <w:rFonts w:hint="eastAsia"/>
                <w:szCs w:val="21"/>
              </w:rPr>
              <w:t>业绩证明</w:t>
            </w:r>
          </w:p>
        </w:tc>
        <w:tc>
          <w:tcPr>
            <w:tcW w:w="6944" w:type="dxa"/>
            <w:vAlign w:val="center"/>
          </w:tcPr>
          <w:p w14:paraId="125FCA67">
            <w:pPr>
              <w:pStyle w:val="23"/>
              <w:numPr>
                <w:ilvl w:val="1"/>
                <w:numId w:val="2"/>
              </w:numPr>
              <w:ind w:firstLineChars="0"/>
              <w:rPr>
                <w:szCs w:val="21"/>
              </w:rPr>
            </w:pPr>
            <w:r>
              <w:rPr>
                <w:rFonts w:hint="eastAsia"/>
                <w:szCs w:val="21"/>
              </w:rPr>
              <w:t>年实验动物饲料营业额</w:t>
            </w:r>
            <w:r>
              <w:rPr>
                <w:szCs w:val="21"/>
              </w:rPr>
              <w:t>不低于</w:t>
            </w:r>
            <w:r>
              <w:rPr>
                <w:rFonts w:hint="eastAsia"/>
                <w:szCs w:val="21"/>
              </w:rPr>
              <w:t>5,000万元；</w:t>
            </w:r>
          </w:p>
          <w:p w14:paraId="1EBBAF07">
            <w:pPr>
              <w:pStyle w:val="23"/>
              <w:numPr>
                <w:ilvl w:val="1"/>
                <w:numId w:val="2"/>
              </w:numPr>
              <w:ind w:firstLineChars="0"/>
              <w:rPr>
                <w:szCs w:val="21"/>
              </w:rPr>
            </w:pPr>
            <w:r>
              <w:rPr>
                <w:rFonts w:hint="eastAsia"/>
                <w:szCs w:val="21"/>
              </w:rPr>
              <w:t>作为985、211高校主流供应商，</w:t>
            </w:r>
            <w:r>
              <w:rPr>
                <w:szCs w:val="21"/>
              </w:rPr>
              <w:t>年</w:t>
            </w:r>
            <w:r>
              <w:rPr>
                <w:rFonts w:hint="eastAsia"/>
                <w:szCs w:val="21"/>
              </w:rPr>
              <w:t>成交金额</w:t>
            </w:r>
            <w:r>
              <w:rPr>
                <w:szCs w:val="21"/>
              </w:rPr>
              <w:t>不</w:t>
            </w:r>
            <w:r>
              <w:rPr>
                <w:rFonts w:hint="eastAsia"/>
                <w:szCs w:val="21"/>
              </w:rPr>
              <w:t>低于</w:t>
            </w:r>
            <w:r>
              <w:rPr>
                <w:szCs w:val="21"/>
              </w:rPr>
              <w:t>1</w:t>
            </w:r>
            <w:r>
              <w:rPr>
                <w:rFonts w:hint="eastAsia"/>
                <w:szCs w:val="21"/>
              </w:rPr>
              <w:t>,</w:t>
            </w:r>
            <w:r>
              <w:rPr>
                <w:szCs w:val="21"/>
              </w:rPr>
              <w:t>00</w:t>
            </w:r>
            <w:r>
              <w:rPr>
                <w:rFonts w:hint="eastAsia"/>
                <w:szCs w:val="21"/>
              </w:rPr>
              <w:t>0万元</w:t>
            </w:r>
            <w:r>
              <w:rPr>
                <w:szCs w:val="21"/>
              </w:rPr>
              <w:t>（</w:t>
            </w:r>
            <w:r>
              <w:rPr>
                <w:rFonts w:hint="eastAsia"/>
                <w:szCs w:val="21"/>
                <w:lang w:val="en-US" w:eastAsia="zh-CN"/>
              </w:rPr>
              <w:t>以合同签订日期为准，</w:t>
            </w:r>
            <w:r>
              <w:rPr>
                <w:szCs w:val="21"/>
              </w:rPr>
              <w:t>提供</w:t>
            </w:r>
            <w:r>
              <w:rPr>
                <w:rFonts w:hint="eastAsia"/>
                <w:szCs w:val="21"/>
              </w:rPr>
              <w:t>近2年</w:t>
            </w:r>
            <w:r>
              <w:rPr>
                <w:szCs w:val="21"/>
              </w:rPr>
              <w:t>合同</w:t>
            </w:r>
            <w:r>
              <w:rPr>
                <w:rFonts w:hint="eastAsia"/>
                <w:szCs w:val="21"/>
              </w:rPr>
              <w:t>等证明材料</w:t>
            </w:r>
            <w:r>
              <w:rPr>
                <w:szCs w:val="21"/>
              </w:rPr>
              <w:t>）</w:t>
            </w:r>
            <w:r>
              <w:rPr>
                <w:rFonts w:hint="eastAsia"/>
                <w:szCs w:val="21"/>
              </w:rPr>
              <w:t>。</w:t>
            </w:r>
          </w:p>
        </w:tc>
      </w:tr>
    </w:tbl>
    <w:p w14:paraId="15F00330">
      <w:pPr>
        <w:tabs>
          <w:tab w:val="left" w:pos="900"/>
        </w:tabs>
        <w:adjustRightInd w:val="0"/>
        <w:snapToGrid w:val="0"/>
        <w:spacing w:line="360" w:lineRule="auto"/>
        <w:rPr>
          <w:rFonts w:hint="eastAsia" w:hAnsi="宋体"/>
          <w:b/>
          <w:szCs w:val="21"/>
        </w:rPr>
      </w:pPr>
    </w:p>
    <w:p w14:paraId="0E502799">
      <w:pPr>
        <w:tabs>
          <w:tab w:val="left" w:pos="900"/>
        </w:tabs>
        <w:adjustRightInd w:val="0"/>
        <w:snapToGrid w:val="0"/>
        <w:spacing w:line="360" w:lineRule="auto"/>
        <w:ind w:firstLine="422" w:firstLineChars="200"/>
        <w:rPr>
          <w:rFonts w:hint="eastAsia" w:hAnsi="宋体"/>
          <w:b/>
          <w:szCs w:val="21"/>
        </w:rPr>
      </w:pPr>
      <w:r>
        <w:rPr>
          <w:rFonts w:hint="eastAsia" w:hAnsi="宋体"/>
          <w:b/>
          <w:szCs w:val="21"/>
        </w:rPr>
        <w:t>五、采购标的需满足的服务标准、期限、效率等要求</w:t>
      </w:r>
    </w:p>
    <w:p w14:paraId="7F288812">
      <w:pPr>
        <w:tabs>
          <w:tab w:val="left" w:pos="420"/>
          <w:tab w:val="left" w:pos="900"/>
        </w:tabs>
        <w:adjustRightInd w:val="0"/>
        <w:snapToGrid w:val="0"/>
        <w:spacing w:line="360" w:lineRule="auto"/>
        <w:ind w:firstLine="420" w:firstLineChars="200"/>
        <w:rPr>
          <w:rFonts w:hint="eastAsia" w:ascii="宋体" w:hAnsi="宋体"/>
          <w:szCs w:val="21"/>
        </w:rPr>
      </w:pPr>
      <w:r>
        <w:rPr>
          <w:rFonts w:hint="eastAsia" w:ascii="宋体" w:hAnsi="宋体"/>
          <w:szCs w:val="21"/>
        </w:rPr>
        <w:t>（一）质保期：≥</w:t>
      </w:r>
      <w:r>
        <w:rPr>
          <w:szCs w:val="21"/>
        </w:rPr>
        <w:t>6个月。</w:t>
      </w:r>
    </w:p>
    <w:p w14:paraId="450C5FFF">
      <w:pPr>
        <w:tabs>
          <w:tab w:val="left" w:pos="420"/>
          <w:tab w:val="left" w:pos="900"/>
        </w:tabs>
        <w:adjustRightInd w:val="0"/>
        <w:snapToGrid w:val="0"/>
        <w:spacing w:line="360" w:lineRule="auto"/>
        <w:ind w:firstLine="420" w:firstLineChars="200"/>
        <w:rPr>
          <w:szCs w:val="21"/>
        </w:rPr>
      </w:pPr>
      <w:r>
        <w:rPr>
          <w:rFonts w:hint="eastAsia" w:ascii="宋体" w:hAnsi="宋体"/>
          <w:szCs w:val="21"/>
        </w:rPr>
        <w:t>（二）服务响应时间：</w:t>
      </w:r>
      <w:r>
        <w:rPr>
          <w:szCs w:val="21"/>
        </w:rPr>
        <w:t>接到反映问题电话后4小时内给予明确答复，8小时内提出解决办法，若为饲料质量问题，供应商须在48小时内完成免费换货。若问题特殊供货方需在48小时内给出合理解决方案并在72小时内解决问题。</w:t>
      </w:r>
    </w:p>
    <w:p w14:paraId="250BAB25">
      <w:pPr>
        <w:tabs>
          <w:tab w:val="left" w:pos="420"/>
          <w:tab w:val="left" w:pos="900"/>
        </w:tabs>
        <w:adjustRightInd w:val="0"/>
        <w:snapToGrid w:val="0"/>
        <w:spacing w:line="360" w:lineRule="auto"/>
        <w:ind w:firstLine="422" w:firstLineChars="200"/>
        <w:rPr>
          <w:rFonts w:hint="eastAsia" w:ascii="宋体" w:hAnsi="宋体"/>
          <w:b/>
          <w:szCs w:val="21"/>
        </w:rPr>
      </w:pPr>
      <w:r>
        <w:rPr>
          <w:rFonts w:hint="eastAsia" w:ascii="宋体" w:hAnsi="宋体"/>
          <w:b/>
          <w:szCs w:val="21"/>
        </w:rPr>
        <w:t>六、</w:t>
      </w:r>
      <w:r>
        <w:rPr>
          <w:rFonts w:ascii="宋体" w:hAnsi="宋体"/>
          <w:b/>
          <w:szCs w:val="21"/>
        </w:rPr>
        <w:t>采购标的的</w:t>
      </w:r>
      <w:r>
        <w:rPr>
          <w:rFonts w:hint="eastAsia" w:ascii="宋体" w:hAnsi="宋体"/>
          <w:b/>
          <w:szCs w:val="21"/>
        </w:rPr>
        <w:t>履约验收标准</w:t>
      </w:r>
    </w:p>
    <w:bookmarkEnd w:id="1"/>
    <w:bookmarkEnd w:id="2"/>
    <w:bookmarkEnd w:id="3"/>
    <w:tbl>
      <w:tblPr>
        <w:tblStyle w:val="10"/>
        <w:tblW w:w="9061"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4908"/>
        <w:gridCol w:w="3463"/>
      </w:tblGrid>
      <w:tr w14:paraId="7317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3"/>
          </w:tcPr>
          <w:p w14:paraId="590481C9">
            <w:pPr>
              <w:keepNext w:val="0"/>
              <w:keepLines w:val="0"/>
              <w:pageBreakBefore w:val="0"/>
              <w:kinsoku/>
              <w:wordWrap/>
              <w:overflowPunct/>
              <w:topLinePunct w:val="0"/>
              <w:autoSpaceDE/>
              <w:autoSpaceDN/>
              <w:bidi w:val="0"/>
              <w:spacing w:line="240" w:lineRule="auto"/>
              <w:jc w:val="left"/>
              <w:textAlignment w:val="baseline"/>
              <w:rPr>
                <w:szCs w:val="21"/>
              </w:rPr>
            </w:pPr>
            <w:bookmarkStart w:id="12" w:name="OLE_LINK3"/>
            <w:r>
              <w:rPr>
                <w:rFonts w:hint="eastAsia" w:ascii="宋体" w:hAnsi="宋体"/>
                <w:b/>
                <w:bCs/>
                <w:color w:val="000000"/>
                <w:kern w:val="0"/>
                <w:szCs w:val="21"/>
              </w:rPr>
              <w:t>一、货物类项目验收要求</w:t>
            </w:r>
          </w:p>
        </w:tc>
      </w:tr>
      <w:tr w14:paraId="651A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tcPr>
          <w:p w14:paraId="0D731474">
            <w:pPr>
              <w:keepNext w:val="0"/>
              <w:keepLines w:val="0"/>
              <w:pageBreakBefore w:val="0"/>
              <w:kinsoku/>
              <w:wordWrap/>
              <w:overflowPunct/>
              <w:topLinePunct w:val="0"/>
              <w:autoSpaceDE/>
              <w:autoSpaceDN/>
              <w:bidi w:val="0"/>
              <w:spacing w:line="240" w:lineRule="auto"/>
              <w:textAlignment w:val="baseline"/>
              <w:rPr>
                <w:szCs w:val="21"/>
              </w:rPr>
            </w:pPr>
            <w:r>
              <w:rPr>
                <w:rFonts w:hint="eastAsia" w:ascii="宋体" w:hAnsi="宋体"/>
                <w:color w:val="000000"/>
                <w:kern w:val="0"/>
                <w:szCs w:val="21"/>
              </w:rPr>
              <w:t>序号</w:t>
            </w:r>
          </w:p>
        </w:tc>
        <w:tc>
          <w:tcPr>
            <w:tcW w:w="4908" w:type="dxa"/>
          </w:tcPr>
          <w:p w14:paraId="5A4FE425">
            <w:pPr>
              <w:keepNext w:val="0"/>
              <w:keepLines w:val="0"/>
              <w:pageBreakBefore w:val="0"/>
              <w:kinsoku/>
              <w:wordWrap/>
              <w:overflowPunct/>
              <w:topLinePunct w:val="0"/>
              <w:autoSpaceDE/>
              <w:autoSpaceDN/>
              <w:bidi w:val="0"/>
              <w:spacing w:line="240" w:lineRule="auto"/>
              <w:textAlignment w:val="baseline"/>
              <w:rPr>
                <w:szCs w:val="21"/>
              </w:rPr>
            </w:pPr>
            <w:r>
              <w:rPr>
                <w:szCs w:val="21"/>
              </w:rPr>
              <w:t>功能或指标</w:t>
            </w:r>
          </w:p>
        </w:tc>
        <w:tc>
          <w:tcPr>
            <w:tcW w:w="3463" w:type="dxa"/>
          </w:tcPr>
          <w:p w14:paraId="197E2998">
            <w:pPr>
              <w:keepNext w:val="0"/>
              <w:keepLines w:val="0"/>
              <w:pageBreakBefore w:val="0"/>
              <w:kinsoku/>
              <w:wordWrap/>
              <w:overflowPunct/>
              <w:topLinePunct w:val="0"/>
              <w:autoSpaceDE/>
              <w:autoSpaceDN/>
              <w:bidi w:val="0"/>
              <w:spacing w:line="240" w:lineRule="auto"/>
              <w:textAlignment w:val="baseline"/>
              <w:rPr>
                <w:szCs w:val="21"/>
              </w:rPr>
            </w:pPr>
            <w:r>
              <w:rPr>
                <w:szCs w:val="21"/>
              </w:rPr>
              <w:t>验收或测试方法</w:t>
            </w:r>
          </w:p>
        </w:tc>
      </w:tr>
      <w:tr w14:paraId="5441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7" w:hRule="atLeast"/>
        </w:trPr>
        <w:tc>
          <w:tcPr>
            <w:tcW w:w="690" w:type="dxa"/>
            <w:vAlign w:val="center"/>
          </w:tcPr>
          <w:p w14:paraId="5318406E">
            <w:pPr>
              <w:keepNext w:val="0"/>
              <w:keepLines w:val="0"/>
              <w:pageBreakBefore w:val="0"/>
              <w:kinsoku/>
              <w:wordWrap/>
              <w:overflowPunct/>
              <w:topLinePunct w:val="0"/>
              <w:autoSpaceDE/>
              <w:autoSpaceDN/>
              <w:bidi w:val="0"/>
              <w:spacing w:line="240" w:lineRule="auto"/>
              <w:jc w:val="left"/>
              <w:textAlignment w:val="baseline"/>
              <w:rPr>
                <w:szCs w:val="21"/>
              </w:rPr>
            </w:pPr>
            <w:r>
              <w:rPr>
                <w:rFonts w:hint="eastAsia"/>
                <w:szCs w:val="21"/>
              </w:rPr>
              <w:t>1</w:t>
            </w:r>
          </w:p>
        </w:tc>
        <w:tc>
          <w:tcPr>
            <w:tcW w:w="4908" w:type="dxa"/>
            <w:vAlign w:val="center"/>
          </w:tcPr>
          <w:p w14:paraId="12A1B371">
            <w:pPr>
              <w:keepNext w:val="0"/>
              <w:keepLines w:val="0"/>
              <w:pageBreakBefore w:val="0"/>
              <w:kinsoku/>
              <w:wordWrap/>
              <w:overflowPunct/>
              <w:topLinePunct w:val="0"/>
              <w:autoSpaceDE/>
              <w:autoSpaceDN/>
              <w:bidi w:val="0"/>
              <w:spacing w:line="240" w:lineRule="auto"/>
              <w:jc w:val="left"/>
              <w:textAlignment w:val="baseline"/>
              <w:rPr>
                <w:szCs w:val="21"/>
              </w:rPr>
            </w:pPr>
            <w:r>
              <w:rPr>
                <w:szCs w:val="21"/>
              </w:rPr>
              <w:t>SPF</w:t>
            </w:r>
            <w:r>
              <w:rPr>
                <w:rFonts w:hint="eastAsia"/>
                <w:szCs w:val="21"/>
              </w:rPr>
              <w:t>级动物</w:t>
            </w:r>
            <w:r>
              <w:rPr>
                <w:szCs w:val="21"/>
              </w:rPr>
              <w:t>饲料</w:t>
            </w:r>
            <w:r>
              <w:rPr>
                <w:rFonts w:hint="eastAsia"/>
                <w:szCs w:val="21"/>
              </w:rPr>
              <w:t>需满足：</w:t>
            </w:r>
          </w:p>
          <w:p w14:paraId="71310D30">
            <w:pPr>
              <w:keepNext w:val="0"/>
              <w:keepLines w:val="0"/>
              <w:pageBreakBefore w:val="0"/>
              <w:numPr>
                <w:ilvl w:val="0"/>
                <w:numId w:val="3"/>
              </w:numPr>
              <w:kinsoku/>
              <w:wordWrap/>
              <w:overflowPunct/>
              <w:topLinePunct w:val="0"/>
              <w:autoSpaceDE/>
              <w:autoSpaceDN/>
              <w:bidi w:val="0"/>
              <w:spacing w:line="240" w:lineRule="auto"/>
              <w:ind w:left="420" w:hanging="420"/>
              <w:jc w:val="left"/>
              <w:textAlignment w:val="baseline"/>
              <w:rPr>
                <w:szCs w:val="21"/>
              </w:rPr>
            </w:pPr>
            <w:r>
              <w:rPr>
                <w:rFonts w:hint="eastAsia"/>
                <w:szCs w:val="21"/>
              </w:rPr>
              <w:t>双层包装抽真空，外包装密封性</w:t>
            </w:r>
            <w:r>
              <w:rPr>
                <w:szCs w:val="21"/>
              </w:rPr>
              <w:t>完好</w:t>
            </w:r>
            <w:r>
              <w:rPr>
                <w:rFonts w:hint="eastAsia"/>
                <w:szCs w:val="21"/>
              </w:rPr>
              <w:t>，</w:t>
            </w:r>
            <w:bookmarkStart w:id="13" w:name="OLE_LINK18"/>
            <w:r>
              <w:rPr>
                <w:rFonts w:hint="eastAsia"/>
                <w:szCs w:val="21"/>
              </w:rPr>
              <w:t>漏气率不超过</w:t>
            </w:r>
            <w:r>
              <w:rPr>
                <w:rFonts w:hint="eastAsia"/>
                <w:szCs w:val="21"/>
                <w:lang w:val="en-US" w:eastAsia="zh-CN"/>
              </w:rPr>
              <w:t>5</w:t>
            </w:r>
            <w:r>
              <w:rPr>
                <w:szCs w:val="21"/>
              </w:rPr>
              <w:t xml:space="preserve"> </w:t>
            </w:r>
            <w:r>
              <w:rPr>
                <w:rFonts w:hint="eastAsia"/>
                <w:szCs w:val="21"/>
              </w:rPr>
              <w:t>%；</w:t>
            </w:r>
            <w:bookmarkEnd w:id="13"/>
          </w:p>
          <w:p w14:paraId="3DB54014">
            <w:pPr>
              <w:pStyle w:val="23"/>
              <w:keepNext w:val="0"/>
              <w:keepLines w:val="0"/>
              <w:pageBreakBefore w:val="0"/>
              <w:numPr>
                <w:ilvl w:val="0"/>
                <w:numId w:val="3"/>
              </w:numPr>
              <w:tabs>
                <w:tab w:val="left" w:pos="900"/>
              </w:tabs>
              <w:kinsoku/>
              <w:wordWrap/>
              <w:overflowPunct/>
              <w:topLinePunct w:val="0"/>
              <w:autoSpaceDE/>
              <w:autoSpaceDN/>
              <w:bidi w:val="0"/>
              <w:spacing w:line="240" w:lineRule="auto"/>
              <w:ind w:left="360" w:hanging="360" w:firstLineChars="0"/>
              <w:jc w:val="left"/>
              <w:rPr>
                <w:szCs w:val="21"/>
              </w:rPr>
            </w:pPr>
            <w:r>
              <w:rPr>
                <w:rFonts w:hint="eastAsia"/>
                <w:szCs w:val="21"/>
              </w:rPr>
              <w:t>饲料混合均匀，新鲜、无杂质、无异味、无霉变、无发酵、无虫蛀及鼠咬；</w:t>
            </w:r>
          </w:p>
          <w:p w14:paraId="6A0436E0">
            <w:pPr>
              <w:keepNext w:val="0"/>
              <w:keepLines w:val="0"/>
              <w:pageBreakBefore w:val="0"/>
              <w:numPr>
                <w:ilvl w:val="0"/>
                <w:numId w:val="3"/>
              </w:numPr>
              <w:kinsoku/>
              <w:wordWrap/>
              <w:overflowPunct/>
              <w:topLinePunct w:val="0"/>
              <w:autoSpaceDE/>
              <w:autoSpaceDN/>
              <w:bidi w:val="0"/>
              <w:spacing w:line="240" w:lineRule="auto"/>
              <w:ind w:left="420" w:hanging="420"/>
              <w:jc w:val="left"/>
              <w:textAlignment w:val="baseline"/>
              <w:rPr>
                <w:szCs w:val="21"/>
              </w:rPr>
            </w:pPr>
            <w:r>
              <w:rPr>
                <w:rFonts w:hint="eastAsia"/>
                <w:szCs w:val="21"/>
              </w:rPr>
              <w:t>实验鼠饲料明确</w:t>
            </w:r>
            <w:r>
              <w:rPr>
                <w:szCs w:val="21"/>
              </w:rPr>
              <w:t>标注钴</w:t>
            </w:r>
            <w:r>
              <w:rPr>
                <w:szCs w:val="21"/>
                <w:vertAlign w:val="superscript"/>
              </w:rPr>
              <w:t>60</w:t>
            </w:r>
            <w:r>
              <w:rPr>
                <w:szCs w:val="21"/>
              </w:rPr>
              <w:t>辐照饲料</w:t>
            </w:r>
            <w:r>
              <w:rPr>
                <w:rFonts w:hint="eastAsia"/>
                <w:szCs w:val="21"/>
              </w:rPr>
              <w:t>并提供</w:t>
            </w:r>
            <w:r>
              <w:rPr>
                <w:szCs w:val="21"/>
              </w:rPr>
              <w:t>饲料辐照记录</w:t>
            </w:r>
            <w:r>
              <w:rPr>
                <w:rFonts w:hint="eastAsia"/>
                <w:szCs w:val="21"/>
              </w:rPr>
              <w:t>；</w:t>
            </w:r>
          </w:p>
          <w:p w14:paraId="67D2341B">
            <w:pPr>
              <w:keepNext w:val="0"/>
              <w:keepLines w:val="0"/>
              <w:pageBreakBefore w:val="0"/>
              <w:numPr>
                <w:ilvl w:val="0"/>
                <w:numId w:val="3"/>
              </w:numPr>
              <w:kinsoku/>
              <w:wordWrap/>
              <w:overflowPunct/>
              <w:topLinePunct w:val="0"/>
              <w:autoSpaceDE/>
              <w:autoSpaceDN/>
              <w:bidi w:val="0"/>
              <w:spacing w:line="240" w:lineRule="auto"/>
              <w:ind w:left="420" w:hanging="420"/>
              <w:jc w:val="left"/>
              <w:textAlignment w:val="baseline"/>
              <w:rPr>
                <w:szCs w:val="21"/>
              </w:rPr>
            </w:pPr>
            <w:r>
              <w:rPr>
                <w:rFonts w:hint="eastAsia"/>
                <w:szCs w:val="21"/>
              </w:rPr>
              <w:t>采购需求中3</w:t>
            </w:r>
            <w:r>
              <w:rPr>
                <w:szCs w:val="21"/>
              </w:rPr>
              <w:t>.4</w:t>
            </w:r>
            <w:r>
              <w:rPr>
                <w:rFonts w:hint="eastAsia"/>
                <w:szCs w:val="21"/>
              </w:rPr>
              <w:t>项微生物指标满足国标规定。</w:t>
            </w:r>
          </w:p>
        </w:tc>
        <w:tc>
          <w:tcPr>
            <w:tcW w:w="3463" w:type="dxa"/>
            <w:vAlign w:val="center"/>
          </w:tcPr>
          <w:p w14:paraId="61A324EE">
            <w:pPr>
              <w:keepNext w:val="0"/>
              <w:keepLines w:val="0"/>
              <w:pageBreakBefore w:val="0"/>
              <w:kinsoku/>
              <w:wordWrap/>
              <w:overflowPunct/>
              <w:topLinePunct w:val="0"/>
              <w:autoSpaceDE/>
              <w:autoSpaceDN/>
              <w:bidi w:val="0"/>
              <w:spacing w:line="240" w:lineRule="auto"/>
              <w:jc w:val="left"/>
              <w:textAlignment w:val="baseline"/>
              <w:rPr>
                <w:szCs w:val="21"/>
              </w:rPr>
            </w:pPr>
            <w:r>
              <w:rPr>
                <w:rFonts w:hint="eastAsia"/>
                <w:szCs w:val="21"/>
              </w:rPr>
              <w:t>（1）、（2）、（3）项</w:t>
            </w:r>
            <w:r>
              <w:rPr>
                <w:szCs w:val="21"/>
              </w:rPr>
              <w:t>现场</w:t>
            </w:r>
            <w:r>
              <w:rPr>
                <w:rFonts w:hint="eastAsia"/>
                <w:szCs w:val="21"/>
              </w:rPr>
              <w:t>抽检</w:t>
            </w:r>
            <w:r>
              <w:rPr>
                <w:szCs w:val="21"/>
              </w:rPr>
              <w:t>验收</w:t>
            </w:r>
            <w:r>
              <w:rPr>
                <w:rFonts w:hint="eastAsia"/>
                <w:szCs w:val="21"/>
              </w:rPr>
              <w:t>；（4）用户随机对每批次新进饲料进行抽检微生物指标，其中细菌总数、霉菌总数及沙门菌总数符合国家标准。</w:t>
            </w:r>
          </w:p>
        </w:tc>
      </w:tr>
      <w:tr w14:paraId="3CF29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14:paraId="79EF60E7">
            <w:pPr>
              <w:keepNext w:val="0"/>
              <w:keepLines w:val="0"/>
              <w:pageBreakBefore w:val="0"/>
              <w:kinsoku/>
              <w:wordWrap/>
              <w:overflowPunct/>
              <w:topLinePunct w:val="0"/>
              <w:autoSpaceDE/>
              <w:autoSpaceDN/>
              <w:bidi w:val="0"/>
              <w:spacing w:line="240" w:lineRule="auto"/>
              <w:jc w:val="left"/>
              <w:textAlignment w:val="baseline"/>
              <w:rPr>
                <w:szCs w:val="21"/>
              </w:rPr>
            </w:pPr>
            <w:r>
              <w:rPr>
                <w:rFonts w:hint="eastAsia"/>
                <w:szCs w:val="21"/>
              </w:rPr>
              <w:t>2</w:t>
            </w:r>
          </w:p>
        </w:tc>
        <w:tc>
          <w:tcPr>
            <w:tcW w:w="4908" w:type="dxa"/>
            <w:vAlign w:val="center"/>
          </w:tcPr>
          <w:p w14:paraId="36C69F8F">
            <w:pPr>
              <w:keepNext w:val="0"/>
              <w:keepLines w:val="0"/>
              <w:pageBreakBefore w:val="0"/>
              <w:kinsoku/>
              <w:wordWrap/>
              <w:overflowPunct/>
              <w:topLinePunct w:val="0"/>
              <w:autoSpaceDE/>
              <w:autoSpaceDN/>
              <w:bidi w:val="0"/>
              <w:spacing w:line="240" w:lineRule="auto"/>
              <w:jc w:val="left"/>
              <w:textAlignment w:val="baseline"/>
              <w:rPr>
                <w:szCs w:val="21"/>
              </w:rPr>
            </w:pPr>
            <w:r>
              <w:rPr>
                <w:szCs w:val="21"/>
              </w:rPr>
              <w:t>普通</w:t>
            </w:r>
            <w:r>
              <w:rPr>
                <w:rFonts w:hint="eastAsia"/>
                <w:szCs w:val="21"/>
              </w:rPr>
              <w:t>级实验动物维持</w:t>
            </w:r>
            <w:r>
              <w:rPr>
                <w:szCs w:val="21"/>
              </w:rPr>
              <w:t>饲料单层防潮包装完好，无结块</w:t>
            </w:r>
            <w:r>
              <w:rPr>
                <w:rFonts w:hint="eastAsia"/>
                <w:szCs w:val="21"/>
              </w:rPr>
              <w:t>、无霉斑。</w:t>
            </w:r>
          </w:p>
        </w:tc>
        <w:tc>
          <w:tcPr>
            <w:tcW w:w="3463" w:type="dxa"/>
            <w:vAlign w:val="center"/>
          </w:tcPr>
          <w:p w14:paraId="0C5EDB80">
            <w:pPr>
              <w:keepNext w:val="0"/>
              <w:keepLines w:val="0"/>
              <w:pageBreakBefore w:val="0"/>
              <w:kinsoku/>
              <w:wordWrap/>
              <w:overflowPunct/>
              <w:topLinePunct w:val="0"/>
              <w:autoSpaceDE/>
              <w:autoSpaceDN/>
              <w:bidi w:val="0"/>
              <w:spacing w:line="240" w:lineRule="auto"/>
              <w:jc w:val="left"/>
              <w:textAlignment w:val="baseline"/>
              <w:rPr>
                <w:szCs w:val="21"/>
              </w:rPr>
            </w:pPr>
            <w:r>
              <w:rPr>
                <w:szCs w:val="21"/>
              </w:rPr>
              <w:t>现场</w:t>
            </w:r>
            <w:r>
              <w:rPr>
                <w:rFonts w:hint="eastAsia"/>
                <w:szCs w:val="21"/>
              </w:rPr>
              <w:t>抽检</w:t>
            </w:r>
            <w:r>
              <w:rPr>
                <w:szCs w:val="21"/>
              </w:rPr>
              <w:t>验收</w:t>
            </w:r>
          </w:p>
        </w:tc>
      </w:tr>
      <w:tr w14:paraId="5556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14:paraId="4B3ADB0C">
            <w:pPr>
              <w:keepNext w:val="0"/>
              <w:keepLines w:val="0"/>
              <w:pageBreakBefore w:val="0"/>
              <w:kinsoku/>
              <w:wordWrap/>
              <w:overflowPunct/>
              <w:topLinePunct w:val="0"/>
              <w:autoSpaceDE/>
              <w:autoSpaceDN/>
              <w:bidi w:val="0"/>
              <w:spacing w:line="240" w:lineRule="auto"/>
              <w:jc w:val="left"/>
              <w:textAlignment w:val="baseline"/>
              <w:rPr>
                <w:szCs w:val="21"/>
              </w:rPr>
            </w:pPr>
            <w:r>
              <w:rPr>
                <w:rFonts w:hint="eastAsia"/>
                <w:szCs w:val="21"/>
              </w:rPr>
              <w:t>3</w:t>
            </w:r>
          </w:p>
        </w:tc>
        <w:tc>
          <w:tcPr>
            <w:tcW w:w="4908" w:type="dxa"/>
            <w:vAlign w:val="center"/>
          </w:tcPr>
          <w:p w14:paraId="0E576C6E">
            <w:pPr>
              <w:keepNext w:val="0"/>
              <w:keepLines w:val="0"/>
              <w:pageBreakBefore w:val="0"/>
              <w:kinsoku/>
              <w:wordWrap/>
              <w:overflowPunct/>
              <w:topLinePunct w:val="0"/>
              <w:autoSpaceDE/>
              <w:autoSpaceDN/>
              <w:bidi w:val="0"/>
              <w:spacing w:line="240" w:lineRule="auto"/>
              <w:jc w:val="left"/>
              <w:textAlignment w:val="baseline"/>
              <w:rPr>
                <w:szCs w:val="21"/>
              </w:rPr>
            </w:pPr>
            <w:r>
              <w:rPr>
                <w:rFonts w:hint="eastAsia"/>
                <w:szCs w:val="21"/>
              </w:rPr>
              <w:t>明确</w:t>
            </w:r>
            <w:r>
              <w:rPr>
                <w:szCs w:val="21"/>
              </w:rPr>
              <w:t>标注生产日期及保质期</w:t>
            </w:r>
          </w:p>
        </w:tc>
        <w:tc>
          <w:tcPr>
            <w:tcW w:w="3463" w:type="dxa"/>
            <w:vAlign w:val="center"/>
          </w:tcPr>
          <w:p w14:paraId="605FEC91">
            <w:pPr>
              <w:keepNext w:val="0"/>
              <w:keepLines w:val="0"/>
              <w:pageBreakBefore w:val="0"/>
              <w:kinsoku/>
              <w:wordWrap/>
              <w:overflowPunct/>
              <w:topLinePunct w:val="0"/>
              <w:autoSpaceDE/>
              <w:autoSpaceDN/>
              <w:bidi w:val="0"/>
              <w:spacing w:line="240" w:lineRule="auto"/>
              <w:jc w:val="left"/>
              <w:textAlignment w:val="baseline"/>
              <w:rPr>
                <w:szCs w:val="21"/>
              </w:rPr>
            </w:pPr>
            <w:r>
              <w:rPr>
                <w:szCs w:val="21"/>
              </w:rPr>
              <w:t>现场验收</w:t>
            </w:r>
          </w:p>
        </w:tc>
      </w:tr>
      <w:tr w14:paraId="3BE8A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14:paraId="27959EA3">
            <w:pPr>
              <w:keepNext w:val="0"/>
              <w:keepLines w:val="0"/>
              <w:pageBreakBefore w:val="0"/>
              <w:kinsoku/>
              <w:wordWrap/>
              <w:overflowPunct/>
              <w:topLinePunct w:val="0"/>
              <w:autoSpaceDE/>
              <w:autoSpaceDN/>
              <w:bidi w:val="0"/>
              <w:spacing w:line="240" w:lineRule="auto"/>
              <w:jc w:val="left"/>
              <w:textAlignment w:val="baseline"/>
              <w:rPr>
                <w:szCs w:val="21"/>
              </w:rPr>
            </w:pPr>
            <w:r>
              <w:rPr>
                <w:rFonts w:hint="eastAsia"/>
                <w:szCs w:val="21"/>
              </w:rPr>
              <w:t>4</w:t>
            </w:r>
          </w:p>
        </w:tc>
        <w:tc>
          <w:tcPr>
            <w:tcW w:w="4908" w:type="dxa"/>
            <w:vAlign w:val="center"/>
          </w:tcPr>
          <w:p w14:paraId="436A57D0">
            <w:pPr>
              <w:keepNext w:val="0"/>
              <w:keepLines w:val="0"/>
              <w:pageBreakBefore w:val="0"/>
              <w:kinsoku/>
              <w:wordWrap/>
              <w:overflowPunct/>
              <w:topLinePunct w:val="0"/>
              <w:autoSpaceDE/>
              <w:autoSpaceDN/>
              <w:bidi w:val="0"/>
              <w:spacing w:line="240" w:lineRule="auto"/>
              <w:jc w:val="left"/>
              <w:textAlignment w:val="baseline"/>
              <w:rPr>
                <w:szCs w:val="21"/>
              </w:rPr>
            </w:pPr>
            <w:r>
              <w:rPr>
                <w:szCs w:val="21"/>
              </w:rPr>
              <w:t>验收时是否需要供应商提供样品</w:t>
            </w:r>
          </w:p>
        </w:tc>
        <w:tc>
          <w:tcPr>
            <w:tcW w:w="3463" w:type="dxa"/>
            <w:vAlign w:val="center"/>
          </w:tcPr>
          <w:p w14:paraId="19C9E291">
            <w:pPr>
              <w:keepNext w:val="0"/>
              <w:keepLines w:val="0"/>
              <w:pageBreakBefore w:val="0"/>
              <w:kinsoku/>
              <w:wordWrap/>
              <w:overflowPunct/>
              <w:topLinePunct w:val="0"/>
              <w:autoSpaceDE/>
              <w:autoSpaceDN/>
              <w:bidi w:val="0"/>
              <w:spacing w:line="240" w:lineRule="auto"/>
              <w:jc w:val="left"/>
              <w:textAlignment w:val="baseline"/>
              <w:rPr>
                <w:szCs w:val="21"/>
              </w:rPr>
            </w:pPr>
            <w:r>
              <w:rPr>
                <w:szCs w:val="21"/>
              </w:rPr>
              <w:t>是□</w:t>
            </w:r>
            <w:r>
              <w:rPr>
                <w:rFonts w:hint="eastAsia"/>
                <w:szCs w:val="21"/>
              </w:rPr>
              <w:t xml:space="preserve">    </w:t>
            </w:r>
            <w:r>
              <w:rPr>
                <w:szCs w:val="21"/>
              </w:rPr>
              <w:t>否</w:t>
            </w:r>
            <w:r>
              <w:rPr>
                <w:szCs w:val="21"/>
              </w:rPr>
              <w:sym w:font="Wingdings 2" w:char="0052"/>
            </w:r>
          </w:p>
        </w:tc>
      </w:tr>
      <w:tr w14:paraId="6AFF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14:paraId="7977FE7E">
            <w:pPr>
              <w:keepNext w:val="0"/>
              <w:keepLines w:val="0"/>
              <w:pageBreakBefore w:val="0"/>
              <w:kinsoku/>
              <w:wordWrap/>
              <w:overflowPunct/>
              <w:topLinePunct w:val="0"/>
              <w:autoSpaceDE/>
              <w:autoSpaceDN/>
              <w:bidi w:val="0"/>
              <w:spacing w:line="240" w:lineRule="auto"/>
              <w:jc w:val="left"/>
              <w:textAlignment w:val="baseline"/>
              <w:rPr>
                <w:szCs w:val="21"/>
              </w:rPr>
            </w:pPr>
            <w:r>
              <w:rPr>
                <w:rFonts w:hint="eastAsia"/>
                <w:szCs w:val="21"/>
              </w:rPr>
              <w:t>5</w:t>
            </w:r>
          </w:p>
        </w:tc>
        <w:tc>
          <w:tcPr>
            <w:tcW w:w="4908" w:type="dxa"/>
            <w:vAlign w:val="center"/>
          </w:tcPr>
          <w:p w14:paraId="3D063B05">
            <w:pPr>
              <w:keepNext w:val="0"/>
              <w:keepLines w:val="0"/>
              <w:pageBreakBefore w:val="0"/>
              <w:kinsoku/>
              <w:wordWrap/>
              <w:overflowPunct/>
              <w:topLinePunct w:val="0"/>
              <w:autoSpaceDE/>
              <w:autoSpaceDN/>
              <w:bidi w:val="0"/>
              <w:spacing w:line="240" w:lineRule="auto"/>
              <w:jc w:val="left"/>
              <w:textAlignment w:val="baseline"/>
              <w:rPr>
                <w:szCs w:val="21"/>
              </w:rPr>
            </w:pPr>
            <w:r>
              <w:rPr>
                <w:szCs w:val="21"/>
              </w:rPr>
              <w:t>验收时是否需供应商提供必要的其他设备</w:t>
            </w:r>
          </w:p>
        </w:tc>
        <w:tc>
          <w:tcPr>
            <w:tcW w:w="3463" w:type="dxa"/>
            <w:vAlign w:val="center"/>
          </w:tcPr>
          <w:p w14:paraId="5A46AF79">
            <w:pPr>
              <w:keepNext w:val="0"/>
              <w:keepLines w:val="0"/>
              <w:pageBreakBefore w:val="0"/>
              <w:kinsoku/>
              <w:wordWrap/>
              <w:overflowPunct/>
              <w:topLinePunct w:val="0"/>
              <w:autoSpaceDE/>
              <w:autoSpaceDN/>
              <w:bidi w:val="0"/>
              <w:spacing w:line="240" w:lineRule="auto"/>
              <w:jc w:val="left"/>
              <w:textAlignment w:val="baseline"/>
              <w:rPr>
                <w:szCs w:val="21"/>
              </w:rPr>
            </w:pPr>
            <w:r>
              <w:rPr>
                <w:szCs w:val="21"/>
              </w:rPr>
              <w:t>是□</w:t>
            </w:r>
            <w:r>
              <w:rPr>
                <w:rFonts w:hint="eastAsia"/>
                <w:szCs w:val="21"/>
              </w:rPr>
              <w:t xml:space="preserve">    </w:t>
            </w:r>
            <w:r>
              <w:rPr>
                <w:szCs w:val="21"/>
              </w:rPr>
              <w:t>否</w:t>
            </w:r>
            <w:r>
              <w:rPr>
                <w:szCs w:val="21"/>
              </w:rPr>
              <w:sym w:font="Wingdings 2" w:char="0052"/>
            </w:r>
          </w:p>
        </w:tc>
      </w:tr>
      <w:tr w14:paraId="51A8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61" w:type="dxa"/>
            <w:gridSpan w:val="3"/>
            <w:vAlign w:val="center"/>
          </w:tcPr>
          <w:p w14:paraId="62B84129">
            <w:pPr>
              <w:keepNext w:val="0"/>
              <w:keepLines w:val="0"/>
              <w:pageBreakBefore w:val="0"/>
              <w:widowControl/>
              <w:kinsoku/>
              <w:wordWrap/>
              <w:overflowPunct/>
              <w:topLinePunct w:val="0"/>
              <w:autoSpaceDE/>
              <w:autoSpaceDN/>
              <w:bidi w:val="0"/>
              <w:adjustRightInd w:val="0"/>
              <w:snapToGrid w:val="0"/>
              <w:spacing w:line="240" w:lineRule="auto"/>
              <w:jc w:val="left"/>
              <w:textAlignment w:val="baseline"/>
              <w:rPr>
                <w:rFonts w:hint="eastAsia" w:ascii="宋体" w:hAnsi="宋体"/>
                <w:color w:val="000000"/>
                <w:kern w:val="0"/>
                <w:szCs w:val="21"/>
              </w:rPr>
            </w:pPr>
            <w:r>
              <w:rPr>
                <w:rFonts w:hint="eastAsia" w:ascii="宋体" w:hAnsi="宋体"/>
                <w:b/>
                <w:bCs/>
                <w:color w:val="000000"/>
                <w:kern w:val="0"/>
                <w:szCs w:val="21"/>
              </w:rPr>
              <w:t>二、除现场验收外，需提供的其他验收要求</w:t>
            </w:r>
          </w:p>
        </w:tc>
      </w:tr>
      <w:tr w14:paraId="4317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98" w:type="dxa"/>
            <w:gridSpan w:val="2"/>
            <w:vAlign w:val="center"/>
          </w:tcPr>
          <w:p w14:paraId="50D21A46">
            <w:pPr>
              <w:keepNext w:val="0"/>
              <w:keepLines w:val="0"/>
              <w:pageBreakBefore w:val="0"/>
              <w:widowControl/>
              <w:kinsoku/>
              <w:wordWrap/>
              <w:overflowPunct/>
              <w:topLinePunct w:val="0"/>
              <w:autoSpaceDE/>
              <w:autoSpaceDN/>
              <w:bidi w:val="0"/>
              <w:adjustRightInd w:val="0"/>
              <w:snapToGrid w:val="0"/>
              <w:spacing w:line="240" w:lineRule="auto"/>
              <w:textAlignment w:val="baseline"/>
              <w:rPr>
                <w:rFonts w:hint="eastAsia" w:ascii="宋体" w:hAnsi="宋体"/>
                <w:kern w:val="0"/>
                <w:szCs w:val="21"/>
              </w:rPr>
            </w:pPr>
            <w:r>
              <w:rPr>
                <w:rFonts w:hint="eastAsia" w:ascii="宋体" w:hAnsi="宋体"/>
                <w:kern w:val="0"/>
                <w:szCs w:val="21"/>
              </w:rPr>
              <w:t>验收时需中标商</w:t>
            </w:r>
            <w:r>
              <w:rPr>
                <w:rFonts w:ascii="宋体" w:hAnsi="宋体"/>
                <w:kern w:val="0"/>
                <w:szCs w:val="21"/>
              </w:rPr>
              <w:t>提供第三方检测报告</w:t>
            </w:r>
          </w:p>
        </w:tc>
        <w:tc>
          <w:tcPr>
            <w:tcW w:w="3463" w:type="dxa"/>
            <w:vAlign w:val="center"/>
          </w:tcPr>
          <w:p w14:paraId="2746C4A0">
            <w:pPr>
              <w:keepNext w:val="0"/>
              <w:keepLines w:val="0"/>
              <w:pageBreakBefore w:val="0"/>
              <w:widowControl/>
              <w:kinsoku/>
              <w:wordWrap/>
              <w:overflowPunct/>
              <w:topLinePunct w:val="0"/>
              <w:autoSpaceDE/>
              <w:autoSpaceDN/>
              <w:bidi w:val="0"/>
              <w:adjustRightInd w:val="0"/>
              <w:snapToGrid w:val="0"/>
              <w:spacing w:line="240" w:lineRule="auto"/>
              <w:textAlignment w:val="baseline"/>
              <w:rPr>
                <w:rFonts w:hint="eastAsia" w:ascii="宋体" w:hAnsi="宋体" w:cs="宋体"/>
                <w:kern w:val="0"/>
                <w:szCs w:val="21"/>
              </w:rPr>
            </w:pPr>
          </w:p>
          <w:p w14:paraId="13C2F784">
            <w:pPr>
              <w:keepNext w:val="0"/>
              <w:keepLines w:val="0"/>
              <w:pageBreakBefore w:val="0"/>
              <w:widowControl/>
              <w:kinsoku/>
              <w:wordWrap/>
              <w:overflowPunct/>
              <w:topLinePunct w:val="0"/>
              <w:autoSpaceDE/>
              <w:autoSpaceDN/>
              <w:bidi w:val="0"/>
              <w:adjustRightInd w:val="0"/>
              <w:snapToGrid w:val="0"/>
              <w:spacing w:line="240" w:lineRule="auto"/>
              <w:textAlignment w:val="baseline"/>
              <w:rPr>
                <w:rFonts w:hint="eastAsia" w:ascii="宋体" w:hAnsi="宋体"/>
                <w:kern w:val="0"/>
                <w:szCs w:val="21"/>
              </w:rPr>
            </w:pPr>
            <w:r>
              <w:rPr>
                <w:rFonts w:ascii="宋体" w:hAnsi="宋体"/>
                <w:kern w:val="0"/>
                <w:szCs w:val="21"/>
              </w:rPr>
              <w:t>对于检测机构的要求：</w:t>
            </w:r>
          </w:p>
          <w:p w14:paraId="54453A27">
            <w:pPr>
              <w:keepNext w:val="0"/>
              <w:keepLines w:val="0"/>
              <w:pageBreakBefore w:val="0"/>
              <w:widowControl/>
              <w:kinsoku/>
              <w:wordWrap/>
              <w:overflowPunct/>
              <w:topLinePunct w:val="0"/>
              <w:autoSpaceDE/>
              <w:autoSpaceDN/>
              <w:bidi w:val="0"/>
              <w:adjustRightInd w:val="0"/>
              <w:snapToGrid w:val="0"/>
              <w:spacing w:line="240" w:lineRule="auto"/>
              <w:textAlignment w:val="baseline"/>
              <w:rPr>
                <w:rFonts w:hint="eastAsia" w:ascii="宋体" w:hAnsi="宋体"/>
                <w:kern w:val="0"/>
                <w:szCs w:val="21"/>
              </w:rPr>
            </w:pPr>
            <w:r>
              <w:rPr>
                <w:rFonts w:ascii="宋体" w:hAnsi="宋体"/>
                <w:kern w:val="0"/>
                <w:szCs w:val="21"/>
              </w:rPr>
              <w:t>国家正规检测机构，出具的检测报告由验收复核专家认可之后作为验收复核通过的主要依据。</w:t>
            </w:r>
          </w:p>
          <w:p w14:paraId="7ED4C1AE">
            <w:pPr>
              <w:keepNext w:val="0"/>
              <w:keepLines w:val="0"/>
              <w:pageBreakBefore w:val="0"/>
              <w:widowControl/>
              <w:kinsoku/>
              <w:wordWrap/>
              <w:overflowPunct/>
              <w:topLinePunct w:val="0"/>
              <w:autoSpaceDE/>
              <w:autoSpaceDN/>
              <w:bidi w:val="0"/>
              <w:adjustRightInd w:val="0"/>
              <w:snapToGrid w:val="0"/>
              <w:spacing w:line="240" w:lineRule="auto"/>
              <w:textAlignment w:val="baseline"/>
              <w:rPr>
                <w:rFonts w:hint="eastAsia" w:ascii="宋体" w:hAnsi="宋体"/>
                <w:kern w:val="0"/>
                <w:szCs w:val="21"/>
              </w:rPr>
            </w:pPr>
            <w:r>
              <w:rPr>
                <w:rFonts w:ascii="宋体" w:hAnsi="宋体"/>
                <w:kern w:val="0"/>
                <w:szCs w:val="21"/>
              </w:rPr>
              <w:t>对于检测执行标准的要求：各项检测项目标准以检测机构按照行业相关要求最新适用并执行的标准为准。</w:t>
            </w:r>
          </w:p>
        </w:tc>
      </w:tr>
      <w:bookmarkEnd w:id="12"/>
    </w:tbl>
    <w:p w14:paraId="38F80FC0">
      <w:pPr>
        <w:adjustRightInd w:val="0"/>
        <w:snapToGrid w:val="0"/>
        <w:spacing w:line="360" w:lineRule="auto"/>
        <w:ind w:firstLine="440" w:firstLineChars="200"/>
        <w:rPr>
          <w:rFonts w:hint="eastAsia" w:ascii="楷体" w:hAnsi="楷体" w:eastAsia="楷体"/>
          <w:color w:val="FF0000"/>
          <w:sz w:val="22"/>
          <w:szCs w:val="22"/>
        </w:rPr>
      </w:pPr>
    </w:p>
    <w:p w14:paraId="793C7502">
      <w:pPr>
        <w:adjustRightInd w:val="0"/>
        <w:snapToGrid w:val="0"/>
        <w:spacing w:line="360" w:lineRule="auto"/>
      </w:pPr>
    </w:p>
    <w:sectPr>
      <w:footerReference r:id="rId3" w:type="default"/>
      <w:pgSz w:w="11906" w:h="16838"/>
      <w:pgMar w:top="1871" w:right="1418" w:bottom="1588"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DA28B">
    <w:pPr>
      <w:pStyle w:val="5"/>
      <w:jc w:val="center"/>
    </w:pPr>
    <w:r>
      <w:fldChar w:fldCharType="begin"/>
    </w:r>
    <w:r>
      <w:instrText xml:space="preserve">PAGE   \* MERGEFORMAT</w:instrText>
    </w:r>
    <w:r>
      <w:fldChar w:fldCharType="separate"/>
    </w:r>
    <w:r>
      <w:rPr>
        <w:lang w:val="zh-CN"/>
      </w:rPr>
      <w:t>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2B334B"/>
    <w:multiLevelType w:val="singleLevel"/>
    <w:tmpl w:val="A92B334B"/>
    <w:lvl w:ilvl="0" w:tentative="0">
      <w:start w:val="4"/>
      <w:numFmt w:val="chineseCounting"/>
      <w:suff w:val="nothing"/>
      <w:lvlText w:val="%1、"/>
      <w:lvlJc w:val="left"/>
      <w:rPr>
        <w:rFonts w:hint="eastAsia"/>
      </w:rPr>
    </w:lvl>
  </w:abstractNum>
  <w:abstractNum w:abstractNumId="1">
    <w:nsid w:val="F29C8212"/>
    <w:multiLevelType w:val="singleLevel"/>
    <w:tmpl w:val="F29C8212"/>
    <w:lvl w:ilvl="0" w:tentative="0">
      <w:start w:val="1"/>
      <w:numFmt w:val="decimal"/>
      <w:suff w:val="nothing"/>
      <w:lvlText w:val="（%1）"/>
      <w:lvlJc w:val="left"/>
    </w:lvl>
  </w:abstractNum>
  <w:abstractNum w:abstractNumId="2">
    <w:nsid w:val="515E46DE"/>
    <w:multiLevelType w:val="multilevel"/>
    <w:tmpl w:val="515E46DE"/>
    <w:lvl w:ilvl="0" w:tentative="0">
      <w:start w:val="4"/>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FC"/>
    <w:rsid w:val="00000ADB"/>
    <w:rsid w:val="000045B7"/>
    <w:rsid w:val="0000609F"/>
    <w:rsid w:val="00012B28"/>
    <w:rsid w:val="000170BA"/>
    <w:rsid w:val="00017928"/>
    <w:rsid w:val="00017C9A"/>
    <w:rsid w:val="000230DA"/>
    <w:rsid w:val="000345B6"/>
    <w:rsid w:val="00037EB6"/>
    <w:rsid w:val="0004707F"/>
    <w:rsid w:val="000578DF"/>
    <w:rsid w:val="00060610"/>
    <w:rsid w:val="00063B9E"/>
    <w:rsid w:val="0007002F"/>
    <w:rsid w:val="000816A4"/>
    <w:rsid w:val="00083A32"/>
    <w:rsid w:val="00090056"/>
    <w:rsid w:val="00092B2E"/>
    <w:rsid w:val="00094C16"/>
    <w:rsid w:val="000A209A"/>
    <w:rsid w:val="000A21C5"/>
    <w:rsid w:val="000A57A8"/>
    <w:rsid w:val="000B5F74"/>
    <w:rsid w:val="000C1D72"/>
    <w:rsid w:val="000C2311"/>
    <w:rsid w:val="000C588B"/>
    <w:rsid w:val="000C5FD7"/>
    <w:rsid w:val="000D027B"/>
    <w:rsid w:val="000D1438"/>
    <w:rsid w:val="000E50F5"/>
    <w:rsid w:val="000E69D1"/>
    <w:rsid w:val="000F1FA8"/>
    <w:rsid w:val="000F2A29"/>
    <w:rsid w:val="000F3ABB"/>
    <w:rsid w:val="000F68AD"/>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2D45"/>
    <w:rsid w:val="0015496B"/>
    <w:rsid w:val="00157667"/>
    <w:rsid w:val="001609FC"/>
    <w:rsid w:val="00162A76"/>
    <w:rsid w:val="00163196"/>
    <w:rsid w:val="00176534"/>
    <w:rsid w:val="00177BD4"/>
    <w:rsid w:val="0018461B"/>
    <w:rsid w:val="00186ADD"/>
    <w:rsid w:val="00192B6A"/>
    <w:rsid w:val="001A7212"/>
    <w:rsid w:val="001A7694"/>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5B8B"/>
    <w:rsid w:val="001F2F73"/>
    <w:rsid w:val="00207D62"/>
    <w:rsid w:val="0021026B"/>
    <w:rsid w:val="00214F3E"/>
    <w:rsid w:val="002204EA"/>
    <w:rsid w:val="002247E5"/>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4902"/>
    <w:rsid w:val="002A6571"/>
    <w:rsid w:val="002B07E0"/>
    <w:rsid w:val="002B287A"/>
    <w:rsid w:val="002B3A1B"/>
    <w:rsid w:val="002B6DBA"/>
    <w:rsid w:val="002C0CC3"/>
    <w:rsid w:val="002C1D63"/>
    <w:rsid w:val="002C7863"/>
    <w:rsid w:val="002D06B9"/>
    <w:rsid w:val="002D68DE"/>
    <w:rsid w:val="002D7991"/>
    <w:rsid w:val="002D7EBC"/>
    <w:rsid w:val="002E1EFE"/>
    <w:rsid w:val="002F0BEB"/>
    <w:rsid w:val="002F205D"/>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90F94"/>
    <w:rsid w:val="003933C0"/>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3FD6"/>
    <w:rsid w:val="004151CD"/>
    <w:rsid w:val="00415A37"/>
    <w:rsid w:val="00426CB3"/>
    <w:rsid w:val="00436B73"/>
    <w:rsid w:val="004374DA"/>
    <w:rsid w:val="00440EDB"/>
    <w:rsid w:val="00442A4D"/>
    <w:rsid w:val="00453832"/>
    <w:rsid w:val="00455ED6"/>
    <w:rsid w:val="00466A85"/>
    <w:rsid w:val="004712B7"/>
    <w:rsid w:val="0048154C"/>
    <w:rsid w:val="00481EE9"/>
    <w:rsid w:val="00490D0E"/>
    <w:rsid w:val="00491E5A"/>
    <w:rsid w:val="00492DD3"/>
    <w:rsid w:val="004951D7"/>
    <w:rsid w:val="00495B30"/>
    <w:rsid w:val="00496C0C"/>
    <w:rsid w:val="004A43F0"/>
    <w:rsid w:val="004A69FE"/>
    <w:rsid w:val="004B3DFE"/>
    <w:rsid w:val="004C0EDE"/>
    <w:rsid w:val="004C6E57"/>
    <w:rsid w:val="004D47EE"/>
    <w:rsid w:val="004D7FAC"/>
    <w:rsid w:val="004E36C2"/>
    <w:rsid w:val="004E4B14"/>
    <w:rsid w:val="004F27FB"/>
    <w:rsid w:val="00501176"/>
    <w:rsid w:val="00501E8E"/>
    <w:rsid w:val="00502067"/>
    <w:rsid w:val="0051081D"/>
    <w:rsid w:val="00510891"/>
    <w:rsid w:val="0051141F"/>
    <w:rsid w:val="00520109"/>
    <w:rsid w:val="00524AB7"/>
    <w:rsid w:val="0052535A"/>
    <w:rsid w:val="005307ED"/>
    <w:rsid w:val="0053111A"/>
    <w:rsid w:val="00537D96"/>
    <w:rsid w:val="00543C2D"/>
    <w:rsid w:val="00544653"/>
    <w:rsid w:val="00545874"/>
    <w:rsid w:val="00547122"/>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1C05"/>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26B8"/>
    <w:rsid w:val="006237BE"/>
    <w:rsid w:val="00634FF1"/>
    <w:rsid w:val="00635218"/>
    <w:rsid w:val="00636F27"/>
    <w:rsid w:val="00640733"/>
    <w:rsid w:val="00642B2A"/>
    <w:rsid w:val="0064334B"/>
    <w:rsid w:val="00643D51"/>
    <w:rsid w:val="00644B63"/>
    <w:rsid w:val="006538FB"/>
    <w:rsid w:val="00666216"/>
    <w:rsid w:val="006706FD"/>
    <w:rsid w:val="00671140"/>
    <w:rsid w:val="006772FA"/>
    <w:rsid w:val="00681FDD"/>
    <w:rsid w:val="0068731E"/>
    <w:rsid w:val="006873DB"/>
    <w:rsid w:val="006878E9"/>
    <w:rsid w:val="006A6A2F"/>
    <w:rsid w:val="006B5485"/>
    <w:rsid w:val="006B5736"/>
    <w:rsid w:val="006C2706"/>
    <w:rsid w:val="006C2918"/>
    <w:rsid w:val="006C4154"/>
    <w:rsid w:val="006C511C"/>
    <w:rsid w:val="006C687D"/>
    <w:rsid w:val="006C782C"/>
    <w:rsid w:val="006D095D"/>
    <w:rsid w:val="006D2C2D"/>
    <w:rsid w:val="006D3A11"/>
    <w:rsid w:val="006E1E8B"/>
    <w:rsid w:val="006E330A"/>
    <w:rsid w:val="006F3B7B"/>
    <w:rsid w:val="006F5B28"/>
    <w:rsid w:val="006F5E53"/>
    <w:rsid w:val="006F7061"/>
    <w:rsid w:val="007011DF"/>
    <w:rsid w:val="00703AC6"/>
    <w:rsid w:val="00710AA5"/>
    <w:rsid w:val="00711E56"/>
    <w:rsid w:val="007132C5"/>
    <w:rsid w:val="00715B3F"/>
    <w:rsid w:val="0071642D"/>
    <w:rsid w:val="00717C94"/>
    <w:rsid w:val="007203A3"/>
    <w:rsid w:val="00721306"/>
    <w:rsid w:val="007234E0"/>
    <w:rsid w:val="00725D8A"/>
    <w:rsid w:val="00727C0A"/>
    <w:rsid w:val="00730287"/>
    <w:rsid w:val="007369E1"/>
    <w:rsid w:val="0074203F"/>
    <w:rsid w:val="007435CD"/>
    <w:rsid w:val="007437CA"/>
    <w:rsid w:val="00746CF7"/>
    <w:rsid w:val="00751C37"/>
    <w:rsid w:val="007554BB"/>
    <w:rsid w:val="00755FDD"/>
    <w:rsid w:val="0075752D"/>
    <w:rsid w:val="00760039"/>
    <w:rsid w:val="00763273"/>
    <w:rsid w:val="0076501A"/>
    <w:rsid w:val="00770F4F"/>
    <w:rsid w:val="007803AD"/>
    <w:rsid w:val="007839AE"/>
    <w:rsid w:val="00785146"/>
    <w:rsid w:val="00786391"/>
    <w:rsid w:val="0078771E"/>
    <w:rsid w:val="00791CD0"/>
    <w:rsid w:val="007A059E"/>
    <w:rsid w:val="007A41C0"/>
    <w:rsid w:val="007A5A82"/>
    <w:rsid w:val="007A5DE1"/>
    <w:rsid w:val="007A7B4C"/>
    <w:rsid w:val="007B0025"/>
    <w:rsid w:val="007B0FEB"/>
    <w:rsid w:val="007B4412"/>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75CA"/>
    <w:rsid w:val="0089621F"/>
    <w:rsid w:val="008A7248"/>
    <w:rsid w:val="008B19AA"/>
    <w:rsid w:val="008B21EB"/>
    <w:rsid w:val="008B5DBC"/>
    <w:rsid w:val="008C0BE7"/>
    <w:rsid w:val="008C49D1"/>
    <w:rsid w:val="008C4ADD"/>
    <w:rsid w:val="008C4BDB"/>
    <w:rsid w:val="008C5CD9"/>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90F"/>
    <w:rsid w:val="00946EF5"/>
    <w:rsid w:val="0095685D"/>
    <w:rsid w:val="0095718B"/>
    <w:rsid w:val="009604BB"/>
    <w:rsid w:val="009618B7"/>
    <w:rsid w:val="00962CDE"/>
    <w:rsid w:val="009900EC"/>
    <w:rsid w:val="0099177F"/>
    <w:rsid w:val="00992532"/>
    <w:rsid w:val="00995789"/>
    <w:rsid w:val="009A33C6"/>
    <w:rsid w:val="009A7391"/>
    <w:rsid w:val="009B2EF0"/>
    <w:rsid w:val="009B3732"/>
    <w:rsid w:val="009B4C25"/>
    <w:rsid w:val="009B628C"/>
    <w:rsid w:val="009C2163"/>
    <w:rsid w:val="009C257D"/>
    <w:rsid w:val="009C3957"/>
    <w:rsid w:val="009C5FCD"/>
    <w:rsid w:val="009D18B6"/>
    <w:rsid w:val="009D2D9F"/>
    <w:rsid w:val="009D2FAE"/>
    <w:rsid w:val="009D33C2"/>
    <w:rsid w:val="009D3518"/>
    <w:rsid w:val="009E0F69"/>
    <w:rsid w:val="009F0011"/>
    <w:rsid w:val="009F206D"/>
    <w:rsid w:val="009F3B77"/>
    <w:rsid w:val="009F66DE"/>
    <w:rsid w:val="009F6CAB"/>
    <w:rsid w:val="009F7A2C"/>
    <w:rsid w:val="00A01710"/>
    <w:rsid w:val="00A047F0"/>
    <w:rsid w:val="00A14ED7"/>
    <w:rsid w:val="00A161FC"/>
    <w:rsid w:val="00A2430D"/>
    <w:rsid w:val="00A25B44"/>
    <w:rsid w:val="00A30C68"/>
    <w:rsid w:val="00A4094F"/>
    <w:rsid w:val="00A500A4"/>
    <w:rsid w:val="00A53568"/>
    <w:rsid w:val="00A61746"/>
    <w:rsid w:val="00A63300"/>
    <w:rsid w:val="00A701AE"/>
    <w:rsid w:val="00A74852"/>
    <w:rsid w:val="00A7512D"/>
    <w:rsid w:val="00A75C48"/>
    <w:rsid w:val="00A75D88"/>
    <w:rsid w:val="00A765E9"/>
    <w:rsid w:val="00A76D9E"/>
    <w:rsid w:val="00A865ED"/>
    <w:rsid w:val="00A86C18"/>
    <w:rsid w:val="00A93FD2"/>
    <w:rsid w:val="00AA1A80"/>
    <w:rsid w:val="00AA2AC3"/>
    <w:rsid w:val="00AB4712"/>
    <w:rsid w:val="00AB48E9"/>
    <w:rsid w:val="00AB56B0"/>
    <w:rsid w:val="00AC005D"/>
    <w:rsid w:val="00AC2EB1"/>
    <w:rsid w:val="00AC6F95"/>
    <w:rsid w:val="00AD13AE"/>
    <w:rsid w:val="00AD4C30"/>
    <w:rsid w:val="00AD6EAD"/>
    <w:rsid w:val="00AE18CF"/>
    <w:rsid w:val="00AE1AFA"/>
    <w:rsid w:val="00AE5A79"/>
    <w:rsid w:val="00AE67A6"/>
    <w:rsid w:val="00AF19DB"/>
    <w:rsid w:val="00AF7468"/>
    <w:rsid w:val="00B015CE"/>
    <w:rsid w:val="00B01FBC"/>
    <w:rsid w:val="00B03658"/>
    <w:rsid w:val="00B04427"/>
    <w:rsid w:val="00B06C2C"/>
    <w:rsid w:val="00B0779B"/>
    <w:rsid w:val="00B149B5"/>
    <w:rsid w:val="00B151BE"/>
    <w:rsid w:val="00B202A4"/>
    <w:rsid w:val="00B209E9"/>
    <w:rsid w:val="00B236CB"/>
    <w:rsid w:val="00B30D51"/>
    <w:rsid w:val="00B33451"/>
    <w:rsid w:val="00B33F63"/>
    <w:rsid w:val="00B35632"/>
    <w:rsid w:val="00B42AC1"/>
    <w:rsid w:val="00B43698"/>
    <w:rsid w:val="00B4481B"/>
    <w:rsid w:val="00B4710C"/>
    <w:rsid w:val="00B47D50"/>
    <w:rsid w:val="00B7018C"/>
    <w:rsid w:val="00B7019E"/>
    <w:rsid w:val="00B70BC4"/>
    <w:rsid w:val="00B7185F"/>
    <w:rsid w:val="00B72BD6"/>
    <w:rsid w:val="00B869C6"/>
    <w:rsid w:val="00B87CB4"/>
    <w:rsid w:val="00B91989"/>
    <w:rsid w:val="00B94A57"/>
    <w:rsid w:val="00B97895"/>
    <w:rsid w:val="00BA115A"/>
    <w:rsid w:val="00BA1466"/>
    <w:rsid w:val="00BA15B5"/>
    <w:rsid w:val="00BA359E"/>
    <w:rsid w:val="00BA4FC9"/>
    <w:rsid w:val="00BA6CF4"/>
    <w:rsid w:val="00BB03C1"/>
    <w:rsid w:val="00BB2053"/>
    <w:rsid w:val="00BB2B59"/>
    <w:rsid w:val="00BB2E7D"/>
    <w:rsid w:val="00BB469B"/>
    <w:rsid w:val="00BB7A38"/>
    <w:rsid w:val="00BC04A3"/>
    <w:rsid w:val="00BC3D86"/>
    <w:rsid w:val="00BC7870"/>
    <w:rsid w:val="00BD0727"/>
    <w:rsid w:val="00BD11BC"/>
    <w:rsid w:val="00BD305E"/>
    <w:rsid w:val="00BE04B2"/>
    <w:rsid w:val="00BE12E8"/>
    <w:rsid w:val="00BE1EF1"/>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82348"/>
    <w:rsid w:val="00C83C79"/>
    <w:rsid w:val="00C92D3F"/>
    <w:rsid w:val="00C950B9"/>
    <w:rsid w:val="00C95481"/>
    <w:rsid w:val="00CA1559"/>
    <w:rsid w:val="00CA1D32"/>
    <w:rsid w:val="00CC4216"/>
    <w:rsid w:val="00CC44C8"/>
    <w:rsid w:val="00CD1229"/>
    <w:rsid w:val="00CD153F"/>
    <w:rsid w:val="00CD2230"/>
    <w:rsid w:val="00CD50E0"/>
    <w:rsid w:val="00CD5C95"/>
    <w:rsid w:val="00CE0FFF"/>
    <w:rsid w:val="00CE546B"/>
    <w:rsid w:val="00CF3F57"/>
    <w:rsid w:val="00CF5863"/>
    <w:rsid w:val="00CF7DC8"/>
    <w:rsid w:val="00D005FB"/>
    <w:rsid w:val="00D02540"/>
    <w:rsid w:val="00D03C33"/>
    <w:rsid w:val="00D04B4C"/>
    <w:rsid w:val="00D07E51"/>
    <w:rsid w:val="00D12F04"/>
    <w:rsid w:val="00D156F3"/>
    <w:rsid w:val="00D17B51"/>
    <w:rsid w:val="00D21F75"/>
    <w:rsid w:val="00D22E33"/>
    <w:rsid w:val="00D252DD"/>
    <w:rsid w:val="00D26E21"/>
    <w:rsid w:val="00D324D9"/>
    <w:rsid w:val="00D333CD"/>
    <w:rsid w:val="00D36298"/>
    <w:rsid w:val="00D41788"/>
    <w:rsid w:val="00D44196"/>
    <w:rsid w:val="00D449F2"/>
    <w:rsid w:val="00D44E67"/>
    <w:rsid w:val="00D45ED1"/>
    <w:rsid w:val="00D512BD"/>
    <w:rsid w:val="00D51807"/>
    <w:rsid w:val="00D532CD"/>
    <w:rsid w:val="00D55A25"/>
    <w:rsid w:val="00D56E82"/>
    <w:rsid w:val="00D6619A"/>
    <w:rsid w:val="00D7490B"/>
    <w:rsid w:val="00D76AA8"/>
    <w:rsid w:val="00D8060D"/>
    <w:rsid w:val="00D81319"/>
    <w:rsid w:val="00D8247A"/>
    <w:rsid w:val="00D82B79"/>
    <w:rsid w:val="00D87F17"/>
    <w:rsid w:val="00D92621"/>
    <w:rsid w:val="00D94396"/>
    <w:rsid w:val="00D97A5B"/>
    <w:rsid w:val="00D97FEA"/>
    <w:rsid w:val="00DA1B3C"/>
    <w:rsid w:val="00DA2BF3"/>
    <w:rsid w:val="00DA57C1"/>
    <w:rsid w:val="00DB1D64"/>
    <w:rsid w:val="00DB25F2"/>
    <w:rsid w:val="00DB6ED1"/>
    <w:rsid w:val="00DC1928"/>
    <w:rsid w:val="00DD1742"/>
    <w:rsid w:val="00DD2AD3"/>
    <w:rsid w:val="00DE15E5"/>
    <w:rsid w:val="00DF1EA0"/>
    <w:rsid w:val="00DF245C"/>
    <w:rsid w:val="00DF3204"/>
    <w:rsid w:val="00DF5062"/>
    <w:rsid w:val="00DF65CB"/>
    <w:rsid w:val="00E00746"/>
    <w:rsid w:val="00E00C6E"/>
    <w:rsid w:val="00E023CC"/>
    <w:rsid w:val="00E02FC1"/>
    <w:rsid w:val="00E0462B"/>
    <w:rsid w:val="00E0581E"/>
    <w:rsid w:val="00E07247"/>
    <w:rsid w:val="00E10251"/>
    <w:rsid w:val="00E1130A"/>
    <w:rsid w:val="00E14E80"/>
    <w:rsid w:val="00E17608"/>
    <w:rsid w:val="00E22081"/>
    <w:rsid w:val="00E26107"/>
    <w:rsid w:val="00E34A5B"/>
    <w:rsid w:val="00E36D46"/>
    <w:rsid w:val="00E41CE2"/>
    <w:rsid w:val="00E4264C"/>
    <w:rsid w:val="00E458B0"/>
    <w:rsid w:val="00E501AE"/>
    <w:rsid w:val="00E506CD"/>
    <w:rsid w:val="00E512A8"/>
    <w:rsid w:val="00E538A0"/>
    <w:rsid w:val="00E57E43"/>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6ED1"/>
    <w:rsid w:val="00E8749A"/>
    <w:rsid w:val="00E90A5E"/>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E6459"/>
    <w:rsid w:val="00EF2087"/>
    <w:rsid w:val="00EF4FBA"/>
    <w:rsid w:val="00F02423"/>
    <w:rsid w:val="00F05DAC"/>
    <w:rsid w:val="00F072C1"/>
    <w:rsid w:val="00F07693"/>
    <w:rsid w:val="00F10369"/>
    <w:rsid w:val="00F13265"/>
    <w:rsid w:val="00F14B96"/>
    <w:rsid w:val="00F1681C"/>
    <w:rsid w:val="00F17DEA"/>
    <w:rsid w:val="00F223B3"/>
    <w:rsid w:val="00F33F13"/>
    <w:rsid w:val="00F35137"/>
    <w:rsid w:val="00F43286"/>
    <w:rsid w:val="00F438F3"/>
    <w:rsid w:val="00F46E1D"/>
    <w:rsid w:val="00F54B34"/>
    <w:rsid w:val="00F57DCD"/>
    <w:rsid w:val="00F63AEB"/>
    <w:rsid w:val="00F65DFE"/>
    <w:rsid w:val="00F72305"/>
    <w:rsid w:val="00F7623C"/>
    <w:rsid w:val="00F77F3E"/>
    <w:rsid w:val="00F8648C"/>
    <w:rsid w:val="00F908A8"/>
    <w:rsid w:val="00F93AA6"/>
    <w:rsid w:val="00F94194"/>
    <w:rsid w:val="00F959C8"/>
    <w:rsid w:val="00F9750C"/>
    <w:rsid w:val="00F9789E"/>
    <w:rsid w:val="00FA4D11"/>
    <w:rsid w:val="00FA67D4"/>
    <w:rsid w:val="00FB00E1"/>
    <w:rsid w:val="00FB12A5"/>
    <w:rsid w:val="00FB1587"/>
    <w:rsid w:val="00FB322D"/>
    <w:rsid w:val="00FB42CB"/>
    <w:rsid w:val="00FB43C6"/>
    <w:rsid w:val="00FB5401"/>
    <w:rsid w:val="00FC1111"/>
    <w:rsid w:val="00FC194B"/>
    <w:rsid w:val="00FC3BB8"/>
    <w:rsid w:val="00FD61BA"/>
    <w:rsid w:val="00FD6CA8"/>
    <w:rsid w:val="00FE1B41"/>
    <w:rsid w:val="00FE35A3"/>
    <w:rsid w:val="00FE3DF7"/>
    <w:rsid w:val="00FF21F2"/>
    <w:rsid w:val="00FF339E"/>
    <w:rsid w:val="00FF40F9"/>
    <w:rsid w:val="00FF47AD"/>
    <w:rsid w:val="00FF6875"/>
    <w:rsid w:val="00FF698C"/>
    <w:rsid w:val="01964270"/>
    <w:rsid w:val="0371289F"/>
    <w:rsid w:val="03BD5AE4"/>
    <w:rsid w:val="03F62DA4"/>
    <w:rsid w:val="057B7A05"/>
    <w:rsid w:val="05924D4E"/>
    <w:rsid w:val="06606C84"/>
    <w:rsid w:val="06A977F1"/>
    <w:rsid w:val="072506FA"/>
    <w:rsid w:val="0A0E1463"/>
    <w:rsid w:val="0B0A5387"/>
    <w:rsid w:val="0D674D12"/>
    <w:rsid w:val="0D6E2C3E"/>
    <w:rsid w:val="0D7437BF"/>
    <w:rsid w:val="0E3746E5"/>
    <w:rsid w:val="0E8F62CF"/>
    <w:rsid w:val="0F0F5662"/>
    <w:rsid w:val="10437371"/>
    <w:rsid w:val="10460120"/>
    <w:rsid w:val="1279351E"/>
    <w:rsid w:val="16CA71CD"/>
    <w:rsid w:val="171831E2"/>
    <w:rsid w:val="18756535"/>
    <w:rsid w:val="18A62B93"/>
    <w:rsid w:val="18E0433E"/>
    <w:rsid w:val="19371A3D"/>
    <w:rsid w:val="19B66E06"/>
    <w:rsid w:val="1A736AA5"/>
    <w:rsid w:val="1AD87250"/>
    <w:rsid w:val="1B245FF1"/>
    <w:rsid w:val="1BC72B84"/>
    <w:rsid w:val="1E43507E"/>
    <w:rsid w:val="1E8A6AB3"/>
    <w:rsid w:val="1F0C74C8"/>
    <w:rsid w:val="20301EA6"/>
    <w:rsid w:val="21DC7625"/>
    <w:rsid w:val="221548E5"/>
    <w:rsid w:val="22F97D63"/>
    <w:rsid w:val="23D26F32"/>
    <w:rsid w:val="24BA1552"/>
    <w:rsid w:val="25920E70"/>
    <w:rsid w:val="25A43175"/>
    <w:rsid w:val="265C29D1"/>
    <w:rsid w:val="28333D17"/>
    <w:rsid w:val="28846321"/>
    <w:rsid w:val="294A512A"/>
    <w:rsid w:val="29C4731D"/>
    <w:rsid w:val="2D635F72"/>
    <w:rsid w:val="2D636E4D"/>
    <w:rsid w:val="30073ABF"/>
    <w:rsid w:val="301B756B"/>
    <w:rsid w:val="301D7787"/>
    <w:rsid w:val="304E5B92"/>
    <w:rsid w:val="30731155"/>
    <w:rsid w:val="307D1FD3"/>
    <w:rsid w:val="310149B3"/>
    <w:rsid w:val="323963CE"/>
    <w:rsid w:val="32AE0B6A"/>
    <w:rsid w:val="32C263C3"/>
    <w:rsid w:val="346C2A8B"/>
    <w:rsid w:val="34E72111"/>
    <w:rsid w:val="357F67EE"/>
    <w:rsid w:val="36904147"/>
    <w:rsid w:val="370F76FD"/>
    <w:rsid w:val="379F6CD3"/>
    <w:rsid w:val="37EC4B2B"/>
    <w:rsid w:val="3A192D6D"/>
    <w:rsid w:val="3AF61300"/>
    <w:rsid w:val="3B934DA1"/>
    <w:rsid w:val="3BB80364"/>
    <w:rsid w:val="3E8E35FE"/>
    <w:rsid w:val="3F7C5B2A"/>
    <w:rsid w:val="3FE77469"/>
    <w:rsid w:val="40381A73"/>
    <w:rsid w:val="407A208B"/>
    <w:rsid w:val="40D774DE"/>
    <w:rsid w:val="40DA0D7C"/>
    <w:rsid w:val="42366486"/>
    <w:rsid w:val="43792ACE"/>
    <w:rsid w:val="466C2476"/>
    <w:rsid w:val="47737835"/>
    <w:rsid w:val="47F535D9"/>
    <w:rsid w:val="49441489"/>
    <w:rsid w:val="497A40B6"/>
    <w:rsid w:val="497C0C22"/>
    <w:rsid w:val="49ED38CE"/>
    <w:rsid w:val="4A001853"/>
    <w:rsid w:val="4A225C6E"/>
    <w:rsid w:val="4B38501D"/>
    <w:rsid w:val="4C97774A"/>
    <w:rsid w:val="4D771A72"/>
    <w:rsid w:val="4E125FF9"/>
    <w:rsid w:val="4EA800BE"/>
    <w:rsid w:val="4F1B712F"/>
    <w:rsid w:val="4FAF6015"/>
    <w:rsid w:val="5213603D"/>
    <w:rsid w:val="527903F5"/>
    <w:rsid w:val="535449BE"/>
    <w:rsid w:val="53982AFD"/>
    <w:rsid w:val="53C438F2"/>
    <w:rsid w:val="54705828"/>
    <w:rsid w:val="5518141A"/>
    <w:rsid w:val="577675F9"/>
    <w:rsid w:val="57911D3D"/>
    <w:rsid w:val="58005114"/>
    <w:rsid w:val="59034EBC"/>
    <w:rsid w:val="59B30690"/>
    <w:rsid w:val="5A6B6A60"/>
    <w:rsid w:val="5A737E20"/>
    <w:rsid w:val="5ACE14FA"/>
    <w:rsid w:val="5B661732"/>
    <w:rsid w:val="5C4A4BB0"/>
    <w:rsid w:val="5C9A5B38"/>
    <w:rsid w:val="5CE25D24"/>
    <w:rsid w:val="5CFE4D6F"/>
    <w:rsid w:val="5E113BD7"/>
    <w:rsid w:val="5E1436C8"/>
    <w:rsid w:val="5EE70DDC"/>
    <w:rsid w:val="5FD27396"/>
    <w:rsid w:val="60065E0F"/>
    <w:rsid w:val="601B0D3D"/>
    <w:rsid w:val="622F6D22"/>
    <w:rsid w:val="627018B0"/>
    <w:rsid w:val="64306D81"/>
    <w:rsid w:val="64A137DB"/>
    <w:rsid w:val="6612673F"/>
    <w:rsid w:val="66911D59"/>
    <w:rsid w:val="66BA0B05"/>
    <w:rsid w:val="685A617B"/>
    <w:rsid w:val="689F0032"/>
    <w:rsid w:val="68E72104"/>
    <w:rsid w:val="6ABF49BB"/>
    <w:rsid w:val="6BC32289"/>
    <w:rsid w:val="6C922387"/>
    <w:rsid w:val="6E076BA7"/>
    <w:rsid w:val="6F1572A0"/>
    <w:rsid w:val="70691651"/>
    <w:rsid w:val="72B86F1B"/>
    <w:rsid w:val="734F0FD2"/>
    <w:rsid w:val="73E32D8B"/>
    <w:rsid w:val="74AB66DC"/>
    <w:rsid w:val="750A2CD7"/>
    <w:rsid w:val="75F906D8"/>
    <w:rsid w:val="77470212"/>
    <w:rsid w:val="7942506B"/>
    <w:rsid w:val="7A9279F6"/>
    <w:rsid w:val="7B4A3CA3"/>
    <w:rsid w:val="7BFF2E69"/>
    <w:rsid w:val="7C5525FD"/>
    <w:rsid w:val="7CAA7279"/>
    <w:rsid w:val="7CE87C3B"/>
    <w:rsid w:val="7DB33A33"/>
    <w:rsid w:val="7E5356EF"/>
    <w:rsid w:val="7EEF6D5A"/>
    <w:rsid w:val="7F227BB1"/>
    <w:rsid w:val="7F5417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6"/>
    <w:unhideWhenUsed/>
    <w:qFormat/>
    <w:uiPriority w:val="99"/>
    <w:pPr>
      <w:jc w:val="left"/>
    </w:pPr>
  </w:style>
  <w:style w:type="paragraph" w:styleId="3">
    <w:name w:val="Plain Text"/>
    <w:basedOn w:val="1"/>
    <w:link w:val="16"/>
    <w:qFormat/>
    <w:uiPriority w:val="0"/>
    <w:rPr>
      <w:rFonts w:ascii="宋体" w:hAnsi="Courier New" w:cstheme="minorBidi"/>
      <w:szCs w:val="22"/>
    </w:rPr>
  </w:style>
  <w:style w:type="paragraph" w:styleId="4">
    <w:name w:val="Balloon Text"/>
    <w:basedOn w:val="1"/>
    <w:link w:val="24"/>
    <w:semiHidden/>
    <w:unhideWhenUsed/>
    <w:qFormat/>
    <w:uiPriority w:val="99"/>
    <w:rPr>
      <w:sz w:val="18"/>
      <w:szCs w:val="18"/>
    </w:rPr>
  </w:style>
  <w:style w:type="paragraph" w:styleId="5">
    <w:name w:val="footer"/>
    <w:basedOn w:val="1"/>
    <w:link w:val="17"/>
    <w:qFormat/>
    <w:uiPriority w:val="0"/>
    <w:pPr>
      <w:tabs>
        <w:tab w:val="center" w:pos="4153"/>
        <w:tab w:val="right" w:pos="8306"/>
      </w:tabs>
      <w:snapToGrid w:val="0"/>
      <w:jc w:val="left"/>
    </w:pPr>
    <w:rPr>
      <w:rFonts w:asciiTheme="minorHAnsi" w:hAnsiTheme="minorHAnsi" w:eastAsiaTheme="minorEastAsia" w:cstheme="minorBidi"/>
      <w:sz w:val="18"/>
      <w:szCs w:val="22"/>
    </w:rPr>
  </w:style>
  <w:style w:type="paragraph" w:styleId="6">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link w:val="18"/>
    <w:qFormat/>
    <w:uiPriority w:val="0"/>
    <w:pPr>
      <w:spacing w:before="240" w:after="60"/>
      <w:jc w:val="center"/>
      <w:outlineLvl w:val="0"/>
    </w:pPr>
    <w:rPr>
      <w:rFonts w:ascii="Arial" w:hAnsi="Arial" w:cs="Arial"/>
      <w:b/>
      <w:bCs/>
      <w:sz w:val="32"/>
      <w:szCs w:val="32"/>
    </w:rPr>
  </w:style>
  <w:style w:type="paragraph" w:styleId="8">
    <w:name w:val="annotation subject"/>
    <w:basedOn w:val="2"/>
    <w:next w:val="2"/>
    <w:link w:val="27"/>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Emphasis"/>
    <w:basedOn w:val="11"/>
    <w:qFormat/>
    <w:uiPriority w:val="20"/>
    <w:rPr>
      <w:i/>
      <w:iCs/>
    </w:rPr>
  </w:style>
  <w:style w:type="character" w:styleId="14">
    <w:name w:val="Hyperlink"/>
    <w:basedOn w:val="11"/>
    <w:semiHidden/>
    <w:unhideWhenUsed/>
    <w:qFormat/>
    <w:uiPriority w:val="99"/>
    <w:rPr>
      <w:color w:val="0000FF"/>
      <w:u w:val="single"/>
    </w:rPr>
  </w:style>
  <w:style w:type="character" w:styleId="15">
    <w:name w:val="annotation reference"/>
    <w:basedOn w:val="11"/>
    <w:semiHidden/>
    <w:unhideWhenUsed/>
    <w:qFormat/>
    <w:uiPriority w:val="99"/>
    <w:rPr>
      <w:sz w:val="21"/>
      <w:szCs w:val="21"/>
    </w:rPr>
  </w:style>
  <w:style w:type="character" w:customStyle="1" w:styleId="16">
    <w:name w:val="纯文本 字符"/>
    <w:link w:val="3"/>
    <w:qFormat/>
    <w:uiPriority w:val="0"/>
    <w:rPr>
      <w:rFonts w:ascii="宋体" w:hAnsi="Courier New" w:eastAsia="宋体"/>
    </w:rPr>
  </w:style>
  <w:style w:type="character" w:customStyle="1" w:styleId="17">
    <w:name w:val="页脚 字符"/>
    <w:link w:val="5"/>
    <w:qFormat/>
    <w:uiPriority w:val="0"/>
    <w:rPr>
      <w:sz w:val="18"/>
    </w:rPr>
  </w:style>
  <w:style w:type="character" w:customStyle="1" w:styleId="18">
    <w:name w:val="标题 字符"/>
    <w:link w:val="7"/>
    <w:qFormat/>
    <w:uiPriority w:val="0"/>
    <w:rPr>
      <w:rFonts w:ascii="Arial" w:hAnsi="Arial" w:eastAsia="宋体" w:cs="Arial"/>
      <w:b/>
      <w:bCs/>
      <w:sz w:val="32"/>
      <w:szCs w:val="32"/>
    </w:rPr>
  </w:style>
  <w:style w:type="character" w:customStyle="1" w:styleId="19">
    <w:name w:val="页脚 Char"/>
    <w:basedOn w:val="11"/>
    <w:semiHidden/>
    <w:qFormat/>
    <w:uiPriority w:val="99"/>
    <w:rPr>
      <w:rFonts w:ascii="Times New Roman" w:hAnsi="Times New Roman" w:eastAsia="宋体" w:cs="Times New Roman"/>
      <w:sz w:val="18"/>
      <w:szCs w:val="18"/>
    </w:rPr>
  </w:style>
  <w:style w:type="character" w:customStyle="1" w:styleId="20">
    <w:name w:val="标题 Char"/>
    <w:basedOn w:val="11"/>
    <w:qFormat/>
    <w:uiPriority w:val="10"/>
    <w:rPr>
      <w:rFonts w:eastAsia="宋体" w:asciiTheme="majorHAnsi" w:hAnsiTheme="majorHAnsi" w:cstheme="majorBidi"/>
      <w:b/>
      <w:bCs/>
      <w:sz w:val="32"/>
      <w:szCs w:val="32"/>
    </w:rPr>
  </w:style>
  <w:style w:type="character" w:customStyle="1" w:styleId="21">
    <w:name w:val="纯文本 Char"/>
    <w:basedOn w:val="11"/>
    <w:semiHidden/>
    <w:qFormat/>
    <w:uiPriority w:val="99"/>
    <w:rPr>
      <w:rFonts w:ascii="宋体" w:hAnsi="Courier New" w:eastAsia="宋体" w:cs="Courier New"/>
      <w:szCs w:val="21"/>
    </w:rPr>
  </w:style>
  <w:style w:type="character" w:customStyle="1" w:styleId="22">
    <w:name w:val="页眉 字符"/>
    <w:basedOn w:val="11"/>
    <w:link w:val="6"/>
    <w:qFormat/>
    <w:uiPriority w:val="99"/>
    <w:rPr>
      <w:rFonts w:ascii="Times New Roman" w:hAnsi="Times New Roman" w:eastAsia="宋体" w:cs="Times New Roman"/>
      <w:sz w:val="18"/>
      <w:szCs w:val="18"/>
    </w:rPr>
  </w:style>
  <w:style w:type="paragraph" w:styleId="23">
    <w:name w:val="List Paragraph"/>
    <w:basedOn w:val="1"/>
    <w:qFormat/>
    <w:uiPriority w:val="34"/>
    <w:pPr>
      <w:ind w:firstLine="420" w:firstLineChars="200"/>
    </w:pPr>
  </w:style>
  <w:style w:type="character" w:customStyle="1" w:styleId="24">
    <w:name w:val="批注框文本 字符"/>
    <w:basedOn w:val="11"/>
    <w:link w:val="4"/>
    <w:semiHidden/>
    <w:qFormat/>
    <w:uiPriority w:val="99"/>
    <w:rPr>
      <w:rFonts w:ascii="Times New Roman" w:hAnsi="Times New Roman" w:eastAsia="宋体" w:cs="Times New Roman"/>
      <w:sz w:val="18"/>
      <w:szCs w:val="18"/>
    </w:rPr>
  </w:style>
  <w:style w:type="paragraph" w:customStyle="1" w:styleId="25">
    <w:name w:val="paragraph"/>
    <w:basedOn w:val="1"/>
    <w:semiHidden/>
    <w:qFormat/>
    <w:uiPriority w:val="0"/>
    <w:pPr>
      <w:widowControl/>
      <w:spacing w:before="100" w:beforeAutospacing="1" w:after="100" w:afterAutospacing="1"/>
      <w:jc w:val="left"/>
    </w:pPr>
    <w:rPr>
      <w:rFonts w:ascii="等线" w:hAnsi="等线" w:eastAsia="等线"/>
      <w:kern w:val="0"/>
      <w:sz w:val="24"/>
      <w:szCs w:val="24"/>
    </w:rPr>
  </w:style>
  <w:style w:type="character" w:customStyle="1" w:styleId="26">
    <w:name w:val="批注文字 字符"/>
    <w:basedOn w:val="11"/>
    <w:link w:val="2"/>
    <w:qFormat/>
    <w:uiPriority w:val="99"/>
    <w:rPr>
      <w:rFonts w:ascii="Times New Roman" w:hAnsi="Times New Roman" w:eastAsia="宋体" w:cs="Times New Roman"/>
      <w:kern w:val="2"/>
      <w:sz w:val="21"/>
    </w:rPr>
  </w:style>
  <w:style w:type="character" w:customStyle="1" w:styleId="27">
    <w:name w:val="批注主题 字符"/>
    <w:basedOn w:val="26"/>
    <w:link w:val="8"/>
    <w:semiHidden/>
    <w:qFormat/>
    <w:uiPriority w:val="99"/>
    <w:rPr>
      <w:rFonts w:ascii="Times New Roman" w:hAnsi="Times New Roman" w:eastAsia="宋体" w:cs="Times New Roman"/>
      <w:b/>
      <w:bCs/>
      <w:kern w:val="2"/>
      <w:sz w:val="21"/>
    </w:rPr>
  </w:style>
  <w:style w:type="paragraph" w:customStyle="1" w:styleId="28">
    <w:name w:val="修订1"/>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2426</Words>
  <Characters>2853</Characters>
  <Lines>24</Lines>
  <Paragraphs>6</Paragraphs>
  <TotalTime>7</TotalTime>
  <ScaleCrop>false</ScaleCrop>
  <LinksUpToDate>false</LinksUpToDate>
  <CharactersWithSpaces>3008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2026-06-24T06:46:00Z</dcterms:created>
  <dc:creator>User</dc:creator>
  <cp:lastModifiedBy>勾蕊玲</cp:lastModifiedBy>
  <dcterms:modified xsi:type="dcterms:W3CDTF">2026-07-07T11:11:43Z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FD47254428C546C79753499200788EBF</vt:lpwstr>
  </property>
  <property fmtid="{D5CDD505-2E9C-101B-9397-08002B2CF9AE}" pid="4" name="KSOTemplateDocerSaveRecord">
    <vt:lpwstr>eyJoZGlkIjoiNzExMzRiNDQ4YTU4ZTRkMjIxYjJkNzdmMWYzOTE0NDgiLCJ1c2VySWQiOiIyODE2MDc5MDMifQ==</vt:lpwstr>
  </property>
</Properties>
</file>