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677B9">
      <w:pPr>
        <w:pStyle w:val="8"/>
        <w:spacing w:line="360" w:lineRule="auto"/>
      </w:pPr>
      <w:bookmarkStart w:id="0" w:name="_Toc38367762"/>
      <w:r>
        <w:rPr>
          <w:rFonts w:hint="eastAsia"/>
        </w:rPr>
        <w:t>西安交通大学兴庆校区教三楼项目新发现不可移动文物</w:t>
      </w:r>
    </w:p>
    <w:p w14:paraId="303ADAFA">
      <w:pPr>
        <w:pStyle w:val="8"/>
        <w:spacing w:line="360" w:lineRule="auto"/>
        <w:rPr>
          <w:rFonts w:ascii="宋体" w:hAnsi="宋体"/>
        </w:rPr>
      </w:pPr>
      <w:r>
        <w:rPr>
          <w:rFonts w:hint="eastAsia"/>
        </w:rPr>
        <w:t>迁移保护服务</w:t>
      </w:r>
      <w:r>
        <w:rPr>
          <w:rFonts w:ascii="宋体" w:hAnsi="宋体"/>
        </w:rPr>
        <w:t>采购需求</w:t>
      </w:r>
      <w:bookmarkEnd w:id="0"/>
    </w:p>
    <w:p w14:paraId="5DF591ED">
      <w:pPr>
        <w:numPr>
          <w:ilvl w:val="0"/>
          <w:numId w:val="1"/>
        </w:numPr>
        <w:tabs>
          <w:tab w:val="left" w:pos="900"/>
        </w:tabs>
        <w:spacing w:before="156" w:beforeLines="50" w:line="360" w:lineRule="auto"/>
        <w:rPr>
          <w:rFonts w:hAnsi="宋体"/>
          <w:b/>
          <w:sz w:val="24"/>
          <w:szCs w:val="24"/>
        </w:rPr>
      </w:pPr>
      <w:bookmarkStart w:id="1" w:name="_Toc172360661"/>
      <w:bookmarkStart w:id="2" w:name="_Toc219271393"/>
      <w:bookmarkStart w:id="3" w:name="_Toc158978330"/>
      <w:r>
        <w:rPr>
          <w:rFonts w:hAnsi="宋体"/>
          <w:b/>
          <w:sz w:val="24"/>
          <w:szCs w:val="24"/>
        </w:rPr>
        <w:t>采购</w:t>
      </w:r>
      <w:r>
        <w:rPr>
          <w:rFonts w:hint="eastAsia" w:hAnsi="宋体"/>
          <w:b/>
          <w:sz w:val="24"/>
          <w:szCs w:val="24"/>
        </w:rPr>
        <w:t>标的</w:t>
      </w:r>
      <w:r>
        <w:rPr>
          <w:rFonts w:hAnsi="宋体"/>
          <w:b/>
          <w:sz w:val="24"/>
          <w:szCs w:val="24"/>
        </w:rPr>
        <w:t>需实现的功能或者目标</w:t>
      </w:r>
    </w:p>
    <w:p w14:paraId="0B7953EA">
      <w:pPr>
        <w:tabs>
          <w:tab w:val="left" w:pos="900"/>
        </w:tabs>
        <w:spacing w:before="156" w:beforeLines="50" w:line="360" w:lineRule="auto"/>
        <w:ind w:firstLine="482" w:firstLineChars="200"/>
        <w:rPr>
          <w:sz w:val="24"/>
          <w:szCs w:val="24"/>
        </w:rPr>
      </w:pPr>
      <w:r>
        <w:rPr>
          <w:rFonts w:hint="eastAsia"/>
          <w:b/>
          <w:bCs/>
          <w:sz w:val="24"/>
        </w:rPr>
        <w:t>西安交通大学兴庆校区教三楼项目新发现不可移动文物迁移保护服务</w:t>
      </w:r>
      <w:r>
        <w:rPr>
          <w:rFonts w:hint="eastAsia"/>
          <w:sz w:val="24"/>
        </w:rPr>
        <w:t>。</w:t>
      </w:r>
    </w:p>
    <w:p w14:paraId="29595BB5">
      <w:pPr>
        <w:tabs>
          <w:tab w:val="left" w:pos="900"/>
        </w:tabs>
        <w:spacing w:before="156" w:beforeLines="50" w:line="360" w:lineRule="auto"/>
        <w:ind w:firstLine="480" w:firstLineChars="200"/>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完成教三楼项目新发现不可移动文物迁移保护项目的深化设计，通过方案评审等；</w:t>
      </w:r>
    </w:p>
    <w:p w14:paraId="3A03C13A">
      <w:pPr>
        <w:tabs>
          <w:tab w:val="left" w:pos="900"/>
        </w:tabs>
        <w:spacing w:before="156" w:beforeLines="50" w:line="360" w:lineRule="auto"/>
        <w:ind w:firstLine="480" w:firstLineChars="200"/>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完成教三楼项目新发现不可移动文物迁移保护项目的实施，包含涉及遗迹的迁出、存放和监测保护、迁回后的修复和现场保护，以及相关遗迹迁回后保存场所、保存环境及相应设施设备的施工；</w:t>
      </w:r>
    </w:p>
    <w:p w14:paraId="45C902A2">
      <w:pPr>
        <w:tabs>
          <w:tab w:val="left" w:pos="900"/>
        </w:tabs>
        <w:spacing w:before="156" w:beforeLines="50" w:line="360" w:lineRule="auto"/>
        <w:ind w:firstLine="480" w:firstLineChars="200"/>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 xml:space="preserve">完成文物迁移保护的验收、备案等相关手续，负责教三楼项目建设期间与文物主管部门的协调工作及相关手续办理，确保教三楼项目建设、验收工作的正常推进。                                      </w:t>
      </w:r>
    </w:p>
    <w:p w14:paraId="2B112F48">
      <w:pPr>
        <w:tabs>
          <w:tab w:val="left" w:pos="900"/>
        </w:tabs>
        <w:spacing w:before="156" w:beforeLines="50" w:line="360" w:lineRule="auto"/>
        <w:rPr>
          <w:rFonts w:hAnsi="宋体"/>
          <w:b/>
          <w:sz w:val="24"/>
          <w:szCs w:val="24"/>
        </w:rPr>
      </w:pPr>
      <w:r>
        <w:rPr>
          <w:rFonts w:hint="eastAsia" w:hAnsi="宋体"/>
          <w:b/>
          <w:sz w:val="24"/>
          <w:szCs w:val="24"/>
        </w:rPr>
        <w:t>二、采购标的概况</w:t>
      </w:r>
    </w:p>
    <w:p w14:paraId="7D221C3A">
      <w:pPr>
        <w:pStyle w:val="8"/>
        <w:spacing w:line="360" w:lineRule="auto"/>
        <w:jc w:val="both"/>
        <w:rPr>
          <w:rFonts w:ascii="宋体" w:hAnsi="宋体"/>
          <w:sz w:val="24"/>
          <w:szCs w:val="24"/>
          <w:u w:val="single"/>
        </w:rPr>
      </w:pPr>
      <w:r>
        <w:rPr>
          <w:rFonts w:hint="eastAsia" w:ascii="宋体" w:hAnsi="宋体"/>
          <w:sz w:val="24"/>
          <w:szCs w:val="24"/>
        </w:rPr>
        <w:t>（一）采购项目名称及概况：</w:t>
      </w:r>
      <w:r>
        <w:rPr>
          <w:rFonts w:hint="eastAsia"/>
          <w:sz w:val="24"/>
          <w:u w:val="single"/>
        </w:rPr>
        <w:t>西安交通大学兴庆校区教三楼项目新发现不可移动文物迁移保护服务</w:t>
      </w:r>
      <w:r>
        <w:rPr>
          <w:rFonts w:hint="eastAsia" w:ascii="宋体" w:hAnsi="宋体"/>
          <w:sz w:val="24"/>
          <w:szCs w:val="24"/>
          <w:u w:val="single"/>
        </w:rPr>
        <w:t xml:space="preserve"> </w:t>
      </w:r>
    </w:p>
    <w:p w14:paraId="27FDF164">
      <w:pPr>
        <w:pStyle w:val="21"/>
        <w:widowControl/>
        <w:spacing w:line="360" w:lineRule="auto"/>
        <w:ind w:firstLine="560"/>
        <w:rPr>
          <w:rFonts w:ascii="宋体" w:hAnsi="宋体" w:cs="宋体"/>
          <w:sz w:val="24"/>
          <w:szCs w:val="24"/>
        </w:rPr>
      </w:pPr>
      <w:r>
        <w:rPr>
          <w:rFonts w:hint="eastAsia" w:ascii="宋体" w:hAnsi="宋体" w:cs="宋体"/>
          <w:kern w:val="0"/>
          <w:sz w:val="24"/>
          <w:szCs w:val="24"/>
        </w:rPr>
        <w:t>本项目位于西安市碑林区咸宁西路28号西安交通大学内，文治路以北，梧桐西道以东，属全国重点文物保护单位—隋唐长安城保护范围道政坊内</w:t>
      </w:r>
      <w:r>
        <w:rPr>
          <w:rFonts w:hint="eastAsia" w:ascii="宋体" w:hAnsi="宋体" w:cs="宋体"/>
          <w:color w:val="auto"/>
          <w:kern w:val="0"/>
          <w:sz w:val="24"/>
          <w:szCs w:val="24"/>
        </w:rPr>
        <w:t>的考古新发现，</w:t>
      </w:r>
      <w:r>
        <w:rPr>
          <w:rFonts w:hint="eastAsia" w:ascii="宋体" w:hAnsi="宋体" w:cs="宋体"/>
          <w:kern w:val="0"/>
          <w:sz w:val="24"/>
          <w:szCs w:val="24"/>
        </w:rPr>
        <w:t>毗邻东市，用地总面积5896.77平方米。</w:t>
      </w:r>
      <w:r>
        <w:rPr>
          <w:rFonts w:hint="eastAsia" w:ascii="宋体" w:hAnsi="宋体" w:cs="宋体"/>
          <w:sz w:val="24"/>
          <w:szCs w:val="24"/>
        </w:rPr>
        <w:t>本次采购内容为</w:t>
      </w:r>
      <w:r>
        <w:rPr>
          <w:rFonts w:hint="eastAsia"/>
          <w:b/>
          <w:bCs/>
          <w:sz w:val="24"/>
        </w:rPr>
        <w:t>教三楼项目新发现不可移动文物迁移保护服务</w:t>
      </w:r>
      <w:r>
        <w:rPr>
          <w:rFonts w:hint="eastAsia" w:ascii="宋体" w:hAnsi="宋体" w:cs="宋体"/>
          <w:sz w:val="24"/>
          <w:szCs w:val="24"/>
        </w:rPr>
        <w:t>。</w:t>
      </w:r>
    </w:p>
    <w:p w14:paraId="688E7E8D">
      <w:pPr>
        <w:pStyle w:val="7"/>
        <w:widowControl/>
        <w:spacing w:beforeAutospacing="0" w:afterAutospacing="0" w:line="360" w:lineRule="auto"/>
        <w:ind w:firstLine="480" w:firstLineChars="200"/>
        <w:jc w:val="both"/>
        <w:rPr>
          <w:rFonts w:ascii="宋体" w:hAnsi="宋体" w:cs="宋体"/>
          <w:szCs w:val="24"/>
        </w:rPr>
      </w:pPr>
      <w:r>
        <w:rPr>
          <w:rFonts w:hint="eastAsia" w:ascii="宋体" w:hAnsi="宋体" w:cs="宋体"/>
          <w:szCs w:val="24"/>
        </w:rPr>
        <w:t>1.投标人需具备的资格条件：</w:t>
      </w:r>
    </w:p>
    <w:p w14:paraId="68460A57">
      <w:pPr>
        <w:pStyle w:val="2"/>
        <w:spacing w:line="360" w:lineRule="auto"/>
        <w:ind w:left="0" w:firstLine="480" w:firstLineChars="200"/>
        <w:rPr>
          <w:sz w:val="24"/>
          <w:szCs w:val="24"/>
        </w:rPr>
      </w:pPr>
      <w:r>
        <w:rPr>
          <w:rFonts w:hint="eastAsia" w:ascii="Times New Roman"/>
          <w:sz w:val="24"/>
          <w:szCs w:val="24"/>
        </w:rPr>
        <w:t>（1）供应商应具有文物保护工程勘察设计乙级及以上资质证书，同时具备文物保护工程施工二级及以上资质证书（业务范围包含古文化遗址古墓葬）；须有文物迁移保护工作业绩。</w:t>
      </w:r>
    </w:p>
    <w:p w14:paraId="1CB94B02">
      <w:pPr>
        <w:spacing w:line="360" w:lineRule="auto"/>
        <w:ind w:firstLine="480" w:firstLineChars="200"/>
        <w:rPr>
          <w:rFonts w:ascii="宋体" w:hAnsi="宋体" w:cs="宋体"/>
          <w:kern w:val="0"/>
          <w:sz w:val="24"/>
          <w:szCs w:val="24"/>
        </w:rPr>
      </w:pPr>
      <w:r>
        <w:rPr>
          <w:rFonts w:hint="eastAsia"/>
          <w:sz w:val="24"/>
          <w:szCs w:val="24"/>
        </w:rPr>
        <w:t>（2）项目负责人具有文物保护工程责任工程师证书（需为供应商在职职工，提供社会养老保险证明）。</w:t>
      </w:r>
    </w:p>
    <w:p w14:paraId="607FA0BF">
      <w:pPr>
        <w:spacing w:line="360" w:lineRule="auto"/>
        <w:ind w:firstLine="480" w:firstLineChars="200"/>
        <w:rPr>
          <w:rFonts w:hAnsi="宋体"/>
          <w:sz w:val="24"/>
          <w:szCs w:val="24"/>
        </w:rPr>
      </w:pPr>
      <w:r>
        <w:rPr>
          <w:rFonts w:hint="eastAsia" w:hAnsi="宋体"/>
          <w:sz w:val="24"/>
          <w:szCs w:val="24"/>
        </w:rPr>
        <w:t>2.现场情况：</w:t>
      </w:r>
    </w:p>
    <w:p w14:paraId="26D1B59B">
      <w:pPr>
        <w:spacing w:line="360" w:lineRule="auto"/>
        <w:ind w:firstLine="480" w:firstLineChars="200"/>
        <w:rPr>
          <w:sz w:val="24"/>
        </w:rPr>
      </w:pPr>
      <w:r>
        <w:rPr>
          <w:rFonts w:hint="eastAsia" w:hAnsi="宋体"/>
          <w:sz w:val="24"/>
          <w:szCs w:val="24"/>
        </w:rPr>
        <w:t>教三楼拟建场地考古发掘工作已完成，考古发掘技术单位为陕西省考古研究院。</w:t>
      </w:r>
      <w:bookmarkStart w:id="4" w:name="_Toc4869"/>
      <w:r>
        <w:rPr>
          <w:rFonts w:hint="eastAsia"/>
          <w:sz w:val="24"/>
        </w:rPr>
        <w:t>依据《西安交通大学教三楼拟建场地考古发掘工作报告》显示：经过发掘，发现各类遗迹</w:t>
      </w:r>
      <w:r>
        <w:rPr>
          <w:sz w:val="24"/>
        </w:rPr>
        <w:t>88</w:t>
      </w:r>
      <w:r>
        <w:rPr>
          <w:rFonts w:hint="eastAsia"/>
          <w:sz w:val="24"/>
        </w:rPr>
        <w:t>处，包括灰坑</w:t>
      </w:r>
      <w:r>
        <w:rPr>
          <w:sz w:val="24"/>
        </w:rPr>
        <w:t>40</w:t>
      </w:r>
      <w:r>
        <w:rPr>
          <w:rFonts w:hint="eastAsia"/>
          <w:sz w:val="24"/>
        </w:rPr>
        <w:t>处，井</w:t>
      </w:r>
      <w:r>
        <w:rPr>
          <w:sz w:val="24"/>
        </w:rPr>
        <w:t>29</w:t>
      </w:r>
      <w:r>
        <w:rPr>
          <w:rFonts w:hint="eastAsia"/>
          <w:sz w:val="24"/>
        </w:rPr>
        <w:t>眼，墓葬</w:t>
      </w:r>
      <w:r>
        <w:rPr>
          <w:sz w:val="24"/>
        </w:rPr>
        <w:t>12</w:t>
      </w:r>
      <w:r>
        <w:rPr>
          <w:rFonts w:hint="eastAsia"/>
          <w:sz w:val="24"/>
        </w:rPr>
        <w:t>座，路</w:t>
      </w:r>
      <w:r>
        <w:rPr>
          <w:sz w:val="24"/>
        </w:rPr>
        <w:t>1</w:t>
      </w:r>
      <w:r>
        <w:rPr>
          <w:rFonts w:hint="eastAsia"/>
          <w:sz w:val="24"/>
        </w:rPr>
        <w:t>条，坊墙</w:t>
      </w:r>
      <w:r>
        <w:rPr>
          <w:sz w:val="24"/>
        </w:rPr>
        <w:t>2</w:t>
      </w:r>
      <w:r>
        <w:rPr>
          <w:rFonts w:hint="eastAsia"/>
          <w:sz w:val="24"/>
        </w:rPr>
        <w:t>处，窑</w:t>
      </w:r>
      <w:r>
        <w:rPr>
          <w:sz w:val="24"/>
        </w:rPr>
        <w:t>2</w:t>
      </w:r>
      <w:r>
        <w:rPr>
          <w:rFonts w:hint="eastAsia"/>
          <w:sz w:val="24"/>
        </w:rPr>
        <w:t>座。出土陶器、瓷器、建筑构件等</w:t>
      </w:r>
      <w:r>
        <w:rPr>
          <w:sz w:val="24"/>
        </w:rPr>
        <w:t>60</w:t>
      </w:r>
      <w:r>
        <w:rPr>
          <w:rFonts w:hint="eastAsia"/>
          <w:sz w:val="24"/>
        </w:rPr>
        <w:t>余件组。</w:t>
      </w:r>
    </w:p>
    <w:p w14:paraId="5630B4DA">
      <w:pPr>
        <w:spacing w:line="360" w:lineRule="auto"/>
        <w:ind w:firstLine="480" w:firstLineChars="200"/>
        <w:rPr>
          <w:sz w:val="24"/>
        </w:rPr>
      </w:pPr>
      <w:r>
        <w:rPr>
          <w:rFonts w:hint="eastAsia"/>
          <w:color w:val="auto"/>
          <w:sz w:val="24"/>
        </w:rPr>
        <w:t>在本迁移保护项目中，需针对其中的道政坊南坊墙、第六横街路面、常乐坊北坊墙进行专项保护方案</w:t>
      </w:r>
      <w:bookmarkEnd w:id="4"/>
      <w:r>
        <w:rPr>
          <w:rFonts w:hint="eastAsia"/>
          <w:color w:val="auto"/>
          <w:sz w:val="24"/>
        </w:rPr>
        <w:t>，确保实施过程中文物的安全、稳定。</w:t>
      </w:r>
    </w:p>
    <w:p w14:paraId="313A6AA7">
      <w:pPr>
        <w:spacing w:line="360" w:lineRule="auto"/>
        <w:ind w:firstLine="480" w:firstLineChars="200"/>
        <w:rPr>
          <w:sz w:val="24"/>
        </w:rPr>
      </w:pPr>
      <w:r>
        <w:rPr>
          <w:rFonts w:hint="eastAsia"/>
          <w:sz w:val="24"/>
        </w:rPr>
        <w:t>现场缺乏文物原址保护的条件，需对遗址进行合理评估，选择恰当方式完成文物遗址迁移保护及回迁归安展示工作。</w:t>
      </w:r>
    </w:p>
    <w:p w14:paraId="3982FCBB">
      <w:pPr>
        <w:spacing w:line="520" w:lineRule="exact"/>
        <w:ind w:firstLine="480" w:firstLineChars="200"/>
        <w:rPr>
          <w:sz w:val="24"/>
        </w:rPr>
      </w:pPr>
      <w:r>
        <w:rPr>
          <w:rFonts w:hint="eastAsia"/>
          <w:sz w:val="24"/>
          <w:lang w:val="en-US" w:eastAsia="zh-CN"/>
        </w:rPr>
        <w:t>3.</w:t>
      </w:r>
      <w:r>
        <w:rPr>
          <w:rFonts w:hint="eastAsia"/>
          <w:sz w:val="24"/>
        </w:rPr>
        <w:t>项目内容：</w:t>
      </w:r>
    </w:p>
    <w:p w14:paraId="3364E093">
      <w:pPr>
        <w:spacing w:line="520" w:lineRule="exact"/>
        <w:ind w:firstLine="480" w:firstLineChars="200"/>
        <w:rPr>
          <w:sz w:val="24"/>
        </w:rPr>
      </w:pPr>
      <w:r>
        <w:rPr>
          <w:rFonts w:hint="eastAsia"/>
          <w:sz w:val="24"/>
        </w:rPr>
        <w:t>完成对已发掘古道路、古坊墙提取工作的迁移方案深化设计及迁移保护展示服务工作。</w:t>
      </w:r>
    </w:p>
    <w:p w14:paraId="4E19FED2">
      <w:pPr>
        <w:spacing w:before="156" w:beforeLines="50" w:line="360" w:lineRule="auto"/>
        <w:rPr>
          <w:rFonts w:hAnsi="宋体"/>
          <w:sz w:val="24"/>
          <w:szCs w:val="24"/>
        </w:rPr>
      </w:pPr>
      <w:r>
        <w:rPr>
          <w:rFonts w:hint="eastAsia" w:hAnsi="宋体"/>
          <w:sz w:val="24"/>
          <w:szCs w:val="24"/>
        </w:rPr>
        <w:t>（二）采购数量及计量单位：1项。</w:t>
      </w:r>
    </w:p>
    <w:p w14:paraId="162E5F3B">
      <w:pPr>
        <w:numPr>
          <w:ilvl w:val="0"/>
          <w:numId w:val="2"/>
        </w:numPr>
        <w:spacing w:before="156" w:beforeLines="50" w:line="360" w:lineRule="auto"/>
        <w:rPr>
          <w:rFonts w:ascii="宋体" w:hAnsi="宋体" w:cs="宋体"/>
          <w:sz w:val="24"/>
          <w:szCs w:val="24"/>
          <w:u w:val="single"/>
        </w:rPr>
      </w:pPr>
      <w:r>
        <w:rPr>
          <w:rFonts w:hint="eastAsia" w:ascii="宋体" w:hAnsi="宋体" w:cs="宋体"/>
          <w:sz w:val="24"/>
          <w:szCs w:val="24"/>
        </w:rPr>
        <w:t>最高限价：人民币</w:t>
      </w:r>
      <w:r>
        <w:rPr>
          <w:rFonts w:hint="eastAsia" w:ascii="宋体" w:hAnsi="宋体" w:cs="宋体"/>
          <w:sz w:val="24"/>
          <w:szCs w:val="24"/>
          <w:u w:val="single"/>
        </w:rPr>
        <w:t xml:space="preserve"> </w:t>
      </w:r>
      <w:r>
        <w:rPr>
          <w:rFonts w:hint="eastAsia" w:ascii="宋体" w:hAnsi="宋体" w:cs="宋体"/>
          <w:b/>
          <w:bCs/>
          <w:sz w:val="24"/>
          <w:szCs w:val="24"/>
          <w:u w:val="single"/>
        </w:rPr>
        <w:t xml:space="preserve"> 645万元（含预留金30万元）</w:t>
      </w:r>
      <w:r>
        <w:rPr>
          <w:rFonts w:hint="eastAsia" w:ascii="宋体" w:hAnsi="宋体" w:cs="宋体"/>
          <w:sz w:val="24"/>
          <w:szCs w:val="24"/>
          <w:u w:val="single"/>
        </w:rPr>
        <w:t xml:space="preserve"> </w:t>
      </w:r>
    </w:p>
    <w:p w14:paraId="48E80EFB">
      <w:pPr>
        <w:spacing w:before="156" w:beforeLines="50" w:line="360" w:lineRule="auto"/>
        <w:rPr>
          <w:sz w:val="24"/>
          <w:szCs w:val="24"/>
        </w:rPr>
      </w:pPr>
      <w:r>
        <w:rPr>
          <w:rFonts w:hint="eastAsia" w:hAnsi="宋体"/>
          <w:sz w:val="24"/>
          <w:szCs w:val="24"/>
        </w:rPr>
        <w:t>（四）服务周期</w:t>
      </w:r>
      <w:r>
        <w:rPr>
          <w:rFonts w:hAnsi="宋体"/>
          <w:sz w:val="24"/>
          <w:szCs w:val="24"/>
        </w:rPr>
        <w:t>：</w:t>
      </w:r>
      <w:r>
        <w:rPr>
          <w:rFonts w:hAnsi="宋体"/>
          <w:sz w:val="24"/>
          <w:szCs w:val="24"/>
          <w:u w:val="single"/>
        </w:rPr>
        <w:t xml:space="preserve"> </w:t>
      </w:r>
      <w:r>
        <w:rPr>
          <w:rFonts w:hint="eastAsia" w:hAnsi="宋体"/>
          <w:sz w:val="24"/>
          <w:szCs w:val="24"/>
          <w:u w:val="single"/>
        </w:rPr>
        <w:t>720天（完成约定的全部工作）</w:t>
      </w:r>
      <w:r>
        <w:rPr>
          <w:rFonts w:hAnsi="宋体"/>
          <w:sz w:val="24"/>
          <w:szCs w:val="24"/>
          <w:u w:val="single"/>
        </w:rPr>
        <w:t xml:space="preserve">   </w:t>
      </w:r>
      <w:r>
        <w:rPr>
          <w:rFonts w:hint="eastAsia" w:hAnsi="宋体"/>
          <w:sz w:val="24"/>
          <w:szCs w:val="24"/>
        </w:rPr>
        <w:t>。</w:t>
      </w:r>
    </w:p>
    <w:p w14:paraId="311B9D02">
      <w:pPr>
        <w:tabs>
          <w:tab w:val="left" w:pos="900"/>
        </w:tabs>
        <w:spacing w:before="156" w:beforeLines="50" w:line="360" w:lineRule="auto"/>
        <w:rPr>
          <w:rFonts w:hAnsi="宋体"/>
          <w:sz w:val="24"/>
          <w:szCs w:val="24"/>
          <w:u w:val="single"/>
        </w:rPr>
      </w:pPr>
      <w:r>
        <w:rPr>
          <w:rFonts w:hint="eastAsia" w:hAnsi="宋体"/>
          <w:sz w:val="24"/>
          <w:szCs w:val="24"/>
        </w:rPr>
        <w:t>（五）服务</w:t>
      </w:r>
      <w:r>
        <w:rPr>
          <w:rFonts w:hAnsi="宋体"/>
          <w:sz w:val="24"/>
          <w:szCs w:val="24"/>
        </w:rPr>
        <w:t>地点：</w:t>
      </w:r>
      <w:r>
        <w:rPr>
          <w:rFonts w:hint="eastAsia" w:hAnsi="宋体"/>
          <w:sz w:val="24"/>
          <w:szCs w:val="24"/>
          <w:u w:val="single"/>
        </w:rPr>
        <w:t xml:space="preserve"> </w:t>
      </w:r>
      <w:r>
        <w:rPr>
          <w:rFonts w:hint="eastAsia" w:ascii="宋体" w:hAnsi="宋体" w:cs="宋体"/>
          <w:kern w:val="0"/>
          <w:sz w:val="24"/>
          <w:szCs w:val="24"/>
          <w:u w:val="single"/>
        </w:rPr>
        <w:t>西安市碑林区咸宁西路28号西安交通大学内</w:t>
      </w:r>
      <w:r>
        <w:rPr>
          <w:rFonts w:hint="eastAsia" w:hAnsi="宋体"/>
          <w:sz w:val="24"/>
          <w:szCs w:val="24"/>
          <w:u w:val="single"/>
        </w:rPr>
        <w:t>。</w:t>
      </w:r>
    </w:p>
    <w:p w14:paraId="094720E1">
      <w:pPr>
        <w:tabs>
          <w:tab w:val="left" w:pos="900"/>
        </w:tabs>
        <w:spacing w:before="156" w:beforeLines="50" w:line="360" w:lineRule="auto"/>
        <w:jc w:val="left"/>
        <w:rPr>
          <w:rFonts w:hAnsi="宋体"/>
          <w:sz w:val="24"/>
          <w:szCs w:val="24"/>
        </w:rPr>
      </w:pPr>
      <w:r>
        <w:rPr>
          <w:rFonts w:hint="eastAsia" w:hAnsi="宋体"/>
          <w:sz w:val="24"/>
          <w:szCs w:val="24"/>
        </w:rPr>
        <w:t>（六）付款方式：合同签订进场后支付合同金额的20%预付款（不含预留金）；待文物迁至文物保护地，并确认完成后，支付合同金额的50%</w:t>
      </w:r>
      <w:bookmarkStart w:id="5" w:name="_Hlk216078685"/>
      <w:r>
        <w:rPr>
          <w:rFonts w:hint="eastAsia" w:hAnsi="宋体"/>
          <w:sz w:val="24"/>
          <w:szCs w:val="24"/>
        </w:rPr>
        <w:t>（不含预留金）</w:t>
      </w:r>
      <w:bookmarkEnd w:id="5"/>
      <w:r>
        <w:rPr>
          <w:rFonts w:hint="eastAsia" w:hAnsi="宋体"/>
          <w:sz w:val="24"/>
          <w:szCs w:val="24"/>
        </w:rPr>
        <w:t>，取得文物部门审批意见，支付剩余服务款项（最后一次付款前，实施单位需将3%质保金转入学校账户，待质保期到，无质量问题，一次性返还，不计息。）付款前服务单位须提供正式发票。</w:t>
      </w:r>
    </w:p>
    <w:p w14:paraId="1ECE8BF9">
      <w:pPr>
        <w:tabs>
          <w:tab w:val="left" w:pos="900"/>
        </w:tabs>
        <w:spacing w:line="360" w:lineRule="auto"/>
        <w:rPr>
          <w:rFonts w:hAnsi="宋体"/>
          <w:sz w:val="24"/>
          <w:szCs w:val="24"/>
        </w:rPr>
      </w:pPr>
      <w:r>
        <w:rPr>
          <w:rFonts w:hint="eastAsia" w:hAnsi="宋体"/>
          <w:sz w:val="24"/>
          <w:szCs w:val="24"/>
        </w:rPr>
        <w:t>（七）结算方式：项目支付的总价为固定费用(不含预留金部分）。预留金部分按实际发生的相关工作及费用，采购方同服务方协商确定后支付。</w:t>
      </w:r>
    </w:p>
    <w:p w14:paraId="7F6710B1">
      <w:pPr>
        <w:tabs>
          <w:tab w:val="left" w:pos="900"/>
        </w:tabs>
        <w:spacing w:before="156" w:beforeLines="50" w:line="360" w:lineRule="auto"/>
        <w:rPr>
          <w:rFonts w:hAnsi="宋体"/>
          <w:b/>
          <w:sz w:val="24"/>
          <w:szCs w:val="24"/>
        </w:rPr>
      </w:pPr>
      <w:r>
        <w:rPr>
          <w:rFonts w:hint="eastAsia" w:hAnsi="宋体"/>
          <w:b/>
          <w:sz w:val="24"/>
          <w:szCs w:val="24"/>
        </w:rPr>
        <w:t>三、采购标的需满足的质量、安全、技术规格、物理特性等要求：</w:t>
      </w:r>
    </w:p>
    <w:p w14:paraId="32C21AED">
      <w:pPr>
        <w:spacing w:line="360" w:lineRule="auto"/>
        <w:ind w:firstLine="482" w:firstLineChars="200"/>
        <w:rPr>
          <w:b/>
          <w:bCs/>
          <w:sz w:val="24"/>
        </w:rPr>
      </w:pPr>
      <w:r>
        <w:rPr>
          <w:rFonts w:hint="eastAsia"/>
          <w:b/>
          <w:bCs/>
          <w:sz w:val="24"/>
        </w:rPr>
        <w:t>（一）工作要求：</w:t>
      </w:r>
    </w:p>
    <w:p w14:paraId="23185F57">
      <w:pPr>
        <w:spacing w:line="360" w:lineRule="auto"/>
        <w:ind w:firstLine="480" w:firstLineChars="200"/>
        <w:rPr>
          <w:sz w:val="24"/>
        </w:rPr>
      </w:pPr>
      <w:r>
        <w:rPr>
          <w:rFonts w:hint="eastAsia"/>
          <w:bCs/>
          <w:sz w:val="24"/>
        </w:rPr>
        <w:t>1.</w:t>
      </w:r>
      <w:r>
        <w:rPr>
          <w:rFonts w:hint="eastAsia"/>
          <w:sz w:val="24"/>
        </w:rPr>
        <w:t>坚持不改变文物原状的原则，保持文物的真实性，完整性；</w:t>
      </w:r>
    </w:p>
    <w:p w14:paraId="313161E2">
      <w:pPr>
        <w:spacing w:line="360" w:lineRule="auto"/>
        <w:ind w:firstLine="480" w:firstLineChars="200"/>
        <w:rPr>
          <w:sz w:val="24"/>
        </w:rPr>
      </w:pPr>
      <w:r>
        <w:rPr>
          <w:rFonts w:hint="eastAsia"/>
          <w:sz w:val="24"/>
        </w:rPr>
        <w:t>2.依照“保护第一、加强管理、挖掘价值、有效利用、让文物活起来”的新时代文物工作方针。以充分的科学研究、考古发掘、考古调查为前提，做到有针对性的保护；</w:t>
      </w:r>
    </w:p>
    <w:p w14:paraId="4E84DF36">
      <w:pPr>
        <w:spacing w:line="360" w:lineRule="auto"/>
        <w:ind w:firstLine="480" w:firstLineChars="200"/>
        <w:rPr>
          <w:sz w:val="24"/>
        </w:rPr>
      </w:pPr>
      <w:r>
        <w:rPr>
          <w:rFonts w:hint="eastAsia"/>
          <w:sz w:val="24"/>
          <w:lang w:val="en-US" w:eastAsia="zh-CN"/>
        </w:rPr>
        <w:t>3.</w:t>
      </w:r>
      <w:r>
        <w:rPr>
          <w:rFonts w:hint="eastAsia"/>
          <w:sz w:val="24"/>
        </w:rPr>
        <w:t>坚持保留原用材料，工艺原则；</w:t>
      </w:r>
    </w:p>
    <w:p w14:paraId="5A74043A">
      <w:pPr>
        <w:spacing w:line="360" w:lineRule="auto"/>
        <w:ind w:firstLine="480" w:firstLineChars="200"/>
        <w:rPr>
          <w:sz w:val="24"/>
        </w:rPr>
      </w:pPr>
      <w:r>
        <w:rPr>
          <w:rFonts w:hint="eastAsia"/>
          <w:sz w:val="24"/>
          <w:lang w:val="en-US" w:eastAsia="zh-CN"/>
        </w:rPr>
        <w:t>4.</w:t>
      </w:r>
      <w:r>
        <w:rPr>
          <w:rFonts w:hint="eastAsia"/>
          <w:sz w:val="24"/>
        </w:rPr>
        <w:t>坚持信息化施工，动态设计原则；</w:t>
      </w:r>
    </w:p>
    <w:p w14:paraId="2FD312EB">
      <w:pPr>
        <w:spacing w:line="360" w:lineRule="auto"/>
        <w:ind w:firstLine="480" w:firstLineChars="200"/>
        <w:rPr>
          <w:sz w:val="24"/>
        </w:rPr>
      </w:pPr>
      <w:r>
        <w:rPr>
          <w:rFonts w:hint="eastAsia"/>
          <w:sz w:val="24"/>
          <w:lang w:val="en-US" w:eastAsia="zh-CN"/>
        </w:rPr>
        <w:t>5.</w:t>
      </w:r>
      <w:r>
        <w:rPr>
          <w:rFonts w:hint="eastAsia"/>
          <w:sz w:val="24"/>
        </w:rPr>
        <w:t>坚持治理设计要符合有关法律、法规及技术规范要求，达到相应的技术标准，能够有效指导施工；</w:t>
      </w:r>
    </w:p>
    <w:p w14:paraId="4F897FC9">
      <w:pPr>
        <w:spacing w:line="360" w:lineRule="auto"/>
        <w:ind w:firstLine="480" w:firstLineChars="200"/>
        <w:rPr>
          <w:sz w:val="24"/>
        </w:rPr>
      </w:pPr>
      <w:r>
        <w:rPr>
          <w:rFonts w:hint="eastAsia"/>
          <w:sz w:val="24"/>
          <w:lang w:val="en-US" w:eastAsia="zh-CN"/>
        </w:rPr>
        <w:t>6.</w:t>
      </w:r>
      <w:r>
        <w:rPr>
          <w:rFonts w:hint="eastAsia"/>
          <w:sz w:val="24"/>
        </w:rPr>
        <w:t>坚持保证在安全前提下的经济、合理原则；</w:t>
      </w:r>
    </w:p>
    <w:p w14:paraId="68F8279F">
      <w:pPr>
        <w:spacing w:line="360" w:lineRule="auto"/>
        <w:ind w:firstLine="480" w:firstLineChars="200"/>
        <w:rPr>
          <w:sz w:val="24"/>
        </w:rPr>
      </w:pPr>
      <w:r>
        <w:rPr>
          <w:rFonts w:hint="eastAsia"/>
          <w:sz w:val="24"/>
          <w:lang w:val="en-US" w:eastAsia="zh-CN"/>
        </w:rPr>
        <w:t>7.</w:t>
      </w:r>
      <w:r>
        <w:rPr>
          <w:rFonts w:hint="eastAsia"/>
          <w:sz w:val="24"/>
        </w:rPr>
        <w:t>保证发掘文物迁移前数字化信息完整性；</w:t>
      </w:r>
    </w:p>
    <w:p w14:paraId="1314E44B">
      <w:pPr>
        <w:spacing w:line="360" w:lineRule="auto"/>
        <w:ind w:firstLine="480" w:firstLineChars="200"/>
        <w:rPr>
          <w:sz w:val="24"/>
        </w:rPr>
      </w:pPr>
      <w:r>
        <w:rPr>
          <w:rFonts w:hint="eastAsia"/>
          <w:sz w:val="24"/>
          <w:lang w:val="en-US" w:eastAsia="zh-CN"/>
        </w:rPr>
        <w:t>8.</w:t>
      </w:r>
      <w:r>
        <w:rPr>
          <w:rFonts w:hint="eastAsia"/>
          <w:sz w:val="24"/>
        </w:rPr>
        <w:t>保证迁移文物信息的完整性以及迁移中文物的安全性；</w:t>
      </w:r>
    </w:p>
    <w:p w14:paraId="2386C972">
      <w:pPr>
        <w:spacing w:line="360" w:lineRule="auto"/>
        <w:ind w:firstLine="480" w:firstLineChars="200"/>
        <w:rPr>
          <w:sz w:val="24"/>
        </w:rPr>
      </w:pPr>
      <w:r>
        <w:rPr>
          <w:rFonts w:hint="eastAsia"/>
          <w:sz w:val="24"/>
          <w:lang w:val="en-US" w:eastAsia="zh-CN"/>
        </w:rPr>
        <w:t>9.</w:t>
      </w:r>
      <w:r>
        <w:rPr>
          <w:rFonts w:hint="eastAsia"/>
          <w:sz w:val="24"/>
        </w:rPr>
        <w:t>保证迁移后文物保存环境的适宜性。</w:t>
      </w:r>
    </w:p>
    <w:p w14:paraId="1621CD65">
      <w:pPr>
        <w:spacing w:line="360" w:lineRule="auto"/>
        <w:ind w:firstLine="482" w:firstLineChars="200"/>
        <w:rPr>
          <w:b/>
          <w:bCs/>
          <w:sz w:val="24"/>
        </w:rPr>
      </w:pPr>
      <w:r>
        <w:rPr>
          <w:rFonts w:hint="eastAsia"/>
          <w:b/>
          <w:bCs/>
          <w:sz w:val="24"/>
        </w:rPr>
        <w:t>（二）成果要求：</w:t>
      </w:r>
    </w:p>
    <w:p w14:paraId="29D15A39">
      <w:pPr>
        <w:spacing w:line="360" w:lineRule="auto"/>
        <w:ind w:firstLine="480" w:firstLineChars="200"/>
        <w:rPr>
          <w:sz w:val="24"/>
        </w:rPr>
      </w:pPr>
      <w:r>
        <w:rPr>
          <w:sz w:val="24"/>
        </w:rPr>
        <w:t>1</w:t>
      </w:r>
      <w:r>
        <w:rPr>
          <w:rFonts w:hint="eastAsia"/>
          <w:sz w:val="24"/>
          <w:lang w:val="en-US" w:eastAsia="zh-CN"/>
        </w:rPr>
        <w:t>.</w:t>
      </w:r>
      <w:r>
        <w:rPr>
          <w:rFonts w:hint="eastAsia"/>
          <w:sz w:val="24"/>
        </w:rPr>
        <w:t>资料</w:t>
      </w:r>
      <w:r>
        <w:rPr>
          <w:sz w:val="24"/>
        </w:rPr>
        <w:t>文件组成：</w:t>
      </w:r>
    </w:p>
    <w:p w14:paraId="5F7EF337">
      <w:pPr>
        <w:spacing w:line="360" w:lineRule="auto"/>
        <w:ind w:firstLine="480" w:firstLineChars="200"/>
        <w:rPr>
          <w:sz w:val="24"/>
        </w:rPr>
      </w:pPr>
      <w:r>
        <w:rPr>
          <w:rFonts w:hint="eastAsia"/>
          <w:sz w:val="24"/>
        </w:rPr>
        <w:t>设计及迁移服务过程相关资料设计方案报告、迁移图纸；</w:t>
      </w:r>
      <w:r>
        <w:rPr>
          <w:sz w:val="24"/>
        </w:rPr>
        <w:t>工程施工图设计等。</w:t>
      </w:r>
    </w:p>
    <w:p w14:paraId="24457783">
      <w:pPr>
        <w:spacing w:line="360" w:lineRule="auto"/>
        <w:ind w:firstLine="480" w:firstLineChars="200"/>
        <w:rPr>
          <w:sz w:val="24"/>
        </w:rPr>
      </w:pPr>
      <w:r>
        <w:rPr>
          <w:sz w:val="24"/>
        </w:rPr>
        <w:t>2</w:t>
      </w:r>
      <w:r>
        <w:rPr>
          <w:rFonts w:hint="eastAsia"/>
          <w:sz w:val="24"/>
          <w:lang w:val="en-US" w:eastAsia="zh-CN"/>
        </w:rPr>
        <w:t>.</w:t>
      </w:r>
      <w:r>
        <w:rPr>
          <w:rFonts w:hint="eastAsia"/>
          <w:sz w:val="24"/>
        </w:rPr>
        <w:t>资料</w:t>
      </w:r>
      <w:r>
        <w:rPr>
          <w:sz w:val="24"/>
        </w:rPr>
        <w:t>文件的深度：</w:t>
      </w:r>
    </w:p>
    <w:p w14:paraId="18069563">
      <w:pPr>
        <w:spacing w:line="360" w:lineRule="auto"/>
        <w:ind w:firstLine="480" w:firstLineChars="200"/>
        <w:rPr>
          <w:sz w:val="24"/>
        </w:rPr>
      </w:pPr>
      <w:r>
        <w:rPr>
          <w:sz w:val="24"/>
        </w:rPr>
        <w:t>达到国家和地方现行有关技术标准与规范的要求。</w:t>
      </w:r>
    </w:p>
    <w:p w14:paraId="4F9DC4AA">
      <w:pPr>
        <w:spacing w:line="360" w:lineRule="auto"/>
        <w:ind w:firstLine="480" w:firstLineChars="200"/>
        <w:rPr>
          <w:sz w:val="24"/>
        </w:rPr>
      </w:pPr>
      <w:r>
        <w:rPr>
          <w:rFonts w:hint="eastAsia"/>
          <w:sz w:val="24"/>
        </w:rPr>
        <w:t>3</w:t>
      </w:r>
      <w:r>
        <w:rPr>
          <w:rFonts w:hint="eastAsia"/>
          <w:sz w:val="24"/>
          <w:lang w:val="en-US" w:eastAsia="zh-CN"/>
        </w:rPr>
        <w:t>.</w:t>
      </w:r>
      <w:r>
        <w:rPr>
          <w:rFonts w:hint="eastAsia"/>
          <w:sz w:val="24"/>
        </w:rPr>
        <w:t>项目实施效果</w:t>
      </w:r>
    </w:p>
    <w:p w14:paraId="728E9575">
      <w:pPr>
        <w:spacing w:line="360" w:lineRule="auto"/>
        <w:ind w:firstLine="480" w:firstLineChars="200"/>
        <w:rPr>
          <w:sz w:val="24"/>
        </w:rPr>
      </w:pPr>
      <w:r>
        <w:rPr>
          <w:rFonts w:hint="eastAsia"/>
          <w:sz w:val="24"/>
        </w:rPr>
        <w:t>采取合理措施，有效完成文物标本提取，保证文物保护效果，达到文物行政部门的验收条件。</w:t>
      </w:r>
    </w:p>
    <w:p w14:paraId="25736F44">
      <w:pPr>
        <w:tabs>
          <w:tab w:val="left" w:pos="900"/>
        </w:tabs>
        <w:spacing w:line="360" w:lineRule="auto"/>
        <w:ind w:firstLine="482" w:firstLineChars="200"/>
        <w:rPr>
          <w:rFonts w:hAnsi="宋体"/>
          <w:b/>
          <w:bCs/>
          <w:sz w:val="24"/>
          <w:szCs w:val="24"/>
        </w:rPr>
      </w:pPr>
      <w:r>
        <w:rPr>
          <w:rFonts w:hint="eastAsia" w:hAnsi="宋体"/>
          <w:b/>
          <w:bCs/>
          <w:sz w:val="24"/>
          <w:szCs w:val="24"/>
        </w:rPr>
        <w:t>（三）质保要求</w:t>
      </w:r>
    </w:p>
    <w:p w14:paraId="2FEF9441">
      <w:pPr>
        <w:tabs>
          <w:tab w:val="left" w:pos="900"/>
        </w:tabs>
        <w:spacing w:line="360" w:lineRule="auto"/>
        <w:rPr>
          <w:rFonts w:hAnsi="宋体"/>
          <w:sz w:val="24"/>
          <w:szCs w:val="24"/>
        </w:rPr>
      </w:pPr>
      <w:r>
        <w:rPr>
          <w:rFonts w:hint="eastAsia" w:hAnsi="宋体"/>
          <w:sz w:val="24"/>
          <w:szCs w:val="24"/>
        </w:rPr>
        <w:t xml:space="preserve">    本项目质保5年。</w:t>
      </w:r>
    </w:p>
    <w:p w14:paraId="02E5BD2E">
      <w:pPr>
        <w:tabs>
          <w:tab w:val="left" w:pos="900"/>
        </w:tabs>
        <w:spacing w:line="360" w:lineRule="auto"/>
        <w:ind w:firstLine="602" w:firstLineChars="250"/>
        <w:rPr>
          <w:rFonts w:hAnsi="宋体"/>
          <w:b/>
          <w:bCs/>
          <w:sz w:val="24"/>
          <w:szCs w:val="24"/>
        </w:rPr>
      </w:pPr>
      <w:r>
        <w:rPr>
          <w:rFonts w:hint="eastAsia" w:hAnsi="宋体"/>
          <w:b/>
          <w:bCs/>
          <w:sz w:val="24"/>
          <w:szCs w:val="24"/>
        </w:rPr>
        <w:t>（四）报价要求</w:t>
      </w:r>
    </w:p>
    <w:p w14:paraId="6CC61F15">
      <w:pPr>
        <w:tabs>
          <w:tab w:val="left" w:pos="900"/>
        </w:tabs>
        <w:spacing w:line="360" w:lineRule="auto"/>
        <w:ind w:firstLine="480" w:firstLineChars="200"/>
        <w:rPr>
          <w:rFonts w:hAnsi="宋体"/>
          <w:sz w:val="24"/>
          <w:szCs w:val="24"/>
        </w:rPr>
      </w:pPr>
      <w:r>
        <w:rPr>
          <w:rFonts w:hint="eastAsia" w:hAnsi="宋体"/>
          <w:sz w:val="24"/>
          <w:szCs w:val="24"/>
        </w:rPr>
        <w:t>根据深化设计进行报价，包括投标总价和报价明细表。按照安全文明施工要求实施，并承担相应的质量、安全责任。中标人</w:t>
      </w:r>
      <w:r>
        <w:rPr>
          <w:rFonts w:hAnsi="宋体"/>
          <w:sz w:val="24"/>
          <w:szCs w:val="24"/>
        </w:rPr>
        <w:t>根据</w:t>
      </w:r>
      <w:r>
        <w:rPr>
          <w:rFonts w:hint="eastAsia" w:hAnsi="宋体"/>
          <w:sz w:val="24"/>
          <w:szCs w:val="24"/>
        </w:rPr>
        <w:t>文物迁移保护相关规定</w:t>
      </w:r>
      <w:r>
        <w:rPr>
          <w:rFonts w:hAnsi="宋体"/>
          <w:sz w:val="24"/>
          <w:szCs w:val="24"/>
        </w:rPr>
        <w:t>配备</w:t>
      </w:r>
      <w:r>
        <w:rPr>
          <w:rFonts w:hint="eastAsia" w:hAnsi="宋体"/>
          <w:sz w:val="24"/>
          <w:szCs w:val="24"/>
        </w:rPr>
        <w:t>劳动力</w:t>
      </w:r>
      <w:r>
        <w:rPr>
          <w:rFonts w:hAnsi="宋体"/>
          <w:sz w:val="24"/>
          <w:szCs w:val="24"/>
        </w:rPr>
        <w:t>，并</w:t>
      </w:r>
      <w:r>
        <w:rPr>
          <w:rFonts w:hint="eastAsia" w:hAnsi="宋体"/>
          <w:sz w:val="24"/>
          <w:szCs w:val="24"/>
        </w:rPr>
        <w:t>安排</w:t>
      </w:r>
      <w:r>
        <w:rPr>
          <w:rFonts w:hAnsi="宋体"/>
          <w:sz w:val="24"/>
          <w:szCs w:val="24"/>
        </w:rPr>
        <w:t>专人进行管理，</w:t>
      </w:r>
      <w:r>
        <w:rPr>
          <w:rFonts w:hint="eastAsia" w:hAnsi="宋体"/>
          <w:sz w:val="24"/>
          <w:szCs w:val="24"/>
        </w:rPr>
        <w:t>应做好满足文物迁移保护工作的安全防护措施、冬雨季防护措施</w:t>
      </w:r>
      <w:r>
        <w:rPr>
          <w:rFonts w:hAnsi="宋体"/>
          <w:sz w:val="24"/>
          <w:szCs w:val="24"/>
        </w:rPr>
        <w:t>，确保</w:t>
      </w:r>
      <w:r>
        <w:rPr>
          <w:rFonts w:hint="eastAsia" w:hAnsi="宋体"/>
          <w:sz w:val="24"/>
          <w:szCs w:val="24"/>
        </w:rPr>
        <w:t>实施</w:t>
      </w:r>
      <w:r>
        <w:rPr>
          <w:rFonts w:hAnsi="宋体"/>
          <w:sz w:val="24"/>
          <w:szCs w:val="24"/>
        </w:rPr>
        <w:t>过程中的人身安全</w:t>
      </w:r>
      <w:r>
        <w:rPr>
          <w:rFonts w:hint="eastAsia" w:hAnsi="宋体"/>
          <w:sz w:val="24"/>
          <w:szCs w:val="24"/>
        </w:rPr>
        <w:t>，并承担相应的安全责任</w:t>
      </w:r>
      <w:r>
        <w:rPr>
          <w:rFonts w:hAnsi="宋体"/>
          <w:sz w:val="24"/>
          <w:szCs w:val="24"/>
        </w:rPr>
        <w:t>。现场</w:t>
      </w:r>
      <w:r>
        <w:rPr>
          <w:rFonts w:hint="eastAsia" w:hAnsi="宋体"/>
          <w:sz w:val="24"/>
          <w:szCs w:val="24"/>
        </w:rPr>
        <w:t>文物</w:t>
      </w:r>
      <w:r>
        <w:rPr>
          <w:rFonts w:hAnsi="宋体"/>
          <w:sz w:val="24"/>
          <w:szCs w:val="24"/>
        </w:rPr>
        <w:t>安全保卫工作，由</w:t>
      </w:r>
      <w:r>
        <w:rPr>
          <w:rFonts w:hint="eastAsia" w:hAnsi="宋体"/>
          <w:sz w:val="24"/>
          <w:szCs w:val="24"/>
        </w:rPr>
        <w:t>中标人</w:t>
      </w:r>
      <w:r>
        <w:rPr>
          <w:rFonts w:hAnsi="宋体"/>
          <w:sz w:val="24"/>
          <w:szCs w:val="24"/>
        </w:rPr>
        <w:t>负责</w:t>
      </w:r>
      <w:r>
        <w:rPr>
          <w:rFonts w:hint="eastAsia" w:hAnsi="宋体"/>
          <w:sz w:val="24"/>
          <w:szCs w:val="24"/>
        </w:rPr>
        <w:t>，中标人承担安全保护责任。现场人员及设备的配置，满足考古工地安全保卫的需要。所有费用在报价中一并考虑。</w:t>
      </w:r>
    </w:p>
    <w:p w14:paraId="1FA51037">
      <w:pPr>
        <w:tabs>
          <w:tab w:val="left" w:pos="900"/>
        </w:tabs>
        <w:spacing w:line="360" w:lineRule="auto"/>
        <w:ind w:firstLine="480" w:firstLineChars="200"/>
        <w:rPr>
          <w:rFonts w:hAnsi="宋体"/>
          <w:sz w:val="24"/>
          <w:szCs w:val="24"/>
        </w:rPr>
      </w:pPr>
      <w:r>
        <w:rPr>
          <w:rFonts w:hint="eastAsia" w:hAnsi="宋体"/>
          <w:sz w:val="24"/>
          <w:szCs w:val="24"/>
        </w:rPr>
        <w:t>因非采购人原因造成工期延误的，采购人有权扣除不超过合同价款5%的工期延误罚金。</w:t>
      </w:r>
    </w:p>
    <w:p w14:paraId="2F1B5456">
      <w:pPr>
        <w:tabs>
          <w:tab w:val="left" w:pos="900"/>
        </w:tabs>
        <w:spacing w:line="360" w:lineRule="auto"/>
        <w:ind w:firstLine="480" w:firstLineChars="200"/>
        <w:rPr>
          <w:rFonts w:hAnsi="宋体"/>
          <w:sz w:val="24"/>
          <w:szCs w:val="24"/>
        </w:rPr>
      </w:pPr>
      <w:r>
        <w:rPr>
          <w:rFonts w:hint="eastAsia" w:hAnsi="宋体"/>
          <w:sz w:val="24"/>
          <w:szCs w:val="24"/>
        </w:rPr>
        <w:t>投标文件应包括：资格部分、技术部分（深化设计图纸、实施方案、服务团队等）商务部分（业绩、服务承诺等）。投标报价包括投标总价和报价明细表。</w:t>
      </w:r>
    </w:p>
    <w:p w14:paraId="0D9BC29E">
      <w:pPr>
        <w:tabs>
          <w:tab w:val="left" w:pos="900"/>
        </w:tabs>
        <w:spacing w:line="360" w:lineRule="auto"/>
        <w:ind w:firstLine="482" w:firstLineChars="200"/>
        <w:rPr>
          <w:b/>
          <w:bCs/>
          <w:sz w:val="24"/>
          <w:szCs w:val="24"/>
        </w:rPr>
      </w:pPr>
      <w:r>
        <w:rPr>
          <w:rFonts w:hint="eastAsia" w:hAnsi="宋体"/>
          <w:b/>
          <w:bCs/>
          <w:sz w:val="24"/>
          <w:szCs w:val="24"/>
        </w:rPr>
        <w:t>1.</w:t>
      </w:r>
      <w:r>
        <w:rPr>
          <w:rFonts w:hint="eastAsia"/>
          <w:b/>
          <w:bCs/>
          <w:sz w:val="24"/>
          <w:szCs w:val="24"/>
        </w:rPr>
        <w:t>投标总价</w:t>
      </w:r>
    </w:p>
    <w:tbl>
      <w:tblPr>
        <w:tblStyle w:val="9"/>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2"/>
        <w:gridCol w:w="4981"/>
      </w:tblGrid>
      <w:tr w14:paraId="714F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012" w:type="dxa"/>
            <w:vAlign w:val="center"/>
          </w:tcPr>
          <w:p w14:paraId="1A0C5546">
            <w:pPr>
              <w:spacing w:line="360" w:lineRule="auto"/>
              <w:jc w:val="center"/>
              <w:rPr>
                <w:rFonts w:ascii="宋体" w:hAnsi="宋体"/>
                <w:sz w:val="24"/>
                <w:szCs w:val="24"/>
              </w:rPr>
            </w:pPr>
            <w:r>
              <w:rPr>
                <w:rFonts w:hint="eastAsia"/>
                <w:sz w:val="24"/>
                <w:szCs w:val="24"/>
              </w:rPr>
              <w:t>投标总价</w:t>
            </w:r>
            <w:r>
              <w:rPr>
                <w:rFonts w:hint="eastAsia"/>
                <w:b/>
                <w:bCs/>
                <w:sz w:val="24"/>
                <w:szCs w:val="24"/>
              </w:rPr>
              <w:t>（包含文物迁移保护等、预留金30万元）</w:t>
            </w:r>
          </w:p>
        </w:tc>
        <w:tc>
          <w:tcPr>
            <w:tcW w:w="4981" w:type="dxa"/>
            <w:vAlign w:val="center"/>
          </w:tcPr>
          <w:p w14:paraId="1BD65428">
            <w:pPr>
              <w:spacing w:line="360" w:lineRule="auto"/>
              <w:ind w:firstLine="720" w:firstLineChars="300"/>
              <w:rPr>
                <w:sz w:val="24"/>
                <w:szCs w:val="24"/>
              </w:rPr>
            </w:pPr>
            <w:r>
              <w:rPr>
                <w:rFonts w:hint="eastAsia"/>
                <w:sz w:val="24"/>
                <w:szCs w:val="24"/>
                <w:u w:val="single"/>
              </w:rPr>
              <w:t xml:space="preserve">              </w:t>
            </w:r>
            <w:r>
              <w:rPr>
                <w:rFonts w:hint="eastAsia"/>
                <w:sz w:val="24"/>
                <w:szCs w:val="24"/>
              </w:rPr>
              <w:t xml:space="preserve"> 元</w:t>
            </w:r>
          </w:p>
          <w:p w14:paraId="175458B5">
            <w:pPr>
              <w:spacing w:line="360" w:lineRule="auto"/>
              <w:ind w:firstLine="480" w:firstLineChars="200"/>
              <w:rPr>
                <w:sz w:val="24"/>
                <w:szCs w:val="24"/>
              </w:rPr>
            </w:pPr>
            <w:r>
              <w:rPr>
                <w:rFonts w:hint="eastAsia"/>
                <w:sz w:val="24"/>
                <w:szCs w:val="24"/>
              </w:rPr>
              <w:t>（大写：</w:t>
            </w:r>
            <w:r>
              <w:rPr>
                <w:rFonts w:hint="eastAsia"/>
                <w:sz w:val="24"/>
                <w:szCs w:val="24"/>
                <w:u w:val="single"/>
              </w:rPr>
              <w:t xml:space="preserve">            </w:t>
            </w:r>
            <w:r>
              <w:rPr>
                <w:rFonts w:hint="eastAsia"/>
                <w:sz w:val="24"/>
                <w:szCs w:val="24"/>
              </w:rPr>
              <w:t xml:space="preserve"> 元）</w:t>
            </w:r>
          </w:p>
        </w:tc>
      </w:tr>
    </w:tbl>
    <w:p w14:paraId="067A874B">
      <w:pPr>
        <w:tabs>
          <w:tab w:val="left" w:pos="900"/>
        </w:tabs>
        <w:spacing w:line="360" w:lineRule="auto"/>
        <w:ind w:firstLine="482" w:firstLineChars="200"/>
        <w:rPr>
          <w:rFonts w:hAnsi="宋体"/>
          <w:sz w:val="24"/>
          <w:szCs w:val="24"/>
        </w:rPr>
      </w:pPr>
      <w:r>
        <w:rPr>
          <w:rFonts w:hint="eastAsia" w:hAnsi="宋体"/>
          <w:b/>
          <w:bCs/>
          <w:sz w:val="24"/>
          <w:szCs w:val="24"/>
        </w:rPr>
        <w:t>2.报价明细表自行列表填报。</w:t>
      </w:r>
    </w:p>
    <w:p w14:paraId="08A93723">
      <w:pPr>
        <w:tabs>
          <w:tab w:val="left" w:pos="900"/>
        </w:tabs>
        <w:spacing w:line="360" w:lineRule="auto"/>
        <w:ind w:firstLine="482" w:firstLineChars="200"/>
        <w:rPr>
          <w:rFonts w:hAnsi="宋体"/>
          <w:b/>
          <w:bCs/>
          <w:sz w:val="24"/>
          <w:szCs w:val="24"/>
        </w:rPr>
      </w:pPr>
    </w:p>
    <w:p w14:paraId="356A1A49">
      <w:pPr>
        <w:tabs>
          <w:tab w:val="left" w:pos="900"/>
        </w:tabs>
        <w:spacing w:line="360" w:lineRule="auto"/>
        <w:ind w:firstLine="482" w:firstLineChars="200"/>
        <w:rPr>
          <w:rFonts w:hAnsi="宋体"/>
          <w:b/>
          <w:bCs/>
          <w:sz w:val="24"/>
          <w:szCs w:val="24"/>
        </w:rPr>
      </w:pPr>
      <w:r>
        <w:rPr>
          <w:rFonts w:hint="eastAsia" w:hAnsi="宋体"/>
          <w:b/>
          <w:bCs/>
          <w:sz w:val="24"/>
          <w:szCs w:val="24"/>
        </w:rPr>
        <w:t>最高限价为</w:t>
      </w:r>
      <w:r>
        <w:rPr>
          <w:rFonts w:hint="eastAsia" w:hAnsi="宋体"/>
          <w:b/>
          <w:bCs/>
          <w:sz w:val="24"/>
          <w:szCs w:val="24"/>
          <w:u w:val="single"/>
        </w:rPr>
        <w:t xml:space="preserve">  </w:t>
      </w:r>
      <w:r>
        <w:rPr>
          <w:rFonts w:hAnsi="宋体"/>
          <w:b/>
          <w:bCs/>
          <w:sz w:val="24"/>
          <w:szCs w:val="24"/>
          <w:u w:val="single"/>
        </w:rPr>
        <w:t>645</w:t>
      </w:r>
      <w:r>
        <w:rPr>
          <w:rFonts w:hint="eastAsia" w:hAnsi="宋体"/>
          <w:b/>
          <w:bCs/>
          <w:sz w:val="24"/>
          <w:szCs w:val="24"/>
          <w:u w:val="single"/>
        </w:rPr>
        <w:t xml:space="preserve">  </w:t>
      </w:r>
      <w:r>
        <w:rPr>
          <w:rFonts w:hint="eastAsia" w:hAnsi="宋体"/>
          <w:b/>
          <w:bCs/>
          <w:sz w:val="24"/>
          <w:szCs w:val="24"/>
        </w:rPr>
        <w:t>万元，含金预留</w:t>
      </w:r>
      <w:r>
        <w:rPr>
          <w:rFonts w:hint="eastAsia" w:hAnsi="宋体"/>
          <w:b/>
          <w:bCs/>
          <w:sz w:val="24"/>
          <w:szCs w:val="24"/>
          <w:u w:val="single"/>
        </w:rPr>
        <w:t xml:space="preserve">  30  </w:t>
      </w:r>
      <w:r>
        <w:rPr>
          <w:rFonts w:hint="eastAsia" w:hAnsi="宋体"/>
          <w:b/>
          <w:bCs/>
          <w:sz w:val="24"/>
          <w:szCs w:val="24"/>
        </w:rPr>
        <w:t>万元（预留金为采购人所有，计入总报价中，用于超出原投标内容及工作量部分）；无论投标人是否填报，均视为含在总报价中。</w:t>
      </w:r>
    </w:p>
    <w:p w14:paraId="2653E623">
      <w:pPr>
        <w:tabs>
          <w:tab w:val="left" w:pos="900"/>
        </w:tabs>
        <w:spacing w:line="360" w:lineRule="auto"/>
        <w:ind w:firstLine="600" w:firstLineChars="250"/>
        <w:rPr>
          <w:rFonts w:hAnsi="宋体"/>
          <w:sz w:val="24"/>
          <w:szCs w:val="24"/>
        </w:rPr>
      </w:pPr>
      <w:r>
        <w:rPr>
          <w:rFonts w:hint="eastAsia" w:hAnsi="宋体"/>
          <w:sz w:val="24"/>
          <w:szCs w:val="24"/>
        </w:rPr>
        <w:t>在合同实施期间服务总价不因市场和政策性调价等因素的变化而变动。该固定服务费包括（但不限于）人工费、安全保卫费、材料费、设备工器具费、管理费、措施费（支护、加固、临时设施、人员住宿设施、安全防护、冬雨季防护、安全看护棚及安全警示标志以及相应的材料费等）、风险费、利润、规费、税金，环保、市容、城管、公安等部门规定缴纳的有关费用及协调费用，按照规定采取维护市容、防止污染等费用，为</w:t>
      </w:r>
      <w:r>
        <w:rPr>
          <w:rFonts w:hint="eastAsia" w:hAnsi="宋体"/>
          <w:b/>
          <w:bCs/>
          <w:sz w:val="24"/>
          <w:szCs w:val="24"/>
        </w:rPr>
        <w:t>全费用含税价格</w:t>
      </w:r>
      <w:r>
        <w:rPr>
          <w:rFonts w:hint="eastAsia" w:hAnsi="宋体"/>
          <w:sz w:val="24"/>
          <w:szCs w:val="24"/>
        </w:rPr>
        <w:t>。</w:t>
      </w:r>
    </w:p>
    <w:p w14:paraId="5C6E5C04">
      <w:pPr>
        <w:tabs>
          <w:tab w:val="left" w:pos="900"/>
        </w:tabs>
        <w:spacing w:line="360" w:lineRule="auto"/>
        <w:ind w:firstLine="600" w:firstLineChars="250"/>
        <w:rPr>
          <w:rFonts w:hAnsi="宋体"/>
          <w:b/>
          <w:bCs/>
          <w:sz w:val="24"/>
          <w:szCs w:val="24"/>
        </w:rPr>
      </w:pPr>
      <w:r>
        <w:rPr>
          <w:rFonts w:hint="eastAsia" w:hAnsi="宋体"/>
          <w:sz w:val="24"/>
          <w:szCs w:val="24"/>
        </w:rPr>
        <w:t>投标人自行踏勘现场，综合考虑场地内工作位置、结构、环境等条件，综合考虑满足文物</w:t>
      </w:r>
      <w:r>
        <w:rPr>
          <w:rFonts w:hint="eastAsia"/>
          <w:b/>
          <w:bCs/>
          <w:sz w:val="24"/>
        </w:rPr>
        <w:t>迁移保护服务工作的所有要求，</w:t>
      </w:r>
      <w:r>
        <w:rPr>
          <w:rFonts w:hint="eastAsia" w:hAnsi="宋体"/>
          <w:sz w:val="24"/>
          <w:szCs w:val="24"/>
        </w:rPr>
        <w:t>综合考虑各种因素进行报价。</w:t>
      </w:r>
      <w:r>
        <w:rPr>
          <w:rFonts w:hint="eastAsia" w:hAnsi="宋体"/>
          <w:b/>
          <w:bCs/>
          <w:sz w:val="24"/>
          <w:szCs w:val="24"/>
        </w:rPr>
        <w:t>投标报价(预留金除外）为固定价格，结算时不做调整。</w:t>
      </w:r>
    </w:p>
    <w:p w14:paraId="40F639EB">
      <w:pPr>
        <w:tabs>
          <w:tab w:val="left" w:pos="900"/>
        </w:tabs>
        <w:spacing w:line="360" w:lineRule="auto"/>
        <w:rPr>
          <w:rFonts w:hAnsi="宋体"/>
          <w:b/>
          <w:bCs/>
          <w:sz w:val="24"/>
          <w:szCs w:val="24"/>
        </w:rPr>
      </w:pPr>
      <w:bookmarkStart w:id="6" w:name="_GoBack"/>
      <w:bookmarkEnd w:id="6"/>
      <w:r>
        <w:rPr>
          <w:rFonts w:hint="eastAsia" w:hAnsi="宋体"/>
          <w:b/>
          <w:bCs/>
          <w:sz w:val="24"/>
          <w:szCs w:val="24"/>
          <w:lang w:val="en-US" w:eastAsia="zh-CN"/>
        </w:rPr>
        <w:t>四</w:t>
      </w:r>
      <w:r>
        <w:rPr>
          <w:rFonts w:hint="eastAsia" w:hAnsi="宋体"/>
          <w:b/>
          <w:bCs/>
          <w:sz w:val="24"/>
          <w:szCs w:val="24"/>
        </w:rPr>
        <w:t>、采购标的的验收标准</w:t>
      </w:r>
    </w:p>
    <w:p w14:paraId="08DC4609">
      <w:pPr>
        <w:tabs>
          <w:tab w:val="left" w:pos="900"/>
        </w:tabs>
        <w:spacing w:line="360" w:lineRule="auto"/>
        <w:ind w:firstLine="600" w:firstLineChars="250"/>
        <w:rPr>
          <w:rFonts w:hAnsi="宋体"/>
          <w:sz w:val="24"/>
          <w:szCs w:val="24"/>
        </w:rPr>
      </w:pPr>
      <w:r>
        <w:rPr>
          <w:rFonts w:hint="eastAsia" w:hAnsi="宋体"/>
          <w:sz w:val="24"/>
          <w:szCs w:val="24"/>
        </w:rPr>
        <w:t>严格按照国家规定及行业规范要求验收。</w:t>
      </w:r>
    </w:p>
    <w:bookmarkEnd w:id="1"/>
    <w:bookmarkEnd w:id="2"/>
    <w:bookmarkEnd w:id="3"/>
    <w:p w14:paraId="2402B6AB">
      <w:pPr>
        <w:tabs>
          <w:tab w:val="left" w:pos="900"/>
        </w:tabs>
        <w:spacing w:before="156" w:beforeLines="50" w:line="360" w:lineRule="auto"/>
        <w:jc w:val="center"/>
        <w:rPr>
          <w:sz w:val="24"/>
          <w:szCs w:val="24"/>
        </w:rPr>
      </w:pPr>
    </w:p>
    <w:p w14:paraId="7E6FF476">
      <w:pPr>
        <w:spacing w:line="360" w:lineRule="auto"/>
        <w:rPr>
          <w:sz w:val="24"/>
          <w:szCs w:val="24"/>
        </w:rPr>
      </w:pPr>
    </w:p>
    <w:sectPr>
      <w:footerReference r:id="rId3" w:type="default"/>
      <w:pgSz w:w="11906" w:h="16838"/>
      <w:pgMar w:top="1440" w:right="1179" w:bottom="1383" w:left="1525"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84E0">
    <w:pPr>
      <w:pStyle w:val="5"/>
      <w:jc w:val="center"/>
    </w:pPr>
    <w:r>
      <w:fldChar w:fldCharType="begin"/>
    </w:r>
    <w:r>
      <w:instrText xml:space="preserve">PAGE   \* MERGEFORMAT</w:instrText>
    </w:r>
    <w:r>
      <w:fldChar w:fldCharType="separate"/>
    </w:r>
    <w:r>
      <w:rPr>
        <w:lang w:val="zh-CN"/>
      </w:rPr>
      <w:t>1</w:t>
    </w:r>
    <w:r>
      <w:fldChar w:fldCharType="end"/>
    </w:r>
  </w:p>
  <w:p w14:paraId="03943EA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ED651"/>
    <w:multiLevelType w:val="singleLevel"/>
    <w:tmpl w:val="06BED651"/>
    <w:lvl w:ilvl="0" w:tentative="0">
      <w:start w:val="1"/>
      <w:numFmt w:val="chineseCounting"/>
      <w:suff w:val="nothing"/>
      <w:lvlText w:val="%1、"/>
      <w:lvlJc w:val="left"/>
      <w:rPr>
        <w:rFonts w:hint="eastAsia"/>
      </w:rPr>
    </w:lvl>
  </w:abstractNum>
  <w:abstractNum w:abstractNumId="1">
    <w:nsid w:val="57D19B51"/>
    <w:multiLevelType w:val="singleLevel"/>
    <w:tmpl w:val="57D19B5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3ODhhNTBlOTU4OWE1ZmYxNDUwNzE2ZTE2MjE3YWMifQ=="/>
  </w:docVars>
  <w:rsids>
    <w:rsidRoot w:val="00A161FC"/>
    <w:rsid w:val="00085BA8"/>
    <w:rsid w:val="00086706"/>
    <w:rsid w:val="000C2F39"/>
    <w:rsid w:val="00105428"/>
    <w:rsid w:val="00140AF0"/>
    <w:rsid w:val="001507CE"/>
    <w:rsid w:val="00157667"/>
    <w:rsid w:val="001609FC"/>
    <w:rsid w:val="00161090"/>
    <w:rsid w:val="0018461B"/>
    <w:rsid w:val="001A6063"/>
    <w:rsid w:val="001B712C"/>
    <w:rsid w:val="001C41C3"/>
    <w:rsid w:val="00212C98"/>
    <w:rsid w:val="00237253"/>
    <w:rsid w:val="00251A44"/>
    <w:rsid w:val="002B3A1B"/>
    <w:rsid w:val="002F3716"/>
    <w:rsid w:val="003113D4"/>
    <w:rsid w:val="00316BA5"/>
    <w:rsid w:val="00324938"/>
    <w:rsid w:val="00345D8D"/>
    <w:rsid w:val="0036352F"/>
    <w:rsid w:val="003649AF"/>
    <w:rsid w:val="00385C2C"/>
    <w:rsid w:val="003D6EE7"/>
    <w:rsid w:val="003E211E"/>
    <w:rsid w:val="003F5AC5"/>
    <w:rsid w:val="003F7463"/>
    <w:rsid w:val="00412D01"/>
    <w:rsid w:val="00425198"/>
    <w:rsid w:val="00453832"/>
    <w:rsid w:val="004951D7"/>
    <w:rsid w:val="004A43F0"/>
    <w:rsid w:val="004D21BC"/>
    <w:rsid w:val="004E4B14"/>
    <w:rsid w:val="004F547B"/>
    <w:rsid w:val="00501176"/>
    <w:rsid w:val="00501717"/>
    <w:rsid w:val="00510891"/>
    <w:rsid w:val="00523E4F"/>
    <w:rsid w:val="0053111A"/>
    <w:rsid w:val="0054561A"/>
    <w:rsid w:val="00562C62"/>
    <w:rsid w:val="005633CE"/>
    <w:rsid w:val="00563D30"/>
    <w:rsid w:val="00571ADE"/>
    <w:rsid w:val="00585FFF"/>
    <w:rsid w:val="005951EF"/>
    <w:rsid w:val="005C1D80"/>
    <w:rsid w:val="005F1571"/>
    <w:rsid w:val="005F39A2"/>
    <w:rsid w:val="005F401F"/>
    <w:rsid w:val="00611202"/>
    <w:rsid w:val="00621188"/>
    <w:rsid w:val="00640888"/>
    <w:rsid w:val="006C2918"/>
    <w:rsid w:val="006C4A8E"/>
    <w:rsid w:val="006C5AB6"/>
    <w:rsid w:val="006C782C"/>
    <w:rsid w:val="00702973"/>
    <w:rsid w:val="00702C61"/>
    <w:rsid w:val="007554BB"/>
    <w:rsid w:val="007839AE"/>
    <w:rsid w:val="007F454D"/>
    <w:rsid w:val="007F4BD9"/>
    <w:rsid w:val="00800E12"/>
    <w:rsid w:val="008153D5"/>
    <w:rsid w:val="00823CA9"/>
    <w:rsid w:val="008403A0"/>
    <w:rsid w:val="0084652E"/>
    <w:rsid w:val="0089273D"/>
    <w:rsid w:val="0089621F"/>
    <w:rsid w:val="008A5152"/>
    <w:rsid w:val="008C0D48"/>
    <w:rsid w:val="00916633"/>
    <w:rsid w:val="00920EF4"/>
    <w:rsid w:val="00925E61"/>
    <w:rsid w:val="0099177F"/>
    <w:rsid w:val="009953DC"/>
    <w:rsid w:val="00995789"/>
    <w:rsid w:val="009F6CAB"/>
    <w:rsid w:val="009F7A2C"/>
    <w:rsid w:val="00A047F0"/>
    <w:rsid w:val="00A161FC"/>
    <w:rsid w:val="00A25B7E"/>
    <w:rsid w:val="00A765E9"/>
    <w:rsid w:val="00AB2174"/>
    <w:rsid w:val="00AC005D"/>
    <w:rsid w:val="00AC4DE9"/>
    <w:rsid w:val="00AF7468"/>
    <w:rsid w:val="00B10B62"/>
    <w:rsid w:val="00B4481B"/>
    <w:rsid w:val="00B72BD6"/>
    <w:rsid w:val="00B91989"/>
    <w:rsid w:val="00B951AC"/>
    <w:rsid w:val="00BC3D86"/>
    <w:rsid w:val="00BC4A56"/>
    <w:rsid w:val="00BD2740"/>
    <w:rsid w:val="00BE5444"/>
    <w:rsid w:val="00BF46EE"/>
    <w:rsid w:val="00C15054"/>
    <w:rsid w:val="00C23CB5"/>
    <w:rsid w:val="00C63818"/>
    <w:rsid w:val="00C65F3B"/>
    <w:rsid w:val="00C76E87"/>
    <w:rsid w:val="00C82348"/>
    <w:rsid w:val="00CD153F"/>
    <w:rsid w:val="00CD2230"/>
    <w:rsid w:val="00CD73F2"/>
    <w:rsid w:val="00D1212F"/>
    <w:rsid w:val="00D244B4"/>
    <w:rsid w:val="00D256C3"/>
    <w:rsid w:val="00D42C28"/>
    <w:rsid w:val="00DC1928"/>
    <w:rsid w:val="00DF5062"/>
    <w:rsid w:val="00E0581E"/>
    <w:rsid w:val="00E1130A"/>
    <w:rsid w:val="00E4264C"/>
    <w:rsid w:val="00E721CE"/>
    <w:rsid w:val="00E73399"/>
    <w:rsid w:val="00E7573D"/>
    <w:rsid w:val="00E821CF"/>
    <w:rsid w:val="00E931F1"/>
    <w:rsid w:val="00ED4DC2"/>
    <w:rsid w:val="00F7431A"/>
    <w:rsid w:val="00F9789E"/>
    <w:rsid w:val="00FB00E1"/>
    <w:rsid w:val="00FC1111"/>
    <w:rsid w:val="00FC3BB8"/>
    <w:rsid w:val="00FE1B41"/>
    <w:rsid w:val="00FE380B"/>
    <w:rsid w:val="00FF21F2"/>
    <w:rsid w:val="00FF47AD"/>
    <w:rsid w:val="01E16F50"/>
    <w:rsid w:val="025F5FB3"/>
    <w:rsid w:val="02624152"/>
    <w:rsid w:val="03600692"/>
    <w:rsid w:val="037D4A7F"/>
    <w:rsid w:val="03820F4E"/>
    <w:rsid w:val="03C85F11"/>
    <w:rsid w:val="069A3818"/>
    <w:rsid w:val="074E30D0"/>
    <w:rsid w:val="085C6C20"/>
    <w:rsid w:val="08FC320D"/>
    <w:rsid w:val="0D7A67F4"/>
    <w:rsid w:val="0E862A05"/>
    <w:rsid w:val="0F8469CB"/>
    <w:rsid w:val="10014793"/>
    <w:rsid w:val="11F50B3F"/>
    <w:rsid w:val="128A572B"/>
    <w:rsid w:val="12A81DD2"/>
    <w:rsid w:val="17C7004B"/>
    <w:rsid w:val="1A07140F"/>
    <w:rsid w:val="1A954896"/>
    <w:rsid w:val="1F30703E"/>
    <w:rsid w:val="20915434"/>
    <w:rsid w:val="2268469D"/>
    <w:rsid w:val="23D6056F"/>
    <w:rsid w:val="2410775D"/>
    <w:rsid w:val="256D21E6"/>
    <w:rsid w:val="25C805EC"/>
    <w:rsid w:val="272337FF"/>
    <w:rsid w:val="28367A2F"/>
    <w:rsid w:val="2AA726C0"/>
    <w:rsid w:val="2B8D037C"/>
    <w:rsid w:val="2C225949"/>
    <w:rsid w:val="2C275529"/>
    <w:rsid w:val="2C6B4AC3"/>
    <w:rsid w:val="2CCF4852"/>
    <w:rsid w:val="2DC5103E"/>
    <w:rsid w:val="2E054B49"/>
    <w:rsid w:val="3021735A"/>
    <w:rsid w:val="30F2282D"/>
    <w:rsid w:val="31257BB3"/>
    <w:rsid w:val="31846DBA"/>
    <w:rsid w:val="35BC534C"/>
    <w:rsid w:val="380B6117"/>
    <w:rsid w:val="39A700C1"/>
    <w:rsid w:val="3B0312F0"/>
    <w:rsid w:val="3B6F3B9D"/>
    <w:rsid w:val="3BB10D7F"/>
    <w:rsid w:val="3BC34C36"/>
    <w:rsid w:val="3C757CC8"/>
    <w:rsid w:val="3CFE624A"/>
    <w:rsid w:val="3F5C54AA"/>
    <w:rsid w:val="401753E8"/>
    <w:rsid w:val="40E116DD"/>
    <w:rsid w:val="41A24AFA"/>
    <w:rsid w:val="427D5E63"/>
    <w:rsid w:val="42810A13"/>
    <w:rsid w:val="42CF268E"/>
    <w:rsid w:val="44E56D05"/>
    <w:rsid w:val="44F445AE"/>
    <w:rsid w:val="45FE7615"/>
    <w:rsid w:val="463A0A56"/>
    <w:rsid w:val="466452EE"/>
    <w:rsid w:val="46777F84"/>
    <w:rsid w:val="49B410A5"/>
    <w:rsid w:val="49B41401"/>
    <w:rsid w:val="4B5D7265"/>
    <w:rsid w:val="4FDC066D"/>
    <w:rsid w:val="500876B4"/>
    <w:rsid w:val="5209326F"/>
    <w:rsid w:val="52420949"/>
    <w:rsid w:val="53033861"/>
    <w:rsid w:val="56835CE6"/>
    <w:rsid w:val="56EF6ED8"/>
    <w:rsid w:val="57460AC2"/>
    <w:rsid w:val="576B1DBC"/>
    <w:rsid w:val="581C38FC"/>
    <w:rsid w:val="59E66788"/>
    <w:rsid w:val="59EC24A4"/>
    <w:rsid w:val="5A2A55E4"/>
    <w:rsid w:val="5A953B60"/>
    <w:rsid w:val="5B25390D"/>
    <w:rsid w:val="5B991448"/>
    <w:rsid w:val="5F830B05"/>
    <w:rsid w:val="6085714B"/>
    <w:rsid w:val="60900008"/>
    <w:rsid w:val="64395C36"/>
    <w:rsid w:val="64B1461A"/>
    <w:rsid w:val="65FA68C5"/>
    <w:rsid w:val="66FA3298"/>
    <w:rsid w:val="67B91ED9"/>
    <w:rsid w:val="68A0229F"/>
    <w:rsid w:val="690D1604"/>
    <w:rsid w:val="692B3EF3"/>
    <w:rsid w:val="698E5172"/>
    <w:rsid w:val="69F672E3"/>
    <w:rsid w:val="6CEF7A8A"/>
    <w:rsid w:val="6E0439E8"/>
    <w:rsid w:val="71F31444"/>
    <w:rsid w:val="74C23A26"/>
    <w:rsid w:val="75717D36"/>
    <w:rsid w:val="761B09FE"/>
    <w:rsid w:val="79614FA7"/>
    <w:rsid w:val="7A74539C"/>
    <w:rsid w:val="7B903B92"/>
    <w:rsid w:val="7CD406E7"/>
    <w:rsid w:val="7F80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324"/>
    </w:pPr>
    <w:rPr>
      <w:rFonts w:ascii="宋体" w:hAnsi="宋体"/>
      <w:sz w:val="28"/>
      <w:szCs w:val="28"/>
    </w:rPr>
  </w:style>
  <w:style w:type="paragraph" w:styleId="3">
    <w:name w:val="Plain Text"/>
    <w:basedOn w:val="1"/>
    <w:link w:val="12"/>
    <w:qFormat/>
    <w:uiPriority w:val="0"/>
    <w:rPr>
      <w:rFonts w:ascii="宋体" w:hAnsi="Courier New" w:cstheme="minorBidi"/>
      <w:szCs w:val="22"/>
    </w:rPr>
  </w:style>
  <w:style w:type="paragraph" w:styleId="4">
    <w:name w:val="Balloon Text"/>
    <w:basedOn w:val="1"/>
    <w:link w:val="20"/>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3"/>
    <w:qFormat/>
    <w:uiPriority w:val="0"/>
    <w:rPr>
      <w:rFonts w:ascii="宋体" w:hAnsi="Courier New" w:eastAsia="宋体"/>
    </w:rPr>
  </w:style>
  <w:style w:type="character" w:customStyle="1" w:styleId="13">
    <w:name w:val="页脚 字符"/>
    <w:link w:val="5"/>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4"/>
    <w:semiHidden/>
    <w:qFormat/>
    <w:uiPriority w:val="99"/>
    <w:rPr>
      <w:rFonts w:ascii="Times New Roman" w:hAnsi="Times New Roman"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DE91-AAB8-4B5E-BE50-5B49D96E28DB}">
  <ds:schemaRefs/>
</ds:datastoreItem>
</file>

<file path=docProps/app.xml><?xml version="1.0" encoding="utf-8"?>
<Properties xmlns="http://schemas.openxmlformats.org/officeDocument/2006/extended-properties" xmlns:vt="http://schemas.openxmlformats.org/officeDocument/2006/docPropsVTypes">
  <Template>Normal</Template>
  <Pages>4</Pages>
  <Words>2358</Words>
  <Characters>2403</Characters>
  <Lines>18</Lines>
  <Paragraphs>5</Paragraphs>
  <TotalTime>95</TotalTime>
  <ScaleCrop>false</ScaleCrop>
  <LinksUpToDate>false</LinksUpToDate>
  <CharactersWithSpaces>2490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2025-02-26T07:01:00Z</dcterms:created>
  <dc:creator>User</dc:creator>
  <cp:lastModifiedBy>lenovo</cp:lastModifiedBy>
  <cp:lastPrinted>2024-11-27T06:48:00Z</cp:lastPrinted>
  <dcterms:modified xsi:type="dcterms:W3CDTF">2025-12-08T09:49:12Z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9469E20FE29B44B7A3AB3EE38EF6C711_13</vt:lpwstr>
  </property>
  <property fmtid="{D5CDD505-2E9C-101B-9397-08002B2CF9AE}" pid="4" name="KSOTemplateDocerSaveRecord">
    <vt:lpwstr>eyJoZGlkIjoiNjU2ZWU2MDE1ODg5M2VmMTdjMTBjNDczOWVkYWVlNzQifQ==</vt:lpwstr>
  </property>
</Properties>
</file>