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4管硼扩散炉采购需求</w:t>
      </w:r>
      <w:bookmarkEnd w:id="0"/>
    </w:p>
    <w:p w14:paraId="77C2D7A7">
      <w:pPr>
        <w:tabs>
          <w:tab w:val="left" w:pos="900"/>
        </w:tabs>
        <w:adjustRightInd w:val="0"/>
        <w:snapToGrid w:val="0"/>
        <w:spacing w:line="360" w:lineRule="auto"/>
        <w:ind w:firstLine="422" w:firstLineChars="200"/>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4C517D9F">
      <w:pPr>
        <w:tabs>
          <w:tab w:val="left" w:pos="900"/>
        </w:tabs>
        <w:adjustRightInd w:val="0"/>
        <w:snapToGrid w:val="0"/>
        <w:spacing w:line="360" w:lineRule="auto"/>
        <w:ind w:firstLine="440" w:firstLineChars="200"/>
        <w:rPr>
          <w:rFonts w:ascii="楷体" w:hAnsi="楷体" w:eastAsia="楷体"/>
          <w:color w:val="000000" w:themeColor="text1"/>
          <w:sz w:val="22"/>
          <w:szCs w:val="22"/>
          <w14:textFill>
            <w14:solidFill>
              <w14:schemeClr w14:val="tx1"/>
            </w14:solidFill>
          </w14:textFill>
        </w:rPr>
      </w:pPr>
      <w:r>
        <w:rPr>
          <w:rFonts w:ascii="楷体" w:hAnsi="楷体" w:eastAsia="楷体"/>
          <w:color w:val="000000" w:themeColor="text1"/>
          <w:sz w:val="22"/>
          <w:szCs w:val="22"/>
          <w14:textFill>
            <w14:solidFill>
              <w14:schemeClr w14:val="tx1"/>
            </w14:solidFill>
          </w14:textFill>
        </w:rPr>
        <w:t>本项目采购</w:t>
      </w:r>
      <w:r>
        <w:rPr>
          <w:rFonts w:hint="eastAsia" w:ascii="楷体" w:hAnsi="楷体" w:eastAsia="楷体"/>
          <w:color w:val="000000" w:themeColor="text1"/>
          <w:sz w:val="22"/>
          <w:szCs w:val="22"/>
          <w14:textFill>
            <w14:solidFill>
              <w14:schemeClr w14:val="tx1"/>
            </w14:solidFill>
          </w14:textFill>
        </w:rPr>
        <w:t>4管硼扩散炉及其外围设施</w:t>
      </w:r>
      <w:r>
        <w:rPr>
          <w:rFonts w:ascii="楷体" w:hAnsi="楷体" w:eastAsia="楷体"/>
          <w:color w:val="000000" w:themeColor="text1"/>
          <w:sz w:val="22"/>
          <w:szCs w:val="22"/>
          <w14:textFill>
            <w14:solidFill>
              <w14:schemeClr w14:val="tx1"/>
            </w14:solidFill>
          </w14:textFill>
        </w:rPr>
        <w:t>1套，主要用于通过高温热扩散工艺将硼</w:t>
      </w:r>
      <w:r>
        <w:rPr>
          <w:rFonts w:hint="eastAsia" w:ascii="楷体" w:hAnsi="楷体" w:eastAsia="楷体"/>
          <w:color w:val="000000" w:themeColor="text1"/>
          <w:sz w:val="22"/>
          <w:szCs w:val="22"/>
          <w14:textFill>
            <w14:solidFill>
              <w14:schemeClr w14:val="tx1"/>
            </w14:solidFill>
          </w14:textFill>
        </w:rPr>
        <w:t>、磷</w:t>
      </w:r>
      <w:r>
        <w:rPr>
          <w:rFonts w:ascii="楷体" w:hAnsi="楷体" w:eastAsia="楷体"/>
          <w:color w:val="000000" w:themeColor="text1"/>
          <w:sz w:val="22"/>
          <w:szCs w:val="22"/>
          <w14:textFill>
            <w14:solidFill>
              <w14:schemeClr w14:val="tx1"/>
            </w14:solidFill>
          </w14:textFill>
        </w:rPr>
        <w:t xml:space="preserve">原子掺入硅基材料，形成高均匀、深结深的 p </w:t>
      </w:r>
      <w:r>
        <w:rPr>
          <w:rFonts w:hint="eastAsia" w:ascii="楷体" w:hAnsi="楷体" w:eastAsia="楷体"/>
          <w:color w:val="000000" w:themeColor="text1"/>
          <w:sz w:val="22"/>
          <w:szCs w:val="22"/>
          <w14:textFill>
            <w14:solidFill>
              <w14:schemeClr w14:val="tx1"/>
            </w14:solidFill>
          </w14:textFill>
        </w:rPr>
        <w:t>/n</w:t>
      </w:r>
      <w:r>
        <w:rPr>
          <w:rFonts w:ascii="楷体" w:hAnsi="楷体" w:eastAsia="楷体"/>
          <w:color w:val="000000" w:themeColor="text1"/>
          <w:sz w:val="22"/>
          <w:szCs w:val="22"/>
          <w14:textFill>
            <w14:solidFill>
              <w14:schemeClr w14:val="tx1"/>
            </w14:solidFill>
          </w14:textFill>
        </w:rPr>
        <w:t>型半导体区域，</w:t>
      </w:r>
      <w:r>
        <w:rPr>
          <w:rFonts w:hint="eastAsia" w:ascii="楷体" w:hAnsi="楷体" w:eastAsia="楷体"/>
          <w:color w:val="000000" w:themeColor="text1"/>
          <w:sz w:val="22"/>
          <w:szCs w:val="22"/>
          <w14:textFill>
            <w14:solidFill>
              <w14:schemeClr w14:val="tx1"/>
            </w14:solidFill>
          </w14:textFill>
        </w:rPr>
        <w:t>并具有氧化、退火功能；</w:t>
      </w:r>
      <w:r>
        <w:rPr>
          <w:rFonts w:ascii="楷体" w:hAnsi="楷体" w:eastAsia="楷体"/>
          <w:color w:val="000000" w:themeColor="text1"/>
          <w:sz w:val="22"/>
          <w:szCs w:val="22"/>
          <w14:textFill>
            <w14:solidFill>
              <w14:schemeClr w14:val="tx1"/>
            </w14:solidFill>
          </w14:textFill>
        </w:rPr>
        <w:t>要求具有精确结深控制、高均匀性掺杂、低表面缺陷、高工艺重复性、本质安全</w:t>
      </w:r>
      <w:r>
        <w:rPr>
          <w:rFonts w:hint="eastAsia" w:ascii="楷体" w:hAnsi="楷体" w:eastAsia="楷体"/>
          <w:color w:val="000000" w:themeColor="text1"/>
          <w:sz w:val="22"/>
          <w:szCs w:val="22"/>
          <w14:textFill>
            <w14:solidFill>
              <w14:schemeClr w14:val="tx1"/>
            </w14:solidFill>
          </w14:textFill>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2BDC972B">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5C25D9">
      <w:pPr>
        <w:pStyle w:val="8"/>
        <w:widowControl/>
        <w:ind w:firstLine="420" w:firstLineChars="200"/>
        <w:rPr>
          <w:kern w:val="2"/>
          <w:sz w:val="21"/>
          <w:szCs w:val="21"/>
        </w:rPr>
      </w:pPr>
      <w:r>
        <w:rPr>
          <w:rFonts w:hint="eastAsia"/>
          <w:kern w:val="2"/>
          <w:sz w:val="21"/>
          <w:szCs w:val="21"/>
        </w:rPr>
        <w:t>2. 采购项目中所含的投标产品（含所有主机、附属设备、备品备件、专用工具及消耗品）的设计、制造、装配、检验、包装和运输，必须符合中华人民共和国现行有效的国家标准（GB）及相关的机械、电子行业标准。若设备同时适用多项标准，应按最高或最严格的标准执行。</w:t>
      </w:r>
    </w:p>
    <w:p w14:paraId="21E4FD26">
      <w:pPr>
        <w:pStyle w:val="8"/>
        <w:widowControl/>
        <w:ind w:firstLine="420" w:firstLineChars="200"/>
        <w:rPr>
          <w:kern w:val="2"/>
          <w:sz w:val="21"/>
          <w:szCs w:val="21"/>
        </w:rPr>
      </w:pPr>
      <w:r>
        <w:rPr>
          <w:rFonts w:hint="eastAsia"/>
          <w:kern w:val="2"/>
          <w:sz w:val="21"/>
          <w:szCs w:val="21"/>
        </w:rPr>
        <w:t>3. 电气及安全防护标准，设备的所有电气零部件及控制柜设计必须符合《机械电气安全 机械电气设备 第1部分：通用技术条件》（GB/T 5226.1）及相关的低压电器国标。所有线路需具备清晰的国标线号标识。设备的机械运动部件防护、急停控制逻辑必须符合相关的国家安全生产标准；涉及有毒有害气体及腐蚀性液体的零部件，其密封及联锁防护需满足国家相关危化品设备安全规范。</w:t>
      </w:r>
    </w:p>
    <w:p w14:paraId="6F88D5AE">
      <w:pPr>
        <w:pStyle w:val="8"/>
        <w:widowControl/>
        <w:ind w:firstLine="420" w:firstLineChars="200"/>
        <w:rPr>
          <w:kern w:val="2"/>
          <w:sz w:val="21"/>
          <w:szCs w:val="21"/>
        </w:rPr>
      </w:pPr>
      <w:r>
        <w:rPr>
          <w:rFonts w:hint="eastAsia"/>
          <w:kern w:val="2"/>
          <w:sz w:val="21"/>
          <w:szCs w:val="21"/>
        </w:rPr>
        <w:t>4. 材料与计量标准，设备关键零部件所使用的材质（如 316L 不锈钢、高纯石英、PTFE/PFA 特氟龙、各类氟橡胶 O 型圈等）必须提供相应的材质证明（MTC）或符合国家/国际相应的材料等级标准，严禁使用非标回料或伪劣材质。设备的所有仪器仪表、图纸、操作手册及软件界面显示，必须采用国际单位制（SI）及中国国家法定计量单位。</w:t>
      </w:r>
    </w:p>
    <w:p w14:paraId="3CE3DB0B">
      <w:pPr>
        <w:pStyle w:val="8"/>
        <w:widowControl/>
        <w:ind w:firstLine="420" w:firstLineChars="200"/>
        <w:rPr>
          <w:kern w:val="2"/>
          <w:sz w:val="21"/>
          <w:szCs w:val="21"/>
        </w:rPr>
      </w:pPr>
      <w:r>
        <w:rPr>
          <w:rFonts w:hint="eastAsia"/>
          <w:kern w:val="2"/>
          <w:sz w:val="21"/>
          <w:szCs w:val="21"/>
        </w:rPr>
        <w:t>5. 认证与检验标志设备中涉及强制性产品认证目录内的通用零部件（如电机、线缆、开关、泵阀等），必须具有 CCC（中国强制性产品认证）标志或同等效力的国际安全认证（如 CE、UL 认证）。设备的铭牌、安全警示标志、管路流向及危险气体标识，须符合国家相关工业标识标准规范，且必须配有清晰的中文对照说明。</w:t>
      </w:r>
    </w:p>
    <w:p w14:paraId="787E596E">
      <w:pPr>
        <w:tabs>
          <w:tab w:val="left" w:pos="900"/>
        </w:tabs>
        <w:adjustRightInd w:val="0"/>
        <w:snapToGrid w:val="0"/>
        <w:spacing w:line="360" w:lineRule="auto"/>
        <w:ind w:firstLine="420" w:firstLineChars="200"/>
        <w:rPr>
          <w:szCs w:val="21"/>
        </w:rPr>
      </w:pP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4管硼扩散炉</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一套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210万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贰佰壹拾万元整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180</w:t>
      </w:r>
      <w:r>
        <w:rPr>
          <w:rFonts w:hAnsi="宋体"/>
          <w:szCs w:val="21"/>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西安交通大学创新港校区2号巨构1046-1049区域</w:t>
      </w:r>
      <w:r>
        <w:rPr>
          <w:rFonts w:hAnsi="宋体"/>
          <w:szCs w:val="21"/>
          <w:u w:val="single"/>
        </w:rPr>
        <w:t xml:space="preserve">                                                          </w:t>
      </w:r>
    </w:p>
    <w:p w14:paraId="5FA361AF">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szCs w:val="21"/>
          <w:u w:val="single"/>
        </w:rPr>
        <w:t>验收合格</w:t>
      </w:r>
      <w:r>
        <w:rPr>
          <w:szCs w:val="21"/>
          <w:u w:val="single"/>
        </w:rPr>
        <w:t>后支付全款</w:t>
      </w:r>
      <w:r>
        <w:rPr>
          <w:rFonts w:hint="eastAsia" w:hAnsi="宋体"/>
          <w:szCs w:val="21"/>
        </w:rPr>
        <w:t>。</w:t>
      </w:r>
    </w:p>
    <w:p w14:paraId="0C18A9E2">
      <w:pPr>
        <w:tabs>
          <w:tab w:val="left" w:pos="900"/>
        </w:tabs>
        <w:adjustRightInd w:val="0"/>
        <w:snapToGrid w:val="0"/>
        <w:spacing w:line="360" w:lineRule="auto"/>
        <w:ind w:firstLine="420" w:firstLineChars="200"/>
        <w:rPr>
          <w:rFonts w:hAnsi="宋体"/>
          <w:szCs w:val="21"/>
        </w:rPr>
      </w:pP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337FB2B9">
      <w:pPr>
        <w:tabs>
          <w:tab w:val="left" w:pos="900"/>
        </w:tabs>
        <w:adjustRightInd w:val="0"/>
        <w:snapToGrid w:val="0"/>
        <w:spacing w:line="360" w:lineRule="auto"/>
        <w:ind w:firstLine="422" w:firstLineChars="200"/>
        <w:rPr>
          <w:b/>
          <w:szCs w:val="21"/>
        </w:rPr>
      </w:pPr>
      <w:r>
        <w:rPr>
          <w:rFonts w:hint="eastAsia"/>
          <w:b/>
          <w:szCs w:val="21"/>
        </w:rPr>
        <w:t>注：“*”项为重点关注指标，不作废标项处理；“</w:t>
      </w:r>
      <w:r>
        <w:rPr>
          <w:b/>
          <w:szCs w:val="21"/>
        </w:rPr>
        <w:t>▲</w:t>
      </w:r>
      <w:r>
        <w:rPr>
          <w:rFonts w:hint="eastAsia"/>
          <w:b/>
          <w:szCs w:val="21"/>
        </w:rPr>
        <w:t>”项为关键指标，不作废标项处理</w:t>
      </w:r>
    </w:p>
    <w:p w14:paraId="559ACB44">
      <w:pPr>
        <w:tabs>
          <w:tab w:val="left" w:pos="900"/>
        </w:tabs>
        <w:adjustRightInd w:val="0"/>
        <w:snapToGrid w:val="0"/>
        <w:spacing w:line="360" w:lineRule="auto"/>
        <w:ind w:firstLine="422" w:firstLineChars="200"/>
        <w:rPr>
          <w:b/>
          <w:szCs w:val="21"/>
        </w:rPr>
      </w:pPr>
    </w:p>
    <w:p w14:paraId="522ED945">
      <w:pPr>
        <w:numPr>
          <w:ilvl w:val="0"/>
          <w:numId w:val="1"/>
        </w:numPr>
        <w:tabs>
          <w:tab w:val="left" w:pos="900"/>
        </w:tabs>
        <w:adjustRightInd w:val="0"/>
        <w:snapToGrid w:val="0"/>
        <w:spacing w:line="360" w:lineRule="auto"/>
        <w:rPr>
          <w:bCs/>
          <w:color w:val="000000"/>
          <w:szCs w:val="21"/>
        </w:rPr>
      </w:pPr>
      <w:r>
        <w:rPr>
          <w:rFonts w:hint="eastAsia"/>
          <w:b/>
          <w:color w:val="000000"/>
          <w:szCs w:val="21"/>
        </w:rPr>
        <w:t>主要配置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5"/>
        <w:gridCol w:w="4535"/>
      </w:tblGrid>
      <w:tr w14:paraId="4154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00DCBA01">
            <w:pPr>
              <w:tabs>
                <w:tab w:val="left" w:pos="900"/>
              </w:tabs>
              <w:adjustRightInd w:val="0"/>
              <w:snapToGrid w:val="0"/>
              <w:spacing w:line="360" w:lineRule="auto"/>
              <w:jc w:val="center"/>
              <w:rPr>
                <w:rFonts w:hAnsi="宋体"/>
                <w:b/>
                <w:sz w:val="18"/>
                <w:szCs w:val="18"/>
              </w:rPr>
            </w:pPr>
            <w:r>
              <w:rPr>
                <w:rFonts w:hint="eastAsia" w:hAnsi="宋体"/>
                <w:b/>
                <w:sz w:val="18"/>
                <w:szCs w:val="18"/>
              </w:rPr>
              <w:t>名称</w:t>
            </w:r>
          </w:p>
        </w:tc>
        <w:tc>
          <w:tcPr>
            <w:tcW w:w="4535" w:type="dxa"/>
          </w:tcPr>
          <w:p w14:paraId="2ED876DB">
            <w:pPr>
              <w:tabs>
                <w:tab w:val="left" w:pos="900"/>
              </w:tabs>
              <w:adjustRightInd w:val="0"/>
              <w:snapToGrid w:val="0"/>
              <w:spacing w:line="360" w:lineRule="auto"/>
              <w:jc w:val="center"/>
              <w:rPr>
                <w:rFonts w:hAnsi="宋体"/>
                <w:b/>
                <w:sz w:val="18"/>
                <w:szCs w:val="18"/>
              </w:rPr>
            </w:pPr>
            <w:r>
              <w:rPr>
                <w:rFonts w:hint="eastAsia"/>
                <w:b/>
                <w:bCs/>
                <w:color w:val="000000"/>
                <w:kern w:val="0"/>
                <w:sz w:val="18"/>
                <w:szCs w:val="18"/>
              </w:rPr>
              <w:t>主要结构及组成</w:t>
            </w:r>
          </w:p>
        </w:tc>
      </w:tr>
      <w:tr w14:paraId="23E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6036CD1C">
            <w:pPr>
              <w:tabs>
                <w:tab w:val="left" w:pos="900"/>
              </w:tabs>
              <w:adjustRightInd w:val="0"/>
              <w:snapToGrid w:val="0"/>
              <w:spacing w:line="360" w:lineRule="auto"/>
              <w:jc w:val="center"/>
              <w:rPr>
                <w:rFonts w:ascii="宋体" w:hAnsi="宋体" w:cs="宋体"/>
                <w:b/>
                <w:bCs/>
                <w:sz w:val="18"/>
                <w:szCs w:val="18"/>
              </w:rPr>
            </w:pPr>
          </w:p>
          <w:p w14:paraId="316798B8">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主机机架系统</w:t>
            </w:r>
          </w:p>
        </w:tc>
        <w:tc>
          <w:tcPr>
            <w:tcW w:w="4535" w:type="dxa"/>
          </w:tcPr>
          <w:p w14:paraId="6E5A93BF">
            <w:pPr>
              <w:tabs>
                <w:tab w:val="left" w:pos="900"/>
              </w:tabs>
              <w:adjustRightInd w:val="0"/>
              <w:snapToGrid w:val="0"/>
              <w:spacing w:line="360" w:lineRule="auto"/>
              <w:rPr>
                <w:rFonts w:hAnsi="宋体"/>
                <w:sz w:val="18"/>
                <w:szCs w:val="18"/>
              </w:rPr>
            </w:pPr>
            <w:r>
              <w:rPr>
                <w:rFonts w:hint="eastAsia" w:ascii="宋体" w:hAnsi="宋体" w:cs="宋体"/>
                <w:sz w:val="18"/>
                <w:szCs w:val="18"/>
              </w:rPr>
              <w:t>机架设置排风散，</w:t>
            </w:r>
            <w:r>
              <w:rPr>
                <w:rFonts w:ascii="宋体" w:hAnsi="宋体" w:cs="宋体"/>
                <w:sz w:val="18"/>
                <w:szCs w:val="18"/>
              </w:rPr>
              <w:t>顶部排风接口。包含但不少于4套独立运行的悬臂桨软着陆推舟机构，采用高精度伺服</w:t>
            </w:r>
            <w:r>
              <w:rPr>
                <w:rFonts w:hint="eastAsia" w:ascii="宋体" w:hAnsi="宋体" w:cs="宋体"/>
                <w:sz w:val="18"/>
                <w:szCs w:val="18"/>
              </w:rPr>
              <w:t>电缸机推舟模组</w:t>
            </w:r>
            <w:r>
              <w:rPr>
                <w:rFonts w:ascii="宋体" w:hAnsi="宋体" w:cs="宋体"/>
                <w:sz w:val="18"/>
                <w:szCs w:val="18"/>
              </w:rPr>
              <w:t>驱动，配有高纯碳化硅或石英悬臂桨。</w:t>
            </w:r>
          </w:p>
        </w:tc>
      </w:tr>
      <w:tr w14:paraId="2BF9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55FC91FC">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多温区加热系统</w:t>
            </w:r>
          </w:p>
        </w:tc>
        <w:tc>
          <w:tcPr>
            <w:tcW w:w="4535" w:type="dxa"/>
          </w:tcPr>
          <w:p w14:paraId="55795D31">
            <w:pPr>
              <w:tabs>
                <w:tab w:val="left" w:pos="900"/>
              </w:tabs>
              <w:adjustRightInd w:val="0"/>
              <w:snapToGrid w:val="0"/>
              <w:spacing w:line="360" w:lineRule="auto"/>
              <w:rPr>
                <w:rFonts w:hAnsi="宋体"/>
                <w:sz w:val="18"/>
                <w:szCs w:val="18"/>
              </w:rPr>
            </w:pPr>
            <w:r>
              <w:rPr>
                <w:rFonts w:ascii="宋体" w:hAnsi="宋体" w:cs="宋体"/>
                <w:sz w:val="18"/>
                <w:szCs w:val="18"/>
              </w:rPr>
              <w:t>包含但不少于4套独立的加热炉体，每套炉体</w:t>
            </w:r>
            <w:r>
              <w:rPr>
                <w:rFonts w:hint="eastAsia" w:ascii="宋体" w:hAnsi="宋体" w:cs="宋体"/>
                <w:sz w:val="18"/>
                <w:szCs w:val="18"/>
              </w:rPr>
              <w:t>有3</w:t>
            </w:r>
            <w:r>
              <w:rPr>
                <w:rFonts w:ascii="宋体" w:hAnsi="宋体" w:cs="宋体"/>
                <w:sz w:val="18"/>
                <w:szCs w:val="18"/>
              </w:rPr>
              <w:t>温区独立加热与控温</w:t>
            </w:r>
            <w:r>
              <w:rPr>
                <w:rFonts w:hint="eastAsia" w:ascii="宋体" w:hAnsi="宋体" w:cs="宋体"/>
                <w:sz w:val="18"/>
                <w:szCs w:val="18"/>
              </w:rPr>
              <w:t>功能。</w:t>
            </w:r>
          </w:p>
        </w:tc>
      </w:tr>
      <w:tr w14:paraId="3FD4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0BE1DE2A">
            <w:pPr>
              <w:tabs>
                <w:tab w:val="left" w:pos="900"/>
              </w:tabs>
              <w:adjustRightInd w:val="0"/>
              <w:snapToGrid w:val="0"/>
              <w:spacing w:line="360" w:lineRule="auto"/>
              <w:jc w:val="center"/>
              <w:rPr>
                <w:rFonts w:ascii="宋体" w:hAnsi="宋体" w:cs="宋体"/>
                <w:b/>
                <w:bCs/>
                <w:sz w:val="18"/>
                <w:szCs w:val="18"/>
              </w:rPr>
            </w:pPr>
          </w:p>
          <w:p w14:paraId="7314AA6D">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工艺腔体组件</w:t>
            </w:r>
          </w:p>
        </w:tc>
        <w:tc>
          <w:tcPr>
            <w:tcW w:w="4535" w:type="dxa"/>
          </w:tcPr>
          <w:p w14:paraId="7ADB0823">
            <w:pPr>
              <w:tabs>
                <w:tab w:val="left" w:pos="900"/>
              </w:tabs>
              <w:adjustRightInd w:val="0"/>
              <w:snapToGrid w:val="0"/>
              <w:spacing w:line="360" w:lineRule="auto"/>
              <w:rPr>
                <w:rFonts w:hAnsi="宋体"/>
                <w:sz w:val="18"/>
                <w:szCs w:val="18"/>
              </w:rPr>
            </w:pPr>
            <w:r>
              <w:rPr>
                <w:rFonts w:ascii="宋体" w:hAnsi="宋体" w:cs="宋体"/>
                <w:sz w:val="18"/>
                <w:szCs w:val="18"/>
              </w:rPr>
              <w:t>包含但不少于高纯石英</w:t>
            </w:r>
            <w:r>
              <w:rPr>
                <w:rFonts w:hint="eastAsia" w:ascii="宋体" w:hAnsi="宋体" w:cs="宋体"/>
                <w:sz w:val="18"/>
                <w:szCs w:val="18"/>
              </w:rPr>
              <w:t>管</w:t>
            </w:r>
            <w:r>
              <w:rPr>
                <w:rFonts w:ascii="宋体" w:hAnsi="宋体" w:cs="宋体"/>
                <w:sz w:val="18"/>
                <w:szCs w:val="18"/>
              </w:rPr>
              <w:t>4根</w:t>
            </w:r>
            <w:r>
              <w:rPr>
                <w:rFonts w:hint="eastAsia" w:ascii="宋体" w:hAnsi="宋体" w:cs="宋体"/>
                <w:sz w:val="18"/>
                <w:szCs w:val="18"/>
              </w:rPr>
              <w:t>，</w:t>
            </w:r>
            <w:r>
              <w:rPr>
                <w:rFonts w:ascii="宋体" w:hAnsi="宋体" w:cs="宋体"/>
                <w:sz w:val="18"/>
                <w:szCs w:val="18"/>
              </w:rPr>
              <w:t>配有不少于4套带有水冷套件的不锈钢全自动真空密封法兰门，并配有耐高温氟橡胶O型密封圈。</w:t>
            </w:r>
          </w:p>
        </w:tc>
      </w:tr>
      <w:tr w14:paraId="038C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47E8E280">
            <w:pPr>
              <w:tabs>
                <w:tab w:val="left" w:pos="900"/>
              </w:tabs>
              <w:adjustRightInd w:val="0"/>
              <w:snapToGrid w:val="0"/>
              <w:spacing w:line="360" w:lineRule="auto"/>
              <w:jc w:val="center"/>
              <w:rPr>
                <w:rFonts w:ascii="宋体" w:hAnsi="宋体" w:cs="宋体"/>
                <w:b/>
                <w:bCs/>
                <w:sz w:val="18"/>
                <w:szCs w:val="18"/>
              </w:rPr>
            </w:pPr>
          </w:p>
          <w:p w14:paraId="4C4613E1">
            <w:pPr>
              <w:tabs>
                <w:tab w:val="left" w:pos="900"/>
              </w:tabs>
              <w:adjustRightInd w:val="0"/>
              <w:snapToGrid w:val="0"/>
              <w:spacing w:line="360" w:lineRule="auto"/>
              <w:jc w:val="center"/>
              <w:rPr>
                <w:rFonts w:ascii="宋体" w:hAnsi="宋体" w:cs="宋体"/>
                <w:b/>
                <w:bCs/>
                <w:sz w:val="18"/>
                <w:szCs w:val="18"/>
              </w:rPr>
            </w:pPr>
          </w:p>
          <w:p w14:paraId="37756E3D">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特气分配系统</w:t>
            </w:r>
          </w:p>
        </w:tc>
        <w:tc>
          <w:tcPr>
            <w:tcW w:w="4535" w:type="dxa"/>
          </w:tcPr>
          <w:p w14:paraId="2F12E949">
            <w:pPr>
              <w:tabs>
                <w:tab w:val="left" w:pos="900"/>
              </w:tabs>
              <w:adjustRightInd w:val="0"/>
              <w:snapToGrid w:val="0"/>
              <w:spacing w:line="360" w:lineRule="auto"/>
              <w:rPr>
                <w:rFonts w:hAnsi="宋体"/>
                <w:sz w:val="18"/>
                <w:szCs w:val="18"/>
              </w:rPr>
            </w:pPr>
            <w:r>
              <w:rPr>
                <w:rFonts w:ascii="宋体" w:hAnsi="宋体" w:cs="宋体"/>
                <w:sz w:val="18"/>
                <w:szCs w:val="18"/>
              </w:rPr>
              <w:t>所有工艺气体管路采用316L内表面电解抛光不锈钢管；剧毒及易燃气体管路必须采用双套管设计。流量控制与阀门每管配有数字式质量流量控制器；配有气动隔膜阀</w:t>
            </w:r>
            <w:r>
              <w:rPr>
                <w:rFonts w:hint="eastAsia" w:ascii="宋体" w:hAnsi="宋体" w:cs="宋体"/>
                <w:sz w:val="18"/>
                <w:szCs w:val="18"/>
              </w:rPr>
              <w:t>及氮气吹扫回路，配置气路安全</w:t>
            </w:r>
            <w:r>
              <w:rPr>
                <w:rFonts w:ascii="宋体" w:hAnsi="宋体" w:cs="宋体"/>
                <w:sz w:val="18"/>
                <w:szCs w:val="18"/>
              </w:rPr>
              <w:t>互锁控制</w:t>
            </w:r>
            <w:r>
              <w:rPr>
                <w:rFonts w:hint="eastAsia" w:ascii="宋体" w:hAnsi="宋体" w:cs="宋体"/>
                <w:sz w:val="18"/>
                <w:szCs w:val="18"/>
              </w:rPr>
              <w:t>逻辑</w:t>
            </w:r>
            <w:r>
              <w:rPr>
                <w:rFonts w:ascii="宋体" w:hAnsi="宋体" w:cs="宋体"/>
                <w:sz w:val="18"/>
                <w:szCs w:val="18"/>
              </w:rPr>
              <w:t>。</w:t>
            </w:r>
          </w:p>
        </w:tc>
      </w:tr>
      <w:tr w14:paraId="43F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3C84FA82">
            <w:pPr>
              <w:tabs>
                <w:tab w:val="left" w:pos="900"/>
              </w:tabs>
              <w:adjustRightInd w:val="0"/>
              <w:snapToGrid w:val="0"/>
              <w:spacing w:line="360" w:lineRule="auto"/>
              <w:jc w:val="center"/>
              <w:rPr>
                <w:rFonts w:ascii="宋体" w:hAnsi="宋体" w:cs="宋体"/>
                <w:sz w:val="18"/>
                <w:szCs w:val="18"/>
              </w:rPr>
            </w:pPr>
          </w:p>
          <w:p w14:paraId="548B329B">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尾气排废及防堵塞系统</w:t>
            </w:r>
          </w:p>
        </w:tc>
        <w:tc>
          <w:tcPr>
            <w:tcW w:w="4535" w:type="dxa"/>
          </w:tcPr>
          <w:p w14:paraId="7B2134EE">
            <w:pPr>
              <w:tabs>
                <w:tab w:val="left" w:pos="900"/>
              </w:tabs>
              <w:adjustRightInd w:val="0"/>
              <w:snapToGrid w:val="0"/>
              <w:spacing w:line="360" w:lineRule="auto"/>
              <w:rPr>
                <w:rFonts w:hAnsi="宋体"/>
                <w:sz w:val="18"/>
                <w:szCs w:val="18"/>
              </w:rPr>
            </w:pPr>
            <w:r>
              <w:rPr>
                <w:rFonts w:ascii="宋体" w:hAnsi="宋体" w:cs="宋体"/>
                <w:sz w:val="18"/>
                <w:szCs w:val="18"/>
              </w:rPr>
              <w:t>炉口配有</w:t>
            </w:r>
            <w:r>
              <w:rPr>
                <w:rFonts w:hint="eastAsia" w:ascii="宋体" w:hAnsi="宋体" w:cs="宋体"/>
                <w:sz w:val="18"/>
                <w:szCs w:val="18"/>
              </w:rPr>
              <w:t>排风口，炉尾配有冷凝瓶、过滤装置、酸排管；</w:t>
            </w:r>
          </w:p>
        </w:tc>
      </w:tr>
      <w:tr w14:paraId="62C4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2E55863C">
            <w:pPr>
              <w:tabs>
                <w:tab w:val="left" w:pos="900"/>
              </w:tabs>
              <w:adjustRightInd w:val="0"/>
              <w:snapToGrid w:val="0"/>
              <w:spacing w:line="360" w:lineRule="auto"/>
              <w:jc w:val="center"/>
              <w:rPr>
                <w:rFonts w:ascii="宋体" w:hAnsi="宋体" w:cs="宋体"/>
                <w:b/>
                <w:bCs/>
                <w:sz w:val="18"/>
                <w:szCs w:val="18"/>
              </w:rPr>
            </w:pPr>
          </w:p>
          <w:p w14:paraId="220B7946">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配套备件</w:t>
            </w:r>
          </w:p>
        </w:tc>
        <w:tc>
          <w:tcPr>
            <w:tcW w:w="4535" w:type="dxa"/>
          </w:tcPr>
          <w:p w14:paraId="2D38453A">
            <w:pPr>
              <w:tabs>
                <w:tab w:val="left" w:pos="900"/>
              </w:tabs>
              <w:adjustRightInd w:val="0"/>
              <w:snapToGrid w:val="0"/>
              <w:spacing w:line="360" w:lineRule="auto"/>
              <w:rPr>
                <w:rFonts w:ascii="宋体" w:hAnsi="宋体" w:cs="宋体"/>
                <w:sz w:val="18"/>
                <w:szCs w:val="18"/>
              </w:rPr>
            </w:pPr>
            <w:r>
              <w:rPr>
                <w:rFonts w:ascii="宋体" w:hAnsi="宋体" w:cs="宋体"/>
                <w:sz w:val="18"/>
                <w:szCs w:val="18"/>
              </w:rPr>
              <w:t>包含设备水冷分配系统、热电偶补偿导线、电源线、冷却水管、盲板、法兰垫圈等备件足量。（如备用 O型密封圈、</w:t>
            </w:r>
            <w:r>
              <w:rPr>
                <w:rFonts w:hint="eastAsia" w:ascii="宋体" w:hAnsi="宋体" w:cs="宋体"/>
                <w:sz w:val="18"/>
                <w:szCs w:val="18"/>
              </w:rPr>
              <w:t>过滤滤芯</w:t>
            </w:r>
            <w:r>
              <w:rPr>
                <w:rFonts w:ascii="宋体" w:hAnsi="宋体" w:cs="宋体"/>
                <w:sz w:val="18"/>
                <w:szCs w:val="18"/>
              </w:rPr>
              <w:t>等不少于2套）；提供原厂配套的石英/碳化硅清洗工装（不少于1套）；提供源瓶更换专用的防腐安全手套。</w:t>
            </w:r>
          </w:p>
        </w:tc>
      </w:tr>
      <w:tr w14:paraId="617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vAlign w:val="center"/>
          </w:tcPr>
          <w:p w14:paraId="340064C0">
            <w:pPr>
              <w:tabs>
                <w:tab w:val="left" w:pos="900"/>
              </w:tabs>
              <w:adjustRightInd w:val="0"/>
              <w:snapToGrid w:val="0"/>
              <w:spacing w:line="360" w:lineRule="auto"/>
              <w:jc w:val="center"/>
              <w:rPr>
                <w:rFonts w:ascii="宋体" w:hAnsi="宋体" w:cs="宋体"/>
                <w:b/>
                <w:bCs/>
                <w:sz w:val="18"/>
                <w:szCs w:val="18"/>
              </w:rPr>
            </w:pPr>
            <w:r>
              <w:rPr>
                <w:rFonts w:hint="eastAsia" w:ascii="宋体" w:hAnsi="宋体" w:cs="宋体"/>
                <w:b/>
                <w:bCs/>
                <w:sz w:val="18"/>
                <w:szCs w:val="18"/>
              </w:rPr>
              <w:t>配套设施</w:t>
            </w:r>
          </w:p>
        </w:tc>
        <w:tc>
          <w:tcPr>
            <w:tcW w:w="4535" w:type="dxa"/>
          </w:tcPr>
          <w:p w14:paraId="0E25F697">
            <w:pPr>
              <w:tabs>
                <w:tab w:val="left" w:pos="900"/>
              </w:tabs>
              <w:adjustRightInd w:val="0"/>
              <w:snapToGrid w:val="0"/>
              <w:spacing w:line="360" w:lineRule="auto"/>
              <w:rPr>
                <w:rFonts w:ascii="宋体" w:hAnsi="宋体" w:cs="宋体"/>
                <w:sz w:val="18"/>
                <w:szCs w:val="18"/>
              </w:rPr>
            </w:pPr>
            <w:r>
              <w:rPr>
                <w:rFonts w:hint="eastAsia" w:ascii="宋体" w:hAnsi="宋体" w:cs="宋体"/>
                <w:sz w:val="18"/>
                <w:szCs w:val="18"/>
              </w:rPr>
              <w:t>完善配套设施，含外围必要的</w:t>
            </w:r>
            <w:r>
              <w:rPr>
                <w:rFonts w:ascii="宋体" w:hAnsi="宋体" w:cs="宋体"/>
                <w:sz w:val="18"/>
                <w:szCs w:val="18"/>
              </w:rPr>
              <w:t>气源供气</w:t>
            </w:r>
            <w:r>
              <w:rPr>
                <w:rFonts w:hint="eastAsia" w:ascii="宋体" w:hAnsi="宋体" w:cs="宋体"/>
                <w:sz w:val="18"/>
                <w:szCs w:val="18"/>
              </w:rPr>
              <w:t>管路、冷却水、排风废气处理、电气配电等，使主体设备能够投入工作。</w:t>
            </w:r>
          </w:p>
        </w:tc>
      </w:tr>
    </w:tbl>
    <w:p w14:paraId="3191F7E9">
      <w:pPr>
        <w:tabs>
          <w:tab w:val="left" w:pos="900"/>
        </w:tabs>
        <w:adjustRightInd w:val="0"/>
        <w:snapToGrid w:val="0"/>
        <w:spacing w:line="360" w:lineRule="auto"/>
        <w:ind w:firstLine="422" w:firstLineChars="200"/>
        <w:rPr>
          <w:rFonts w:hAnsi="宋体"/>
          <w:b/>
          <w:szCs w:val="21"/>
        </w:rPr>
      </w:pPr>
    </w:p>
    <w:p w14:paraId="77424BD1">
      <w:pPr>
        <w:numPr>
          <w:ilvl w:val="0"/>
          <w:numId w:val="1"/>
        </w:numPr>
        <w:tabs>
          <w:tab w:val="left" w:pos="900"/>
        </w:tabs>
        <w:adjustRightInd w:val="0"/>
        <w:snapToGrid w:val="0"/>
        <w:spacing w:line="360" w:lineRule="auto"/>
        <w:rPr>
          <w:b/>
          <w:szCs w:val="21"/>
        </w:rPr>
      </w:pPr>
      <w:r>
        <w:rPr>
          <w:rFonts w:hint="eastAsia"/>
          <w:b/>
          <w:szCs w:val="21"/>
        </w:rPr>
        <w:t>技术规格：</w:t>
      </w:r>
    </w:p>
    <w:p w14:paraId="61A12C1F">
      <w:pPr>
        <w:numPr>
          <w:ilvl w:val="0"/>
          <w:numId w:val="2"/>
        </w:numPr>
      </w:pPr>
      <w:r>
        <w:rPr>
          <w:rFonts w:hint="eastAsia"/>
          <w:b/>
          <w:szCs w:val="21"/>
        </w:rPr>
        <w:t>*</w:t>
      </w:r>
      <w:r>
        <w:rPr>
          <w:rFonts w:hint="eastAsia"/>
        </w:rPr>
        <w:t>主体设备有四管：磷扩散、硼扩散、干氧氧化和高温退火；单管装片量为</w:t>
      </w:r>
      <w:r>
        <w:t>25PCS</w:t>
      </w:r>
    </w:p>
    <w:p w14:paraId="21CE2ABA">
      <w:pPr>
        <w:numPr>
          <w:ilvl w:val="0"/>
          <w:numId w:val="2"/>
        </w:numPr>
      </w:pPr>
      <w:r>
        <w:rPr>
          <w:rFonts w:hint="eastAsia"/>
          <w:b/>
          <w:szCs w:val="21"/>
        </w:rPr>
        <w:t>*</w:t>
      </w:r>
      <w:r>
        <w:t>晶圆规格</w:t>
      </w:r>
      <w:r>
        <w:rPr>
          <w:rFonts w:hint="eastAsia"/>
        </w:rPr>
        <w:t>：兼容 6英寸、4英寸、2英寸，1</w:t>
      </w:r>
      <w:r>
        <w:t>00</w:t>
      </w:r>
      <w:r>
        <w:rPr>
          <w:rFonts w:hint="eastAsia"/>
        </w:rPr>
        <w:t>µm≤厚度≤700µm</w:t>
      </w:r>
      <w:r>
        <w:rPr>
          <w:rFonts w:hint="eastAsia"/>
          <w:lang w:eastAsia="zh-CN"/>
        </w:rPr>
        <w:t>。</w:t>
      </w:r>
    </w:p>
    <w:p w14:paraId="1F0BF7E1">
      <w:pPr>
        <w:numPr>
          <w:ilvl w:val="0"/>
          <w:numId w:val="2"/>
        </w:numPr>
      </w:pPr>
      <w:r>
        <w:t>晶圆放置方式</w:t>
      </w:r>
      <w:r>
        <w:rPr>
          <w:rFonts w:hint="eastAsia"/>
        </w:rPr>
        <w:t>：竖直</w:t>
      </w:r>
    </w:p>
    <w:p w14:paraId="102D46E0">
      <w:pPr>
        <w:numPr>
          <w:ilvl w:val="0"/>
          <w:numId w:val="2"/>
        </w:numPr>
      </w:pPr>
      <w:r>
        <w:rPr>
          <w:b/>
          <w:szCs w:val="21"/>
        </w:rPr>
        <w:t>▲</w:t>
      </w:r>
      <w:r>
        <w:t>送料方式</w:t>
      </w:r>
      <w:r>
        <w:rPr>
          <w:rFonts w:hint="eastAsia"/>
        </w:rPr>
        <w:t>：悬臂杆，自动推拉舟，运动平稳，无肉眼可见颗粒产生</w:t>
      </w:r>
    </w:p>
    <w:p w14:paraId="15BE9B11">
      <w:pPr>
        <w:numPr>
          <w:ilvl w:val="0"/>
          <w:numId w:val="2"/>
        </w:numPr>
      </w:pPr>
      <w:r>
        <w:t>推舟速度</w:t>
      </w:r>
      <w:r>
        <w:rPr>
          <w:rFonts w:hint="eastAsia"/>
        </w:rPr>
        <w:t>：10-1500mm/min</w:t>
      </w:r>
    </w:p>
    <w:p w14:paraId="716B5280">
      <w:pPr>
        <w:numPr>
          <w:ilvl w:val="0"/>
          <w:numId w:val="2"/>
        </w:numPr>
      </w:pPr>
      <w:r>
        <w:t>推舟定位精度</w:t>
      </w:r>
      <w:r>
        <w:rPr>
          <w:rFonts w:hint="eastAsia"/>
        </w:rPr>
        <w:t>：±1mm</w:t>
      </w:r>
    </w:p>
    <w:p w14:paraId="09D30398">
      <w:pPr>
        <w:numPr>
          <w:ilvl w:val="0"/>
          <w:numId w:val="2"/>
        </w:numPr>
      </w:pPr>
      <w:r>
        <w:t>石英管直径</w:t>
      </w:r>
      <w:r>
        <w:rPr>
          <w:rFonts w:hint="eastAsia"/>
        </w:rPr>
        <w:t>：≥Φ230mm</w:t>
      </w:r>
    </w:p>
    <w:p w14:paraId="164C6731">
      <w:pPr>
        <w:numPr>
          <w:ilvl w:val="0"/>
          <w:numId w:val="2"/>
        </w:numPr>
      </w:pPr>
      <w:r>
        <w:t>加热控温方式</w:t>
      </w:r>
      <w:r>
        <w:rPr>
          <w:rFonts w:hint="eastAsia"/>
        </w:rPr>
        <w:t>：粗丝炉体+变压器+高精度 PID 温控仪，双回路 PID闭环温度自动控制</w:t>
      </w:r>
    </w:p>
    <w:p w14:paraId="20C9CEA5">
      <w:pPr>
        <w:numPr>
          <w:ilvl w:val="0"/>
          <w:numId w:val="2"/>
        </w:numPr>
      </w:pPr>
      <w:r>
        <w:t>加热温区数</w:t>
      </w:r>
      <w:r>
        <w:rPr>
          <w:rFonts w:hint="eastAsia"/>
        </w:rPr>
        <w:t>：3 段温区</w:t>
      </w:r>
    </w:p>
    <w:p w14:paraId="5E8136B9">
      <w:pPr>
        <w:numPr>
          <w:ilvl w:val="0"/>
          <w:numId w:val="2"/>
        </w:numPr>
      </w:pPr>
      <w:r>
        <w:rPr>
          <w:rFonts w:hint="eastAsia"/>
          <w:b/>
          <w:szCs w:val="21"/>
        </w:rPr>
        <w:t>*</w:t>
      </w:r>
      <w:r>
        <w:t>恒温区长度</w:t>
      </w:r>
      <w:r>
        <w:rPr>
          <w:rFonts w:hint="eastAsia"/>
        </w:rPr>
        <w:t>：≥300mm</w:t>
      </w:r>
    </w:p>
    <w:p w14:paraId="08BC871E">
      <w:pPr>
        <w:numPr>
          <w:ilvl w:val="0"/>
          <w:numId w:val="2"/>
        </w:numPr>
      </w:pPr>
      <w:r>
        <w:t>温度分辨率</w:t>
      </w:r>
      <w:r>
        <w:rPr>
          <w:rFonts w:hint="eastAsia"/>
        </w:rPr>
        <w:t>：≤0.1℃</w:t>
      </w:r>
    </w:p>
    <w:p w14:paraId="3F61AA97">
      <w:pPr>
        <w:numPr>
          <w:ilvl w:val="0"/>
          <w:numId w:val="2"/>
        </w:numPr>
      </w:pPr>
      <w:r>
        <w:rPr>
          <w:rFonts w:hint="eastAsia"/>
          <w:b/>
          <w:szCs w:val="21"/>
        </w:rPr>
        <w:t>*</w:t>
      </w:r>
      <w:r>
        <w:t>恒温区精度</w:t>
      </w:r>
      <w:r>
        <w:rPr>
          <w:rFonts w:hint="eastAsia"/>
        </w:rPr>
        <w:t>：≤±1℃/400mm（8</w:t>
      </w:r>
      <w:r>
        <w:t>00</w:t>
      </w:r>
      <w:r>
        <w:rPr>
          <w:rFonts w:hint="eastAsia"/>
        </w:rPr>
        <w:t>℃）</w:t>
      </w:r>
    </w:p>
    <w:p w14:paraId="20DA446A">
      <w:pPr>
        <w:numPr>
          <w:ilvl w:val="0"/>
          <w:numId w:val="2"/>
        </w:numPr>
      </w:pPr>
      <w:r>
        <w:rPr>
          <w:rFonts w:hint="eastAsia"/>
          <w:b/>
          <w:szCs w:val="21"/>
        </w:rPr>
        <w:t>*</w:t>
      </w:r>
      <w:r>
        <w:t>温度稳定度</w:t>
      </w:r>
      <w:r>
        <w:rPr>
          <w:rFonts w:hint="eastAsia"/>
        </w:rPr>
        <w:t>：≤±1℃/24h（8</w:t>
      </w:r>
      <w:r>
        <w:t>00</w:t>
      </w:r>
      <w:r>
        <w:rPr>
          <w:rFonts w:hint="eastAsia"/>
        </w:rPr>
        <w:t>℃）</w:t>
      </w:r>
    </w:p>
    <w:p w14:paraId="0D8ACE91">
      <w:pPr>
        <w:numPr>
          <w:ilvl w:val="0"/>
          <w:numId w:val="2"/>
        </w:numPr>
      </w:pPr>
      <w:r>
        <w:rPr>
          <w:rFonts w:hint="eastAsia"/>
          <w:b/>
          <w:szCs w:val="21"/>
        </w:rPr>
        <w:t>*</w:t>
      </w:r>
      <w:r>
        <w:t>最高温度</w:t>
      </w:r>
      <w:r>
        <w:rPr>
          <w:rFonts w:hint="eastAsia"/>
        </w:rPr>
        <w:t>：1050℃</w:t>
      </w:r>
    </w:p>
    <w:p w14:paraId="67E66D86">
      <w:pPr>
        <w:numPr>
          <w:ilvl w:val="0"/>
          <w:numId w:val="2"/>
        </w:numPr>
      </w:pPr>
      <w:r>
        <w:t>控温精度</w:t>
      </w:r>
      <w:r>
        <w:rPr>
          <w:rFonts w:hint="eastAsia"/>
        </w:rPr>
        <w:t>：≤±1℃</w:t>
      </w:r>
    </w:p>
    <w:p w14:paraId="3799A5AC">
      <w:pPr>
        <w:numPr>
          <w:ilvl w:val="0"/>
          <w:numId w:val="2"/>
        </w:numPr>
      </w:pPr>
      <w:r>
        <w:t>升温速度</w:t>
      </w:r>
      <w:r>
        <w:rPr>
          <w:rFonts w:hint="eastAsia"/>
        </w:rPr>
        <w:t>：RT-8</w:t>
      </w:r>
      <w:r>
        <w:t>0</w:t>
      </w:r>
      <w:r>
        <w:rPr>
          <w:rFonts w:hint="eastAsia"/>
        </w:rPr>
        <w:t>0℃≤</w:t>
      </w:r>
      <w:r>
        <w:t>6</w:t>
      </w:r>
      <w:r>
        <w:rPr>
          <w:rFonts w:hint="eastAsia"/>
        </w:rPr>
        <w:t>0min</w:t>
      </w:r>
    </w:p>
    <w:p w14:paraId="1016690C">
      <w:pPr>
        <w:numPr>
          <w:ilvl w:val="0"/>
          <w:numId w:val="2"/>
        </w:numPr>
      </w:pPr>
      <w:r>
        <w:rPr>
          <w:rFonts w:hint="eastAsia"/>
        </w:rPr>
        <w:t>方阻及均匀性：磷扩150-220Ω/□(均匀性≤5%)、硼扩10-400Ω/□(均匀性≤5%)</w:t>
      </w:r>
    </w:p>
    <w:p w14:paraId="4C53BDDC">
      <w:pPr>
        <w:numPr>
          <w:ilvl w:val="0"/>
          <w:numId w:val="2"/>
        </w:numPr>
      </w:pPr>
      <w:r>
        <w:rPr>
          <w:rFonts w:hint="eastAsia"/>
        </w:rPr>
        <w:t>氧化：干氧氧化、掺氯氧化、湿氧氧化；氧化均匀性≤4%</w:t>
      </w:r>
    </w:p>
    <w:p w14:paraId="7CD12125">
      <w:pPr>
        <w:numPr>
          <w:ilvl w:val="0"/>
          <w:numId w:val="2"/>
        </w:numPr>
      </w:pPr>
      <w:r>
        <w:t>最大升温速率</w:t>
      </w:r>
      <w:r>
        <w:rPr>
          <w:rFonts w:hint="eastAsia"/>
        </w:rPr>
        <w:t>：≥15℃</w:t>
      </w:r>
    </w:p>
    <w:p w14:paraId="04C8F535">
      <w:pPr>
        <w:numPr>
          <w:ilvl w:val="0"/>
          <w:numId w:val="2"/>
        </w:numPr>
      </w:pPr>
      <w:r>
        <w:t>最大降温速率</w:t>
      </w:r>
      <w:r>
        <w:rPr>
          <w:rFonts w:hint="eastAsia"/>
        </w:rPr>
        <w:t>：≥5℃</w:t>
      </w:r>
    </w:p>
    <w:p w14:paraId="66F37B47">
      <w:pPr>
        <w:numPr>
          <w:ilvl w:val="0"/>
          <w:numId w:val="2"/>
        </w:numPr>
      </w:pPr>
      <w:r>
        <w:rPr>
          <w:b/>
          <w:szCs w:val="21"/>
        </w:rPr>
        <w:t>▲</w:t>
      </w:r>
      <w:r>
        <w:t>压力控制方式</w:t>
      </w:r>
      <w:r>
        <w:rPr>
          <w:rFonts w:hint="eastAsia"/>
        </w:rPr>
        <w:t>：变频隔膜泵+压力计+电气动隔膜阀，闭环压力自动控制</w:t>
      </w:r>
    </w:p>
    <w:p w14:paraId="7FD5DBF3">
      <w:pPr>
        <w:numPr>
          <w:ilvl w:val="0"/>
          <w:numId w:val="2"/>
        </w:numPr>
      </w:pPr>
      <w:r>
        <w:t>压力控制精度</w:t>
      </w:r>
      <w:r>
        <w:rPr>
          <w:rFonts w:hint="eastAsia"/>
        </w:rPr>
        <w:t>：≤±1.2 mbar</w:t>
      </w:r>
    </w:p>
    <w:p w14:paraId="787F5821">
      <w:pPr>
        <w:numPr>
          <w:ilvl w:val="0"/>
          <w:numId w:val="2"/>
        </w:numPr>
      </w:pPr>
      <w:r>
        <w:t>真空恢复时间</w:t>
      </w:r>
      <w:r>
        <w:rPr>
          <w:rFonts w:hint="eastAsia"/>
        </w:rPr>
        <w:t>：≤20min</w:t>
      </w:r>
    </w:p>
    <w:p w14:paraId="0490A9E1">
      <w:pPr>
        <w:numPr>
          <w:ilvl w:val="0"/>
          <w:numId w:val="2"/>
        </w:numPr>
      </w:pPr>
      <w:r>
        <w:rPr>
          <w:b/>
          <w:szCs w:val="21"/>
        </w:rPr>
        <w:t>▲</w:t>
      </w:r>
      <w:r>
        <w:t>极限真空度</w:t>
      </w:r>
      <w:r>
        <w:rPr>
          <w:rFonts w:hint="eastAsia"/>
        </w:rPr>
        <w:t>：≤25mbar</w:t>
      </w:r>
    </w:p>
    <w:p w14:paraId="56302288">
      <w:pPr>
        <w:numPr>
          <w:ilvl w:val="0"/>
          <w:numId w:val="2"/>
        </w:numPr>
      </w:pPr>
      <w:r>
        <w:rPr>
          <w:b/>
          <w:szCs w:val="21"/>
        </w:rPr>
        <w:t>▲</w:t>
      </w:r>
      <w:r>
        <w:t>压升率</w:t>
      </w:r>
      <w:r>
        <w:rPr>
          <w:rFonts w:hint="eastAsia"/>
        </w:rPr>
        <w:t>：≤2.5 mbar/min</w:t>
      </w:r>
    </w:p>
    <w:p w14:paraId="5718F9E7">
      <w:pPr>
        <w:numPr>
          <w:ilvl w:val="0"/>
          <w:numId w:val="2"/>
        </w:numPr>
      </w:pPr>
      <w:r>
        <w:rPr>
          <w:rFonts w:hint="eastAsia"/>
          <w:b/>
          <w:szCs w:val="21"/>
        </w:rPr>
        <w:t>*</w:t>
      </w:r>
      <w:r>
        <w:t>气路系统泄露率</w:t>
      </w:r>
      <w:r>
        <w:rPr>
          <w:rFonts w:hint="eastAsia"/>
        </w:rPr>
        <w:t>：1 x 10⁻⁶ mbar·L/s</w:t>
      </w:r>
    </w:p>
    <w:p w14:paraId="4F998A36">
      <w:pPr>
        <w:numPr>
          <w:ilvl w:val="0"/>
          <w:numId w:val="2"/>
        </w:numPr>
      </w:pPr>
      <w:r>
        <w:t>气体流量控制方式</w:t>
      </w:r>
      <w:r>
        <w:rPr>
          <w:rFonts w:hint="eastAsia"/>
        </w:rPr>
        <w:t>：MFC+电气动隔膜阀+手动隔膜阀+过滤器</w:t>
      </w:r>
    </w:p>
    <w:p w14:paraId="535C41C7">
      <w:pPr>
        <w:numPr>
          <w:ilvl w:val="0"/>
          <w:numId w:val="2"/>
        </w:numPr>
      </w:pPr>
      <w:r>
        <w:rPr>
          <w:b/>
          <w:szCs w:val="21"/>
        </w:rPr>
        <w:t>▲</w:t>
      </w:r>
      <w:r>
        <w:t>气体流量控制精度</w:t>
      </w:r>
      <w:r>
        <w:rPr>
          <w:rFonts w:hint="eastAsia"/>
        </w:rPr>
        <w:t>：≤±1%FS</w:t>
      </w:r>
    </w:p>
    <w:p w14:paraId="60532442">
      <w:pPr>
        <w:numPr>
          <w:ilvl w:val="0"/>
          <w:numId w:val="2"/>
        </w:numPr>
      </w:pPr>
      <w:r>
        <w:t>冷却水系统</w:t>
      </w:r>
      <w:r>
        <w:rPr>
          <w:rFonts w:hint="eastAsia"/>
        </w:rPr>
        <w:t>：过滤器+阀门+水流开关</w:t>
      </w:r>
    </w:p>
    <w:p w14:paraId="51648AAB">
      <w:pPr>
        <w:numPr>
          <w:ilvl w:val="0"/>
          <w:numId w:val="2"/>
        </w:numPr>
      </w:pPr>
      <w:r>
        <w:t>冷却水监测</w:t>
      </w:r>
      <w:r>
        <w:rPr>
          <w:rFonts w:hint="eastAsia"/>
        </w:rPr>
        <w:t>：水流量+水温监控预警</w:t>
      </w:r>
    </w:p>
    <w:p w14:paraId="4EF31E00">
      <w:pPr>
        <w:numPr>
          <w:ilvl w:val="0"/>
          <w:numId w:val="2"/>
        </w:numPr>
      </w:pPr>
      <w:r>
        <w:rPr>
          <w:b/>
          <w:szCs w:val="21"/>
        </w:rPr>
        <w:t>▲</w:t>
      </w:r>
      <w:r>
        <w:t>控制方式</w:t>
      </w:r>
      <w:r>
        <w:rPr>
          <w:rFonts w:hint="eastAsia"/>
        </w:rPr>
        <w:t>：单管单控 每管可独立开机运行，互不干扰</w:t>
      </w:r>
    </w:p>
    <w:p w14:paraId="5080A320">
      <w:pPr>
        <w:numPr>
          <w:ilvl w:val="0"/>
          <w:numId w:val="2"/>
        </w:numPr>
      </w:pPr>
      <w:r>
        <w:t>软件功能</w:t>
      </w:r>
      <w:r>
        <w:rPr>
          <w:rFonts w:hint="eastAsia"/>
        </w:rPr>
        <w:t>：应具备工艺配方编辑、储存和选择等功能；操作动作和报警记录实时记录查询功能。设备运行数据和工艺运行数据实时记录，历史数据储存和查询功能。设备运行参数设置、登陆操作权限自定义等功能。</w:t>
      </w:r>
    </w:p>
    <w:p w14:paraId="157EEA2A">
      <w:pPr>
        <w:numPr>
          <w:ilvl w:val="0"/>
          <w:numId w:val="2"/>
        </w:numPr>
      </w:pPr>
      <w:r>
        <w:rPr>
          <w:rFonts w:hint="eastAsia"/>
        </w:rPr>
        <w:t>安全防护功能：EMO，EMS，超温报警，断偶报警，热偶短路报警，缺水报警，缺相报警，推舟报警，特气泄露报警，外围排风报警，流量偏差报警，真空泵异常报警，功能互锁保护，操作权限分级设置。具备报警发生后自动切断终止相应的加热、供气、供电、运动或工艺等功能。</w:t>
      </w:r>
    </w:p>
    <w:p w14:paraId="485AE293"/>
    <w:p w14:paraId="72FB438B">
      <w:pPr>
        <w:tabs>
          <w:tab w:val="left" w:pos="900"/>
        </w:tabs>
        <w:adjustRightInd w:val="0"/>
        <w:snapToGrid w:val="0"/>
        <w:spacing w:line="360" w:lineRule="auto"/>
        <w:rPr>
          <w:rFonts w:hAnsi="宋体"/>
          <w:b/>
          <w:szCs w:val="21"/>
        </w:rPr>
      </w:pP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 xml:space="preserve"> 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7</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4B57E3EE">
      <w:pPr>
        <w:tabs>
          <w:tab w:val="left" w:pos="420"/>
          <w:tab w:val="left" w:pos="900"/>
        </w:tabs>
        <w:adjustRightInd w:val="0"/>
        <w:snapToGrid w:val="0"/>
        <w:spacing w:line="360" w:lineRule="auto"/>
        <w:ind w:firstLine="420" w:firstLineChars="200"/>
        <w:rPr>
          <w:rFonts w:ascii="宋体" w:hAnsi="宋体"/>
          <w:b/>
          <w:bCs/>
          <w:szCs w:val="21"/>
        </w:rPr>
      </w:pPr>
      <w:r>
        <w:rPr>
          <w:rFonts w:hint="eastAsia" w:ascii="宋体" w:hAnsi="宋体"/>
          <w:b w:val="0"/>
          <w:bCs w:val="0"/>
          <w:szCs w:val="21"/>
        </w:rPr>
        <w:t>（四）</w:t>
      </w:r>
      <w:r>
        <w:rPr>
          <w:rFonts w:hint="eastAsia" w:ascii="宋体" w:hAnsi="宋体"/>
          <w:szCs w:val="21"/>
        </w:rPr>
        <w:t>交付要求</w:t>
      </w:r>
      <w:r>
        <w:rPr>
          <w:rFonts w:hint="eastAsia" w:ascii="宋体" w:hAnsi="宋体"/>
          <w:szCs w:val="21"/>
          <w:lang w:eastAsia="zh-CN"/>
        </w:rPr>
        <w:t>：</w:t>
      </w:r>
      <w:r>
        <w:rPr>
          <w:rFonts w:hint="eastAsia" w:ascii="宋体" w:hAnsi="宋体"/>
          <w:szCs w:val="21"/>
        </w:rPr>
        <w:t>按国家及行业标准，随设备整机同步交付完整的文件资料与配件</w:t>
      </w:r>
      <w:r>
        <w:rPr>
          <w:rFonts w:hint="eastAsia" w:ascii="宋体" w:hAnsi="宋体"/>
          <w:szCs w:val="21"/>
          <w:lang w:eastAsia="zh-CN"/>
        </w:rPr>
        <w:t>，</w:t>
      </w:r>
      <w:r>
        <w:rPr>
          <w:rFonts w:hint="eastAsia" w:ascii="宋体" w:hAnsi="宋体"/>
          <w:szCs w:val="21"/>
        </w:rPr>
        <w:t>包含但不限于操作与维护说明书</w:t>
      </w:r>
      <w:r>
        <w:rPr>
          <w:rFonts w:hint="eastAsia" w:ascii="宋体" w:hAnsi="宋体"/>
          <w:szCs w:val="21"/>
          <w:lang w:eastAsia="zh-CN"/>
        </w:rPr>
        <w:t>，</w:t>
      </w:r>
      <w:r>
        <w:rPr>
          <w:rFonts w:hint="eastAsia" w:ascii="宋体" w:hAnsi="宋体"/>
          <w:szCs w:val="21"/>
        </w:rPr>
        <w:t>设备装箱清单</w:t>
      </w:r>
      <w:r>
        <w:rPr>
          <w:rFonts w:hint="eastAsia" w:ascii="宋体" w:hAnsi="宋体"/>
          <w:szCs w:val="21"/>
          <w:lang w:eastAsia="zh-CN"/>
        </w:rPr>
        <w:t>，</w:t>
      </w:r>
      <w:r>
        <w:rPr>
          <w:rFonts w:hint="eastAsia" w:ascii="宋体" w:hAnsi="宋体"/>
          <w:szCs w:val="21"/>
        </w:rPr>
        <w:t>易损件/消耗品清单</w:t>
      </w:r>
      <w:r>
        <w:rPr>
          <w:rFonts w:hint="eastAsia" w:ascii="宋体" w:hAnsi="宋体"/>
          <w:szCs w:val="21"/>
          <w:lang w:eastAsia="zh-CN"/>
        </w:rPr>
        <w:t>，</w:t>
      </w:r>
      <w:r>
        <w:rPr>
          <w:rFonts w:hint="eastAsia" w:ascii="宋体" w:hAnsi="宋体"/>
          <w:szCs w:val="21"/>
        </w:rPr>
        <w:t>标配备品备件清单及专用维修工具包</w:t>
      </w:r>
      <w:r>
        <w:rPr>
          <w:rFonts w:hint="eastAsia" w:ascii="宋体" w:hAnsi="宋体"/>
          <w:szCs w:val="21"/>
          <w:lang w:val="en-US" w:eastAsia="zh-CN"/>
        </w:rPr>
        <w:t>等。</w:t>
      </w:r>
    </w:p>
    <w:p w14:paraId="45C5A29B">
      <w:pPr>
        <w:tabs>
          <w:tab w:val="left" w:pos="420"/>
          <w:tab w:val="left" w:pos="900"/>
        </w:tabs>
        <w:adjustRightInd w:val="0"/>
        <w:snapToGrid w:val="0"/>
        <w:spacing w:line="360" w:lineRule="auto"/>
        <w:ind w:firstLine="422" w:firstLineChars="200"/>
        <w:rPr>
          <w:rFonts w:ascii="宋体" w:hAnsi="宋体"/>
          <w:b/>
          <w:bCs/>
          <w:szCs w:val="21"/>
        </w:rPr>
      </w:pP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w:t>
      </w:r>
      <w:bookmarkStart w:id="8" w:name="_GoBack"/>
      <w:bookmarkEnd w:id="8"/>
      <w:r>
        <w:rPr>
          <w:rFonts w:hint="eastAsia" w:ascii="宋体" w:hAnsi="宋体"/>
          <w:b/>
          <w:szCs w:val="21"/>
        </w:rPr>
        <w:t>履约验收标准</w:t>
      </w:r>
    </w:p>
    <w:bookmarkEnd w:id="1"/>
    <w:bookmarkEnd w:id="2"/>
    <w:bookmarkEnd w:id="3"/>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6"/>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CE0B7"/>
    <w:multiLevelType w:val="singleLevel"/>
    <w:tmpl w:val="239CE0B7"/>
    <w:lvl w:ilvl="0" w:tentative="0">
      <w:start w:val="1"/>
      <w:numFmt w:val="decimal"/>
      <w:suff w:val="nothing"/>
      <w:lvlText w:val="%1、"/>
      <w:lvlJc w:val="left"/>
    </w:lvl>
  </w:abstractNum>
  <w:abstractNum w:abstractNumId="1">
    <w:nsid w:val="7D22259B"/>
    <w:multiLevelType w:val="singleLevel"/>
    <w:tmpl w:val="7D22259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2B63"/>
    <w:rsid w:val="00094C16"/>
    <w:rsid w:val="000A209A"/>
    <w:rsid w:val="000A21C5"/>
    <w:rsid w:val="000A57A8"/>
    <w:rsid w:val="000B5F74"/>
    <w:rsid w:val="000C588B"/>
    <w:rsid w:val="000C5FD7"/>
    <w:rsid w:val="000D1438"/>
    <w:rsid w:val="000E50F5"/>
    <w:rsid w:val="000F1FA8"/>
    <w:rsid w:val="000F2A29"/>
    <w:rsid w:val="00102045"/>
    <w:rsid w:val="00103CD4"/>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8E4"/>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4007"/>
    <w:rsid w:val="002D444A"/>
    <w:rsid w:val="002D68DE"/>
    <w:rsid w:val="002D7991"/>
    <w:rsid w:val="002D7EBC"/>
    <w:rsid w:val="002E1EFE"/>
    <w:rsid w:val="002F0BEB"/>
    <w:rsid w:val="002F43CA"/>
    <w:rsid w:val="002F5B2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36446"/>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1198"/>
    <w:rsid w:val="003A243E"/>
    <w:rsid w:val="003B1B61"/>
    <w:rsid w:val="003B4712"/>
    <w:rsid w:val="003C207F"/>
    <w:rsid w:val="003C277F"/>
    <w:rsid w:val="003C6171"/>
    <w:rsid w:val="003C6451"/>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275A2"/>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4F4467"/>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05F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21FD"/>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23B70"/>
    <w:rsid w:val="00634FF1"/>
    <w:rsid w:val="00636F27"/>
    <w:rsid w:val="00640733"/>
    <w:rsid w:val="00641FEB"/>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E7E4D"/>
    <w:rsid w:val="007F1338"/>
    <w:rsid w:val="007F2546"/>
    <w:rsid w:val="007F4BD9"/>
    <w:rsid w:val="007F4C10"/>
    <w:rsid w:val="007F5C59"/>
    <w:rsid w:val="00800E12"/>
    <w:rsid w:val="00801053"/>
    <w:rsid w:val="0080610F"/>
    <w:rsid w:val="00810968"/>
    <w:rsid w:val="00811918"/>
    <w:rsid w:val="0081451F"/>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4BFD"/>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41B3"/>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64A09"/>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E1F6C"/>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52CD7"/>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16F8"/>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505B"/>
    <w:rsid w:val="00B97895"/>
    <w:rsid w:val="00BA115A"/>
    <w:rsid w:val="00BA1466"/>
    <w:rsid w:val="00BA15B5"/>
    <w:rsid w:val="00BA359E"/>
    <w:rsid w:val="00BA6CF4"/>
    <w:rsid w:val="00BB03C1"/>
    <w:rsid w:val="00BB2053"/>
    <w:rsid w:val="00BB469B"/>
    <w:rsid w:val="00BB7A38"/>
    <w:rsid w:val="00BC04A3"/>
    <w:rsid w:val="00BC31D8"/>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0DF9"/>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29EB"/>
    <w:rsid w:val="00D6619A"/>
    <w:rsid w:val="00D7490B"/>
    <w:rsid w:val="00D76AA8"/>
    <w:rsid w:val="00D8060D"/>
    <w:rsid w:val="00D81319"/>
    <w:rsid w:val="00D8247A"/>
    <w:rsid w:val="00D82B79"/>
    <w:rsid w:val="00D87F17"/>
    <w:rsid w:val="00D94396"/>
    <w:rsid w:val="00D97FEA"/>
    <w:rsid w:val="00DA1B3C"/>
    <w:rsid w:val="00DA2BF3"/>
    <w:rsid w:val="00DA41FA"/>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1F89"/>
    <w:rsid w:val="00EB42C3"/>
    <w:rsid w:val="00EB5304"/>
    <w:rsid w:val="00ED27A4"/>
    <w:rsid w:val="00ED5154"/>
    <w:rsid w:val="00EE2CE9"/>
    <w:rsid w:val="00EE39D9"/>
    <w:rsid w:val="00EF15DB"/>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3ED3407"/>
    <w:rsid w:val="0B024724"/>
    <w:rsid w:val="161B6ECE"/>
    <w:rsid w:val="1BC72B84"/>
    <w:rsid w:val="2CE8498D"/>
    <w:rsid w:val="31A41067"/>
    <w:rsid w:val="35BD19B1"/>
    <w:rsid w:val="37116B84"/>
    <w:rsid w:val="398001A6"/>
    <w:rsid w:val="3B2C30A6"/>
    <w:rsid w:val="493F7B37"/>
    <w:rsid w:val="4FAF6015"/>
    <w:rsid w:val="57F25EBD"/>
    <w:rsid w:val="64854456"/>
    <w:rsid w:val="6642167B"/>
    <w:rsid w:val="6926682E"/>
    <w:rsid w:val="6D632E87"/>
    <w:rsid w:val="761B33ED"/>
    <w:rsid w:val="79224A9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Plain Text"/>
    <w:basedOn w:val="1"/>
    <w:link w:val="18"/>
    <w:qFormat/>
    <w:uiPriority w:val="0"/>
    <w:rPr>
      <w:rFonts w:ascii="宋体" w:hAnsi="Courier New" w:cstheme="minorBidi"/>
      <w:szCs w:val="22"/>
    </w:rPr>
  </w:style>
  <w:style w:type="paragraph" w:styleId="5">
    <w:name w:val="Balloon Text"/>
    <w:basedOn w:val="1"/>
    <w:link w:val="26"/>
    <w:semiHidden/>
    <w:unhideWhenUsed/>
    <w:qFormat/>
    <w:uiPriority w:val="99"/>
    <w:rPr>
      <w:sz w:val="18"/>
      <w:szCs w:val="18"/>
    </w:rPr>
  </w:style>
  <w:style w:type="paragraph" w:styleId="6">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Title"/>
    <w:basedOn w:val="1"/>
    <w:link w:val="20"/>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纯文本 字符"/>
    <w:link w:val="4"/>
    <w:qFormat/>
    <w:uiPriority w:val="0"/>
    <w:rPr>
      <w:rFonts w:ascii="宋体" w:hAnsi="Courier New" w:eastAsia="宋体"/>
    </w:rPr>
  </w:style>
  <w:style w:type="character" w:customStyle="1" w:styleId="19">
    <w:name w:val="页脚 字符"/>
    <w:link w:val="6"/>
    <w:qFormat/>
    <w:uiPriority w:val="0"/>
    <w:rPr>
      <w:sz w:val="18"/>
    </w:rPr>
  </w:style>
  <w:style w:type="character" w:customStyle="1" w:styleId="20">
    <w:name w:val="标题 字符"/>
    <w:link w:val="9"/>
    <w:qFormat/>
    <w:uiPriority w:val="0"/>
    <w:rPr>
      <w:rFonts w:ascii="Arial" w:hAnsi="Arial" w:eastAsia="宋体" w:cs="Arial"/>
      <w:b/>
      <w:bCs/>
      <w:sz w:val="32"/>
      <w:szCs w:val="32"/>
    </w:rPr>
  </w:style>
  <w:style w:type="character" w:customStyle="1" w:styleId="21">
    <w:name w:val="页脚 Char"/>
    <w:basedOn w:val="13"/>
    <w:semiHidden/>
    <w:qFormat/>
    <w:uiPriority w:val="99"/>
    <w:rPr>
      <w:rFonts w:ascii="Times New Roman" w:hAnsi="Times New Roman" w:eastAsia="宋体" w:cs="Times New Roman"/>
      <w:sz w:val="18"/>
      <w:szCs w:val="18"/>
    </w:rPr>
  </w:style>
  <w:style w:type="character" w:customStyle="1" w:styleId="22">
    <w:name w:val="标题 Char"/>
    <w:basedOn w:val="13"/>
    <w:qFormat/>
    <w:uiPriority w:val="10"/>
    <w:rPr>
      <w:rFonts w:eastAsia="宋体" w:asciiTheme="majorHAnsi" w:hAnsiTheme="majorHAnsi" w:cstheme="majorBidi"/>
      <w:b/>
      <w:bCs/>
      <w:sz w:val="32"/>
      <w:szCs w:val="32"/>
    </w:rPr>
  </w:style>
  <w:style w:type="character" w:customStyle="1" w:styleId="23">
    <w:name w:val="纯文本 Char"/>
    <w:basedOn w:val="13"/>
    <w:semiHidden/>
    <w:qFormat/>
    <w:uiPriority w:val="99"/>
    <w:rPr>
      <w:rFonts w:ascii="宋体" w:hAnsi="Courier New" w:eastAsia="宋体" w:cs="Courier New"/>
      <w:szCs w:val="21"/>
    </w:rPr>
  </w:style>
  <w:style w:type="character" w:customStyle="1" w:styleId="24">
    <w:name w:val="页眉 字符"/>
    <w:basedOn w:val="13"/>
    <w:link w:val="7"/>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3"/>
    <w:link w:val="5"/>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3"/>
    <w:link w:val="3"/>
    <w:semiHidden/>
    <w:qFormat/>
    <w:uiPriority w:val="99"/>
    <w:rPr>
      <w:rFonts w:ascii="Times New Roman" w:hAnsi="Times New Roman" w:eastAsia="宋体" w:cs="Times New Roman"/>
      <w:kern w:val="2"/>
      <w:sz w:val="21"/>
    </w:rPr>
  </w:style>
  <w:style w:type="character" w:customStyle="1" w:styleId="29">
    <w:name w:val="批注主题 字符"/>
    <w:basedOn w:val="28"/>
    <w:link w:val="10"/>
    <w:semiHidden/>
    <w:qFormat/>
    <w:uiPriority w:val="99"/>
    <w:rPr>
      <w:rFonts w:ascii="Times New Roman" w:hAnsi="Times New Roman" w:eastAsia="宋体" w:cs="Times New Roman"/>
      <w:b/>
      <w:bCs/>
      <w:kern w:val="2"/>
      <w:sz w:val="21"/>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customStyle="1" w:styleId="3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9489-3D9A-47A8-BF0C-2F8602EFC34C}">
  <ds:schemaRefs/>
</ds:datastoreItem>
</file>

<file path=docProps/app.xml><?xml version="1.0" encoding="utf-8"?>
<Properties xmlns="http://schemas.openxmlformats.org/officeDocument/2006/extended-properties" xmlns:vt="http://schemas.openxmlformats.org/officeDocument/2006/docPropsVTypes">
  <Template>Normal</Template>
  <Pages>5</Pages>
  <Words>3983</Words>
  <Characters>4165</Characters>
  <Lines>33</Lines>
  <Paragraphs>9</Paragraphs>
  <TotalTime>0</TotalTime>
  <ScaleCrop>false</ScaleCrop>
  <LinksUpToDate>false</LinksUpToDate>
  <CharactersWithSpaces>4522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张沛雨</cp:lastModifiedBy>
  <dcterms:modified xsi:type="dcterms:W3CDTF">2026-05-21T15:33:23Z</dcterms:modified>
  <cp:revision>731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F2C611AD2EA34425BC9981E876278408_13</vt:lpwstr>
  </property>
  <property fmtid="{D5CDD505-2E9C-101B-9397-08002B2CF9AE}" pid="4" name="KSOTemplateDocerSaveRecord">
    <vt:lpwstr>eyJoZGlkIjoiMzFmZDYyZjYwMzRiN2ExYjQ2NjBmYWQ3NWI0ODM4NmUiLCJ1c2VySWQiOiI5ODA4NTA4OTIifQ==</vt:lpwstr>
  </property>
</Properties>
</file>