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4FF20">
      <w:pPr>
        <w:pStyle w:val="7"/>
        <w:adjustRightInd w:val="0"/>
        <w:snapToGrid w:val="0"/>
        <w:spacing w:before="0" w:after="0" w:line="360" w:lineRule="auto"/>
        <w:outlineLvl w:val="9"/>
        <w:rPr>
          <w:rFonts w:ascii="方正小标宋简体" w:hAnsi="宋体" w:eastAsia="方正小标宋简体"/>
          <w:b w:val="0"/>
          <w:bCs w:val="0"/>
          <w:sz w:val="36"/>
        </w:rPr>
      </w:pPr>
      <w:bookmarkStart w:id="0" w:name="_Toc38367762"/>
      <w:r>
        <w:rPr>
          <w:rFonts w:hint="eastAsia" w:ascii="方正小标宋简体" w:hAnsi="宋体" w:eastAsia="方正小标宋简体"/>
          <w:b w:val="0"/>
          <w:bCs w:val="0"/>
          <w:sz w:val="36"/>
        </w:rPr>
        <w:t>【继续教育学院翠华校区餐饮管理服务】采购需求</w:t>
      </w:r>
      <w:bookmarkEnd w:id="0"/>
    </w:p>
    <w:p w14:paraId="77C2D7A7">
      <w:pPr>
        <w:tabs>
          <w:tab w:val="left" w:pos="900"/>
        </w:tabs>
        <w:adjustRightInd w:val="0"/>
        <w:snapToGrid w:val="0"/>
        <w:spacing w:line="360" w:lineRule="auto"/>
        <w:ind w:firstLine="422" w:firstLineChars="200"/>
        <w:rPr>
          <w:b/>
          <w:szCs w:val="21"/>
        </w:rPr>
      </w:pPr>
      <w:bookmarkStart w:id="1" w:name="_Toc158978330"/>
      <w:bookmarkStart w:id="2" w:name="_Toc172360661"/>
      <w:bookmarkStart w:id="3" w:name="_Toc219271393"/>
      <w:r>
        <w:rPr>
          <w:rFonts w:hint="eastAsia" w:hAnsi="宋体"/>
          <w:b/>
          <w:szCs w:val="21"/>
        </w:rPr>
        <w:t>一、</w:t>
      </w:r>
      <w:r>
        <w:rPr>
          <w:rFonts w:hAnsi="宋体"/>
          <w:b/>
          <w:szCs w:val="21"/>
        </w:rPr>
        <w:t>采购</w:t>
      </w:r>
      <w:r>
        <w:rPr>
          <w:rFonts w:hint="eastAsia" w:hAnsi="宋体"/>
          <w:b/>
          <w:szCs w:val="21"/>
        </w:rPr>
        <w:t>标的</w:t>
      </w:r>
      <w:r>
        <w:rPr>
          <w:rFonts w:hAnsi="宋体"/>
          <w:b/>
          <w:szCs w:val="21"/>
        </w:rPr>
        <w:t>需实现的功能或者目标，以及为落实政府采购政策需满足的要求：</w:t>
      </w:r>
    </w:p>
    <w:p w14:paraId="08D81523">
      <w:pPr>
        <w:tabs>
          <w:tab w:val="left" w:pos="900"/>
        </w:tabs>
        <w:adjustRightInd w:val="0"/>
        <w:snapToGrid w:val="0"/>
        <w:spacing w:line="360" w:lineRule="auto"/>
        <w:ind w:firstLine="422" w:firstLineChars="200"/>
        <w:rPr>
          <w:b/>
          <w:szCs w:val="21"/>
        </w:rPr>
      </w:pPr>
      <w:r>
        <w:rPr>
          <w:rFonts w:hAnsi="宋体"/>
          <w:b/>
          <w:szCs w:val="21"/>
        </w:rPr>
        <w:t>（一）采购</w:t>
      </w:r>
      <w:r>
        <w:rPr>
          <w:rFonts w:hint="eastAsia" w:hAnsi="宋体"/>
          <w:b/>
          <w:szCs w:val="21"/>
        </w:rPr>
        <w:t>标的</w:t>
      </w:r>
      <w:r>
        <w:rPr>
          <w:rFonts w:hAnsi="宋体"/>
          <w:b/>
          <w:szCs w:val="21"/>
        </w:rPr>
        <w:t>需实现的功能或者目标</w:t>
      </w:r>
    </w:p>
    <w:p w14:paraId="3E2A566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u w:val="single"/>
        </w:rPr>
        <w:t>为满足培训学员就餐需求（约1.2万人/年），保证食品安全、生产加工链安全，采购一家符合需求的餐饮管理服务供应商。</w:t>
      </w:r>
    </w:p>
    <w:p w14:paraId="7E45FA3A">
      <w:pPr>
        <w:tabs>
          <w:tab w:val="left" w:pos="900"/>
        </w:tabs>
        <w:adjustRightInd w:val="0"/>
        <w:snapToGrid w:val="0"/>
        <w:spacing w:line="360" w:lineRule="auto"/>
        <w:ind w:firstLine="422" w:firstLineChars="200"/>
        <w:rPr>
          <w:b/>
          <w:szCs w:val="21"/>
        </w:rPr>
      </w:pPr>
      <w:r>
        <w:rPr>
          <w:rFonts w:hAnsi="宋体"/>
          <w:b/>
          <w:szCs w:val="21"/>
        </w:rPr>
        <w:t>（二）政府采购政策</w:t>
      </w:r>
      <w:r>
        <w:rPr>
          <w:rFonts w:hint="eastAsia" w:hAnsi="宋体"/>
          <w:b/>
          <w:szCs w:val="21"/>
        </w:rPr>
        <w:t>落实</w:t>
      </w:r>
      <w:r>
        <w:rPr>
          <w:rFonts w:hAnsi="宋体"/>
          <w:b/>
          <w:szCs w:val="21"/>
        </w:rPr>
        <w:t>要求</w:t>
      </w:r>
    </w:p>
    <w:p w14:paraId="5D9D7DE0">
      <w:pPr>
        <w:tabs>
          <w:tab w:val="left" w:pos="900"/>
        </w:tabs>
        <w:adjustRightInd w:val="0"/>
        <w:snapToGrid w:val="0"/>
        <w:spacing w:line="360" w:lineRule="auto"/>
        <w:ind w:firstLine="420" w:firstLineChars="200"/>
        <w:rPr>
          <w:rFonts w:hAnsi="宋体"/>
          <w:szCs w:val="21"/>
        </w:rPr>
      </w:pPr>
      <w:r>
        <w:rPr>
          <w:rFonts w:hint="eastAsia" w:hAnsi="宋体"/>
          <w:szCs w:val="24"/>
        </w:rPr>
        <w:t>1</w:t>
      </w:r>
      <w:r>
        <w:rPr>
          <w:rFonts w:hAnsi="宋体"/>
          <w:szCs w:val="24"/>
        </w:rPr>
        <w:t xml:space="preserve">. </w:t>
      </w:r>
      <w:r>
        <w:rPr>
          <w:rFonts w:hint="eastAsia" w:hAnsi="宋体"/>
          <w:szCs w:val="24"/>
        </w:rPr>
        <w:t>中小企业扶持政策：</w:t>
      </w:r>
      <w:r>
        <w:rPr>
          <w:rFonts w:hAnsi="宋体"/>
          <w:szCs w:val="24"/>
        </w:rPr>
        <w:t>根据</w:t>
      </w:r>
      <w:r>
        <w:rPr>
          <w:rFonts w:hAnsi="宋体"/>
        </w:rPr>
        <w:t>《政府采购促进中小企业发展管理办法》</w:t>
      </w:r>
      <w:r>
        <w:rPr>
          <w:rFonts w:hint="eastAsia" w:hAnsi="宋体"/>
        </w:rPr>
        <w:t>（财库〔2</w:t>
      </w:r>
      <w:r>
        <w:rPr>
          <w:rFonts w:hAnsi="宋体"/>
        </w:rPr>
        <w:t>020</w:t>
      </w:r>
      <w:r>
        <w:rPr>
          <w:rFonts w:hint="eastAsia" w:hAnsi="宋体"/>
        </w:rPr>
        <w:t>〕4</w:t>
      </w:r>
      <w:r>
        <w:rPr>
          <w:rFonts w:hAnsi="宋体"/>
        </w:rPr>
        <w:t>6</w:t>
      </w:r>
      <w:r>
        <w:rPr>
          <w:rFonts w:hint="eastAsia" w:hAnsi="宋体"/>
        </w:rPr>
        <w:t>号）</w:t>
      </w:r>
      <w:r>
        <w:rPr>
          <w:rFonts w:hAnsi="宋体"/>
        </w:rPr>
        <w:t>规定，本项目</w:t>
      </w:r>
      <w:r>
        <w:rPr>
          <w:rFonts w:hint="eastAsia" w:hAnsi="宋体"/>
        </w:rPr>
        <w:t>采购标的</w:t>
      </w:r>
      <w:r>
        <w:rPr>
          <w:rFonts w:hAnsi="宋体"/>
        </w:rPr>
        <w:t>为</w:t>
      </w:r>
      <w:r>
        <w:rPr>
          <w:rFonts w:hint="eastAsia" w:hAnsi="宋体"/>
        </w:rPr>
        <w:t>中小</w:t>
      </w:r>
      <w:r>
        <w:rPr>
          <w:rFonts w:hAnsi="宋体"/>
        </w:rPr>
        <w:t>型企业</w:t>
      </w:r>
      <w:r>
        <w:rPr>
          <w:rFonts w:hint="eastAsia" w:hAnsi="宋体"/>
        </w:rPr>
        <w:t>制造、承建或承接</w:t>
      </w:r>
      <w:r>
        <w:rPr>
          <w:rFonts w:hAnsi="宋体"/>
          <w:szCs w:val="24"/>
        </w:rPr>
        <w:t>的，</w:t>
      </w:r>
      <w:r>
        <w:rPr>
          <w:rFonts w:hAnsi="宋体"/>
        </w:rPr>
        <w:t>投标人应</w:t>
      </w:r>
      <w:r>
        <w:rPr>
          <w:rFonts w:hint="eastAsia" w:hAnsi="宋体"/>
        </w:rPr>
        <w:t>提供办法规定的</w:t>
      </w:r>
      <w:r>
        <w:rPr>
          <w:rFonts w:hAnsi="宋体"/>
          <w:szCs w:val="21"/>
        </w:rPr>
        <w:t>《中小企业声明函》</w:t>
      </w:r>
      <w:r>
        <w:rPr>
          <w:rFonts w:hint="eastAsia" w:hAnsi="宋体"/>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10E82A49">
      <w:pPr>
        <w:tabs>
          <w:tab w:val="left" w:pos="900"/>
        </w:tabs>
        <w:adjustRightInd w:val="0"/>
        <w:snapToGrid w:val="0"/>
        <w:spacing w:line="360" w:lineRule="auto"/>
        <w:ind w:firstLine="420" w:firstLineChars="200"/>
        <w:rPr>
          <w:rFonts w:hAnsi="宋体"/>
          <w:szCs w:val="24"/>
        </w:rPr>
      </w:pPr>
      <w:r>
        <w:rPr>
          <w:rFonts w:hint="eastAsia" w:hAnsi="宋体"/>
          <w:szCs w:val="24"/>
        </w:rPr>
        <w:t>本项目</w:t>
      </w:r>
      <w:bookmarkStart w:id="4" w:name="OLE_LINK23"/>
      <w:r>
        <w:rPr>
          <w:rFonts w:hint="eastAsia" w:hAnsi="宋体"/>
          <w:szCs w:val="24"/>
        </w:rPr>
        <w:t>采购标的对应的《中小企业划型标准规定》所属行业</w:t>
      </w:r>
      <w:bookmarkEnd w:id="4"/>
      <w:r>
        <w:rPr>
          <w:rFonts w:hint="eastAsia" w:hAnsi="宋体"/>
          <w:szCs w:val="24"/>
        </w:rPr>
        <w:t>为：</w:t>
      </w:r>
      <w:r>
        <w:rPr>
          <w:rFonts w:hint="eastAsia" w:hAnsi="宋体"/>
          <w:szCs w:val="24"/>
          <w:u w:val="single"/>
        </w:rPr>
        <w:t xml:space="preserve"> </w:t>
      </w:r>
      <w:r>
        <w:rPr>
          <w:rFonts w:hAnsi="宋体"/>
          <w:szCs w:val="24"/>
          <w:u w:val="single"/>
        </w:rPr>
        <w:t xml:space="preserve">  </w:t>
      </w:r>
      <w:r>
        <w:rPr>
          <w:rFonts w:hint="eastAsia" w:hAnsi="宋体"/>
          <w:szCs w:val="24"/>
          <w:u w:val="single"/>
        </w:rPr>
        <w:t>餐饮业</w:t>
      </w:r>
      <w:r>
        <w:rPr>
          <w:rFonts w:hAnsi="宋体"/>
          <w:szCs w:val="24"/>
          <w:u w:val="single"/>
        </w:rPr>
        <w:t xml:space="preserve">   </w:t>
      </w:r>
      <w:r>
        <w:rPr>
          <w:rFonts w:hAnsi="宋体"/>
          <w:szCs w:val="24"/>
        </w:rPr>
        <w:t xml:space="preserve">  </w:t>
      </w:r>
      <w:r>
        <w:rPr>
          <w:rFonts w:hint="eastAsia" w:hAnsi="宋体"/>
          <w:szCs w:val="24"/>
        </w:rPr>
        <w:t>。</w:t>
      </w:r>
    </w:p>
    <w:p w14:paraId="34515769">
      <w:pPr>
        <w:tabs>
          <w:tab w:val="left" w:pos="900"/>
        </w:tabs>
        <w:adjustRightInd w:val="0"/>
        <w:snapToGrid w:val="0"/>
        <w:spacing w:line="360" w:lineRule="auto"/>
        <w:ind w:firstLine="420" w:firstLineChars="200"/>
        <w:rPr>
          <w:rFonts w:hAnsi="宋体"/>
          <w:szCs w:val="24"/>
        </w:rPr>
      </w:pPr>
      <w:r>
        <w:rPr>
          <w:rFonts w:hAnsi="宋体"/>
          <w:szCs w:val="24"/>
        </w:rPr>
        <w:t xml:space="preserve">2. </w:t>
      </w:r>
      <w:r>
        <w:rPr>
          <w:rFonts w:hint="eastAsia" w:hAnsi="宋体"/>
          <w:szCs w:val="24"/>
        </w:rPr>
        <w:t>进口产品政策：本采购项目</w:t>
      </w:r>
      <w:r>
        <w:rPr>
          <w:rFonts w:hAnsi="宋体"/>
          <w:szCs w:val="24"/>
        </w:rPr>
        <w:t xml:space="preserve"> </w:t>
      </w:r>
      <w:r>
        <w:rPr>
          <w:rFonts w:hint="eastAsia" w:hAnsi="宋体"/>
          <w:szCs w:val="24"/>
        </w:rPr>
        <w:t>□允许</w:t>
      </w:r>
      <w:r>
        <w:rPr>
          <w:rFonts w:hAnsi="宋体"/>
          <w:szCs w:val="24"/>
        </w:rPr>
        <w:t xml:space="preserve"> </w:t>
      </w:r>
      <w:r>
        <w:rPr>
          <w:rFonts w:hint="eastAsia" w:hAnsi="宋体"/>
          <w:szCs w:val="24"/>
        </w:rPr>
        <w:t>☑不允许</w:t>
      </w:r>
      <w:r>
        <w:rPr>
          <w:rFonts w:hAnsi="宋体"/>
          <w:szCs w:val="24"/>
        </w:rPr>
        <w:t xml:space="preserve"> </w:t>
      </w:r>
      <w:r>
        <w:rPr>
          <w:rFonts w:hint="eastAsia" w:hAnsi="宋体"/>
          <w:szCs w:val="24"/>
        </w:rPr>
        <w:t>进口产品参加。（未进行勾选的，视为只接受本国产品参加）</w:t>
      </w:r>
    </w:p>
    <w:p w14:paraId="3A979E91">
      <w:pPr>
        <w:tabs>
          <w:tab w:val="left" w:pos="900"/>
        </w:tabs>
        <w:adjustRightInd w:val="0"/>
        <w:snapToGrid w:val="0"/>
        <w:spacing w:line="360" w:lineRule="auto"/>
        <w:ind w:firstLine="422" w:firstLineChars="200"/>
        <w:rPr>
          <w:rFonts w:hAnsi="宋体"/>
          <w:b/>
          <w:szCs w:val="21"/>
        </w:rPr>
      </w:pPr>
      <w:r>
        <w:rPr>
          <w:rFonts w:hint="eastAsia" w:hAnsi="宋体"/>
          <w:b/>
          <w:szCs w:val="21"/>
        </w:rPr>
        <w:t>二、</w:t>
      </w:r>
      <w:r>
        <w:rPr>
          <w:rFonts w:hAnsi="宋体"/>
          <w:b/>
          <w:szCs w:val="21"/>
        </w:rPr>
        <w:t>采购</w:t>
      </w:r>
      <w:r>
        <w:rPr>
          <w:rFonts w:hint="eastAsia" w:hAnsi="宋体"/>
          <w:b/>
          <w:szCs w:val="21"/>
        </w:rPr>
        <w:t>标的</w:t>
      </w:r>
      <w:r>
        <w:rPr>
          <w:rFonts w:hAnsi="宋体"/>
          <w:b/>
          <w:szCs w:val="21"/>
        </w:rPr>
        <w:t>需执行的国家相关标准、行业标准、地方标准或者其他标准、规范：</w:t>
      </w:r>
    </w:p>
    <w:p w14:paraId="65AAFC29">
      <w:pPr>
        <w:tabs>
          <w:tab w:val="left" w:pos="900"/>
        </w:tabs>
        <w:adjustRightInd w:val="0"/>
        <w:snapToGrid w:val="0"/>
        <w:spacing w:line="360" w:lineRule="auto"/>
        <w:ind w:firstLine="420" w:firstLineChars="200"/>
        <w:rPr>
          <w:szCs w:val="21"/>
        </w:rPr>
      </w:pPr>
      <w:r>
        <w:rPr>
          <w:rFonts w:hint="eastAsia"/>
          <w:szCs w:val="21"/>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7D96B9F">
      <w:pPr>
        <w:adjustRightInd w:val="0"/>
        <w:snapToGrid w:val="0"/>
        <w:spacing w:line="360" w:lineRule="auto"/>
        <w:ind w:firstLine="440" w:firstLineChars="200"/>
        <w:rPr>
          <w:rFonts w:ascii="楷体" w:hAnsi="楷体" w:eastAsia="楷体"/>
          <w:sz w:val="22"/>
          <w:szCs w:val="22"/>
          <w:u w:val="single"/>
        </w:rPr>
      </w:pPr>
      <w:r>
        <w:rPr>
          <w:rFonts w:hint="eastAsia" w:ascii="楷体" w:hAnsi="楷体" w:eastAsia="楷体"/>
          <w:sz w:val="22"/>
          <w:szCs w:val="22"/>
          <w:u w:val="single"/>
        </w:rPr>
        <w:t>严格遵守国家有关环保、节能、卫生、防疫、食品、消防、规划等法律法规，各项证照齐全合格。严格遵守《中华人民共和国食品安全法》《中华人民共和国食品安全实施条例》《学校食品安全与营养健康管理规定》《餐饮服务食品安全操作规范》。</w:t>
      </w:r>
    </w:p>
    <w:p w14:paraId="4D759371">
      <w:pPr>
        <w:adjustRightInd w:val="0"/>
        <w:snapToGrid w:val="0"/>
        <w:spacing w:line="360" w:lineRule="auto"/>
        <w:ind w:firstLine="442" w:firstLineChars="200"/>
        <w:rPr>
          <w:rFonts w:hint="eastAsia" w:ascii="楷体" w:hAnsi="楷体" w:eastAsia="楷体"/>
          <w:color w:val="FF0000"/>
          <w:sz w:val="22"/>
          <w:szCs w:val="22"/>
          <w:lang w:val="en-US" w:eastAsia="zh-CN"/>
        </w:rPr>
      </w:pPr>
      <w:r>
        <w:rPr>
          <w:rFonts w:hint="eastAsia" w:ascii="楷体" w:hAnsi="楷体" w:eastAsia="楷体"/>
          <w:b/>
          <w:bCs/>
          <w:sz w:val="22"/>
          <w:szCs w:val="22"/>
          <w:u w:val="single"/>
        </w:rPr>
        <w:t>资质要求：营业执照、食品经营许可证</w:t>
      </w:r>
      <w:r>
        <w:rPr>
          <w:rFonts w:hint="eastAsia" w:ascii="楷体" w:hAnsi="楷体" w:eastAsia="楷体"/>
          <w:b/>
          <w:bCs/>
          <w:sz w:val="22"/>
          <w:szCs w:val="22"/>
          <w:u w:val="single"/>
          <w:lang w:val="en-US" w:eastAsia="zh-CN"/>
        </w:rPr>
        <w:t xml:space="preserve"> </w:t>
      </w:r>
      <w:bookmarkStart w:id="18" w:name="_GoBack"/>
      <w:bookmarkEnd w:id="18"/>
    </w:p>
    <w:p w14:paraId="5A8FCC1C">
      <w:pPr>
        <w:tabs>
          <w:tab w:val="left" w:pos="900"/>
        </w:tabs>
        <w:adjustRightInd w:val="0"/>
        <w:snapToGrid w:val="0"/>
        <w:spacing w:line="360" w:lineRule="auto"/>
        <w:ind w:firstLine="422" w:firstLineChars="200"/>
        <w:rPr>
          <w:rFonts w:hAnsi="宋体"/>
          <w:b/>
          <w:szCs w:val="21"/>
        </w:rPr>
      </w:pPr>
      <w:r>
        <w:rPr>
          <w:rFonts w:hint="eastAsia" w:hAnsi="宋体"/>
          <w:b/>
          <w:szCs w:val="21"/>
        </w:rPr>
        <w:t>三、采购标的概况</w:t>
      </w:r>
    </w:p>
    <w:p w14:paraId="599624B6">
      <w:pPr>
        <w:adjustRightInd w:val="0"/>
        <w:snapToGrid w:val="0"/>
        <w:spacing w:line="360" w:lineRule="auto"/>
        <w:ind w:firstLine="420" w:firstLineChars="200"/>
        <w:rPr>
          <w:rFonts w:hAnsi="宋体"/>
          <w:szCs w:val="21"/>
        </w:rPr>
      </w:pPr>
      <w:r>
        <w:rPr>
          <w:rFonts w:hint="eastAsia" w:ascii="宋体" w:hAnsi="宋体"/>
          <w:szCs w:val="21"/>
        </w:rPr>
        <w:t>（一）采购项目名称：</w:t>
      </w:r>
      <w:r>
        <w:rPr>
          <w:rFonts w:hint="eastAsia" w:ascii="宋体" w:hAnsi="宋体"/>
          <w:szCs w:val="21"/>
          <w:u w:val="single"/>
        </w:rPr>
        <w:t xml:space="preserve"> 继续教育学院翠华校区餐饮管理服务</w:t>
      </w:r>
      <w:r>
        <w:rPr>
          <w:rFonts w:ascii="宋体" w:hAnsi="宋体"/>
          <w:szCs w:val="21"/>
          <w:u w:val="single"/>
        </w:rPr>
        <w:t xml:space="preserve">  </w:t>
      </w:r>
    </w:p>
    <w:p w14:paraId="700B5273">
      <w:pPr>
        <w:adjustRightInd w:val="0"/>
        <w:snapToGrid w:val="0"/>
        <w:spacing w:line="360" w:lineRule="auto"/>
        <w:ind w:firstLine="420" w:firstLineChars="200"/>
        <w:rPr>
          <w:rFonts w:hAnsi="宋体"/>
          <w:szCs w:val="21"/>
          <w:u w:val="single"/>
        </w:rPr>
      </w:pPr>
      <w:r>
        <w:rPr>
          <w:rFonts w:hint="eastAsia" w:hAnsi="宋体"/>
          <w:szCs w:val="21"/>
        </w:rPr>
        <w:t>（二）采购数量及计量单位：</w:t>
      </w:r>
      <w:r>
        <w:rPr>
          <w:rFonts w:ascii="宋体" w:hAnsi="宋体"/>
          <w:szCs w:val="21"/>
          <w:u w:val="single"/>
        </w:rPr>
        <w:t xml:space="preserve">  </w:t>
      </w:r>
      <w:r>
        <w:rPr>
          <w:rFonts w:hint="eastAsia" w:ascii="宋体" w:hAnsi="宋体"/>
          <w:szCs w:val="21"/>
          <w:u w:val="single"/>
        </w:rPr>
        <w:t>服务期限1年</w:t>
      </w:r>
      <w:r>
        <w:rPr>
          <w:rFonts w:ascii="宋体" w:hAnsi="宋体"/>
          <w:szCs w:val="21"/>
          <w:u w:val="single"/>
        </w:rPr>
        <w:t xml:space="preserve">  </w:t>
      </w:r>
    </w:p>
    <w:p w14:paraId="7D66FB09">
      <w:pPr>
        <w:adjustRightInd w:val="0"/>
        <w:snapToGrid w:val="0"/>
        <w:spacing w:line="360" w:lineRule="auto"/>
        <w:ind w:firstLine="420" w:firstLineChars="200"/>
        <w:rPr>
          <w:rFonts w:hAnsi="宋体"/>
          <w:szCs w:val="21"/>
        </w:rPr>
      </w:pPr>
      <w:r>
        <w:rPr>
          <w:rFonts w:hint="eastAsia" w:hAnsi="宋体"/>
          <w:szCs w:val="21"/>
        </w:rPr>
        <w:t>（三）最高限价：人民币</w:t>
      </w:r>
      <w:r>
        <w:rPr>
          <w:rFonts w:hint="eastAsia" w:hAnsi="宋体"/>
          <w:szCs w:val="21"/>
          <w:u w:val="single"/>
        </w:rPr>
        <w:t xml:space="preserve"> </w:t>
      </w:r>
      <w:r>
        <w:rPr>
          <w:rFonts w:hAnsi="宋体"/>
          <w:szCs w:val="21"/>
          <w:u w:val="single"/>
        </w:rPr>
        <w:t xml:space="preserve"> </w:t>
      </w:r>
      <w:r>
        <w:rPr>
          <w:rFonts w:hint="eastAsia" w:hAnsi="宋体"/>
          <w:szCs w:val="21"/>
          <w:u w:val="single"/>
        </w:rPr>
        <w:t>160万</w:t>
      </w:r>
      <w:r>
        <w:rPr>
          <w:rFonts w:hAnsi="宋体"/>
          <w:szCs w:val="21"/>
          <w:u w:val="single"/>
        </w:rPr>
        <w:t xml:space="preserve">  </w:t>
      </w:r>
      <w:r>
        <w:rPr>
          <w:rFonts w:hint="eastAsia" w:hAnsi="宋体"/>
          <w:szCs w:val="21"/>
        </w:rPr>
        <w:t>元（大写：</w:t>
      </w:r>
      <w:r>
        <w:rPr>
          <w:rFonts w:hAnsi="宋体"/>
          <w:szCs w:val="21"/>
          <w:u w:val="single"/>
        </w:rPr>
        <w:t xml:space="preserve">  </w:t>
      </w:r>
      <w:r>
        <w:rPr>
          <w:rFonts w:hint="eastAsia" w:hAnsi="宋体"/>
          <w:szCs w:val="21"/>
          <w:u w:val="single"/>
        </w:rPr>
        <w:t>壹佰陆拾万元整</w:t>
      </w:r>
      <w:r>
        <w:rPr>
          <w:rFonts w:hAnsi="宋体"/>
          <w:szCs w:val="21"/>
          <w:u w:val="single"/>
        </w:rPr>
        <w:t xml:space="preserve">   </w:t>
      </w:r>
      <w:r>
        <w:rPr>
          <w:rFonts w:hint="eastAsia" w:hAnsi="宋体"/>
          <w:szCs w:val="21"/>
        </w:rPr>
        <w:t>）</w:t>
      </w:r>
    </w:p>
    <w:p w14:paraId="6024DE27">
      <w:pPr>
        <w:adjustRightInd w:val="0"/>
        <w:snapToGrid w:val="0"/>
        <w:spacing w:line="360" w:lineRule="auto"/>
        <w:ind w:firstLine="422" w:firstLineChars="200"/>
        <w:rPr>
          <w:rFonts w:hAnsi="宋体"/>
          <w:b/>
          <w:bCs/>
          <w:szCs w:val="21"/>
        </w:rPr>
      </w:pPr>
      <w:r>
        <w:rPr>
          <w:rFonts w:hint="eastAsia" w:hAnsi="宋体"/>
          <w:b/>
          <w:bCs/>
          <w:szCs w:val="21"/>
        </w:rPr>
        <w:t>1. 投标总报价须包含招标项目范围、内容约定及以下相关费用。</w:t>
      </w:r>
    </w:p>
    <w:p w14:paraId="6E5B14E0">
      <w:pPr>
        <w:adjustRightInd w:val="0"/>
        <w:snapToGrid w:val="0"/>
        <w:spacing w:line="360" w:lineRule="auto"/>
        <w:ind w:firstLine="420" w:firstLineChars="200"/>
        <w:rPr>
          <w:rFonts w:hAnsi="宋体"/>
          <w:szCs w:val="21"/>
        </w:rPr>
      </w:pPr>
      <w:r>
        <w:rPr>
          <w:rFonts w:hint="eastAsia" w:hAnsi="宋体"/>
          <w:szCs w:val="21"/>
        </w:rPr>
        <w:t>（1）人员费用：人员薪资、社保、雇主责任险、人身意外险、其他商业险、税金、福利、补贴、劳保用品、奖励、服装、培训等费用；</w:t>
      </w:r>
    </w:p>
    <w:p w14:paraId="0640ADA6">
      <w:pPr>
        <w:adjustRightInd w:val="0"/>
        <w:snapToGrid w:val="0"/>
        <w:spacing w:line="360" w:lineRule="auto"/>
        <w:ind w:firstLine="420" w:firstLineChars="200"/>
        <w:rPr>
          <w:rFonts w:hAnsi="宋体"/>
          <w:szCs w:val="21"/>
        </w:rPr>
      </w:pPr>
      <w:r>
        <w:rPr>
          <w:rFonts w:hint="eastAsia" w:hAnsi="宋体"/>
          <w:szCs w:val="21"/>
        </w:rPr>
        <w:t>（2）食材成本：承担食材、调料采购、食品加工费用。</w:t>
      </w:r>
    </w:p>
    <w:p w14:paraId="3FB3C46D">
      <w:pPr>
        <w:adjustRightInd w:val="0"/>
        <w:snapToGrid w:val="0"/>
        <w:spacing w:line="360" w:lineRule="auto"/>
        <w:ind w:firstLine="420" w:firstLineChars="200"/>
        <w:rPr>
          <w:rFonts w:hAnsi="宋体"/>
          <w:szCs w:val="21"/>
        </w:rPr>
      </w:pPr>
      <w:r>
        <w:rPr>
          <w:rFonts w:hint="eastAsia" w:hAnsi="宋体"/>
          <w:szCs w:val="21"/>
        </w:rPr>
        <w:t>（3）餐厨设备维修保养：承担服务范围内日常维护费用单次单件单价1000元（不含）以下的各类设备的维修保养及配件更换（所使用材料不得低于原有材质标准），如：灶头、灶台、洗碗机、蒸箱、烤箱、切菜机、和面机、绞肉机、剥皮机、热水器、餐炉、电饼铛、净（软）水机、冰箱、食品留样柜、消毒柜、蒸饭车、布菲炉、灭蝇灯等；净水设备的滤芯更换（设备数量1台，要求每月定期检修、每半年更换品牌滤芯一次）。</w:t>
      </w:r>
    </w:p>
    <w:p w14:paraId="2A2F9B40">
      <w:pPr>
        <w:adjustRightInd w:val="0"/>
        <w:snapToGrid w:val="0"/>
        <w:spacing w:line="360" w:lineRule="auto"/>
        <w:ind w:firstLine="420" w:firstLineChars="200"/>
        <w:rPr>
          <w:rFonts w:hAnsi="宋体"/>
          <w:szCs w:val="21"/>
        </w:rPr>
      </w:pPr>
      <w:r>
        <w:rPr>
          <w:rFonts w:hint="eastAsia" w:hAnsi="宋体"/>
          <w:szCs w:val="21"/>
        </w:rPr>
        <w:t>（4）承担政府相关职能部门的各类年检年审、日常检查检测（含供水、锅炉、防雷、消防、油烟机及排烟管道、隔油池、燃气报警控制系统、“明厨亮灶”平台、食品安全检测、留样送检等）费用，并提供相应设施的保养维修单位的保养合同及维护记录明细（维保单位须具备相应的维保资质）。</w:t>
      </w:r>
    </w:p>
    <w:p w14:paraId="3F4E0CEC">
      <w:pPr>
        <w:adjustRightInd w:val="0"/>
        <w:snapToGrid w:val="0"/>
        <w:spacing w:line="360" w:lineRule="auto"/>
        <w:ind w:firstLine="420" w:firstLineChars="200"/>
        <w:rPr>
          <w:rFonts w:hAnsi="宋体"/>
          <w:szCs w:val="21"/>
        </w:rPr>
      </w:pPr>
      <w:r>
        <w:rPr>
          <w:rFonts w:hint="eastAsia" w:hAnsi="宋体"/>
          <w:szCs w:val="21"/>
        </w:rPr>
        <w:t>（5）配套设施养护：承担配套设施（含电梯、空调、供排水、暖气管网、电气设备、隔油池、油烟机及排烟管道等）清理养护费用。</w:t>
      </w:r>
    </w:p>
    <w:p w14:paraId="57042911">
      <w:pPr>
        <w:adjustRightInd w:val="0"/>
        <w:snapToGrid w:val="0"/>
        <w:spacing w:line="360" w:lineRule="auto"/>
        <w:ind w:firstLine="420" w:firstLineChars="200"/>
        <w:rPr>
          <w:rFonts w:hAnsi="宋体"/>
          <w:szCs w:val="21"/>
        </w:rPr>
      </w:pPr>
      <w:r>
        <w:rPr>
          <w:rFonts w:hint="eastAsia" w:hAnsi="宋体"/>
          <w:szCs w:val="21"/>
        </w:rPr>
        <w:t>（6） 低值易耗品：承担该项目的日常办公用品（纸笔、硒鼓等耗材）、清洁消杀用品（洗洁精、消毒液等）、餐具（碗、筷、抽纸、牙签）等的费用。</w:t>
      </w:r>
    </w:p>
    <w:p w14:paraId="0760B3AD">
      <w:pPr>
        <w:adjustRightInd w:val="0"/>
        <w:snapToGrid w:val="0"/>
        <w:spacing w:line="360" w:lineRule="auto"/>
        <w:ind w:firstLine="420" w:firstLineChars="200"/>
        <w:rPr>
          <w:rFonts w:hAnsi="宋体"/>
          <w:szCs w:val="21"/>
        </w:rPr>
      </w:pPr>
      <w:r>
        <w:rPr>
          <w:rFonts w:hint="eastAsia" w:hAnsi="宋体"/>
          <w:szCs w:val="21"/>
        </w:rPr>
        <w:t>（7）承担餐厅燃气费用。</w:t>
      </w:r>
    </w:p>
    <w:p w14:paraId="129C31ED">
      <w:pPr>
        <w:adjustRightInd w:val="0"/>
        <w:snapToGrid w:val="0"/>
        <w:spacing w:line="360" w:lineRule="auto"/>
        <w:ind w:firstLine="420" w:firstLineChars="200"/>
        <w:rPr>
          <w:rFonts w:hAnsi="宋体"/>
          <w:szCs w:val="21"/>
        </w:rPr>
      </w:pPr>
      <w:r>
        <w:rPr>
          <w:rFonts w:hint="eastAsia" w:hAnsi="宋体"/>
          <w:szCs w:val="21"/>
        </w:rPr>
        <w:t>（8）系统维护：</w:t>
      </w:r>
    </w:p>
    <w:p w14:paraId="474892C3">
      <w:pPr>
        <w:adjustRightInd w:val="0"/>
        <w:snapToGrid w:val="0"/>
        <w:spacing w:line="360" w:lineRule="auto"/>
        <w:ind w:firstLine="420" w:firstLineChars="200"/>
        <w:rPr>
          <w:rFonts w:hAnsi="宋体"/>
          <w:szCs w:val="21"/>
        </w:rPr>
      </w:pPr>
      <w:r>
        <w:rPr>
          <w:rFonts w:hint="eastAsia" w:hAnsi="宋体"/>
          <w:szCs w:val="21"/>
        </w:rPr>
        <w:t>①承担售饭系统及服务器的日常管理和维护费用；</w:t>
      </w:r>
    </w:p>
    <w:p w14:paraId="38E96FF9">
      <w:pPr>
        <w:adjustRightInd w:val="0"/>
        <w:snapToGrid w:val="0"/>
        <w:spacing w:line="360" w:lineRule="auto"/>
        <w:ind w:firstLine="420" w:firstLineChars="200"/>
        <w:rPr>
          <w:rFonts w:hAnsi="宋体"/>
          <w:szCs w:val="21"/>
        </w:rPr>
      </w:pPr>
      <w:r>
        <w:rPr>
          <w:rFonts w:hint="eastAsia" w:hAnsi="宋体"/>
          <w:szCs w:val="21"/>
        </w:rPr>
        <w:t>②承担燃气报警控制系统的日常管理和维保费用。</w:t>
      </w:r>
    </w:p>
    <w:p w14:paraId="04DFB25B">
      <w:pPr>
        <w:adjustRightInd w:val="0"/>
        <w:snapToGrid w:val="0"/>
        <w:spacing w:line="360" w:lineRule="auto"/>
        <w:ind w:firstLine="420" w:firstLineChars="200"/>
        <w:rPr>
          <w:rFonts w:hAnsi="宋体"/>
          <w:szCs w:val="21"/>
        </w:rPr>
      </w:pPr>
      <w:r>
        <w:rPr>
          <w:rFonts w:hint="eastAsia" w:hAnsi="宋体"/>
          <w:szCs w:val="21"/>
        </w:rPr>
        <w:t>（9）日常保洁：承担服务范围内（含餐厅、操作间、楼梯、门窗玻璃、墙地顶、灯具、家具、空调等）的日常卫生清洁。自行处理在服务过程中产生的泔水和垃圾（包括垃圾分类及外运）。</w:t>
      </w:r>
    </w:p>
    <w:p w14:paraId="77EDE92F">
      <w:pPr>
        <w:adjustRightInd w:val="0"/>
        <w:snapToGrid w:val="0"/>
        <w:spacing w:line="360" w:lineRule="auto"/>
        <w:ind w:firstLine="420" w:firstLineChars="200"/>
        <w:rPr>
          <w:rFonts w:hAnsi="宋体"/>
          <w:szCs w:val="21"/>
        </w:rPr>
      </w:pPr>
      <w:r>
        <w:rPr>
          <w:rFonts w:hint="eastAsia" w:hAnsi="宋体"/>
          <w:szCs w:val="21"/>
        </w:rPr>
        <w:t>（10）消防器材日常巡检：对公用设施（含消防栓、喷淋、烟感、通风、灭火器、消防水箱等）进行检查，并做好记录，保证设施正常运行。</w:t>
      </w:r>
    </w:p>
    <w:p w14:paraId="52E1D70A">
      <w:pPr>
        <w:adjustRightInd w:val="0"/>
        <w:snapToGrid w:val="0"/>
        <w:spacing w:line="360" w:lineRule="auto"/>
        <w:ind w:firstLine="420" w:firstLineChars="200"/>
        <w:rPr>
          <w:rFonts w:hAnsi="宋体"/>
          <w:szCs w:val="21"/>
        </w:rPr>
      </w:pPr>
      <w:r>
        <w:rPr>
          <w:rFonts w:hint="eastAsia" w:hAnsi="宋体"/>
          <w:szCs w:val="21"/>
        </w:rPr>
        <w:t>（11）承担因使用不当或故意破坏造成设备损坏的维修费用，无法维修的按照资产净值予以赔偿。</w:t>
      </w:r>
    </w:p>
    <w:p w14:paraId="728F9DB6">
      <w:pPr>
        <w:adjustRightInd w:val="0"/>
        <w:snapToGrid w:val="0"/>
        <w:spacing w:line="360" w:lineRule="auto"/>
        <w:ind w:firstLine="420" w:firstLineChars="200"/>
        <w:rPr>
          <w:rFonts w:hAnsi="宋体"/>
          <w:szCs w:val="21"/>
        </w:rPr>
      </w:pPr>
      <w:r>
        <w:rPr>
          <w:rFonts w:hint="eastAsia" w:hAnsi="宋体"/>
          <w:szCs w:val="21"/>
        </w:rPr>
        <w:t>（12）服务期满交付归还时，保证房屋、设备设施完好无损且能够正常使用及运行。若有损坏承担维修费用，无法维修或丢失的按照资产原值予以赔偿。</w:t>
      </w:r>
    </w:p>
    <w:p w14:paraId="79B656A8">
      <w:pPr>
        <w:adjustRightInd w:val="0"/>
        <w:snapToGrid w:val="0"/>
        <w:spacing w:line="360" w:lineRule="auto"/>
        <w:ind w:firstLine="422" w:firstLineChars="200"/>
        <w:rPr>
          <w:rFonts w:hAnsi="宋体"/>
          <w:b/>
          <w:bCs/>
          <w:szCs w:val="21"/>
        </w:rPr>
      </w:pPr>
      <w:r>
        <w:rPr>
          <w:rFonts w:hint="eastAsia" w:hAnsi="宋体"/>
          <w:b/>
          <w:bCs/>
          <w:szCs w:val="21"/>
        </w:rPr>
        <w:t>2. 采购人服务期内承担并支付的相关费用。</w:t>
      </w:r>
    </w:p>
    <w:p w14:paraId="3C14965D">
      <w:pPr>
        <w:adjustRightInd w:val="0"/>
        <w:snapToGrid w:val="0"/>
        <w:spacing w:line="360" w:lineRule="auto"/>
        <w:ind w:firstLine="420" w:firstLineChars="200"/>
        <w:rPr>
          <w:rFonts w:hAnsi="宋体"/>
          <w:szCs w:val="21"/>
        </w:rPr>
      </w:pPr>
      <w:r>
        <w:rPr>
          <w:rFonts w:hint="eastAsia" w:hAnsi="宋体"/>
          <w:szCs w:val="21"/>
        </w:rPr>
        <w:t>（1）承担单件单价1000元（含）以上材料的维修费用，但因投标人操作不当损坏的由投标人承担。</w:t>
      </w:r>
    </w:p>
    <w:p w14:paraId="6FD386B0">
      <w:pPr>
        <w:adjustRightInd w:val="0"/>
        <w:snapToGrid w:val="0"/>
        <w:spacing w:line="360" w:lineRule="auto"/>
        <w:ind w:firstLine="420" w:firstLineChars="200"/>
        <w:rPr>
          <w:rFonts w:hAnsi="宋体"/>
          <w:szCs w:val="21"/>
        </w:rPr>
      </w:pPr>
      <w:r>
        <w:rPr>
          <w:rFonts w:hint="eastAsia" w:hAnsi="宋体"/>
          <w:szCs w:val="21"/>
        </w:rPr>
        <w:t>（2）楼宇、消防主管线及设施、天燃气主管线及计量设施设备的维修保养。</w:t>
      </w:r>
    </w:p>
    <w:p w14:paraId="513B1551">
      <w:pPr>
        <w:adjustRightInd w:val="0"/>
        <w:snapToGrid w:val="0"/>
        <w:spacing w:line="360" w:lineRule="auto"/>
        <w:ind w:firstLine="420" w:firstLineChars="200"/>
        <w:rPr>
          <w:rFonts w:hAnsi="宋体"/>
          <w:szCs w:val="21"/>
        </w:rPr>
      </w:pPr>
      <w:r>
        <w:rPr>
          <w:rFonts w:hint="eastAsia" w:hAnsi="宋体"/>
          <w:szCs w:val="21"/>
        </w:rPr>
        <w:t>（3）提供餐厅的厨具、家具、网络设施、售饭系统等设施设备。</w:t>
      </w:r>
    </w:p>
    <w:p w14:paraId="738DCF31">
      <w:pPr>
        <w:adjustRightInd w:val="0"/>
        <w:snapToGrid w:val="0"/>
        <w:spacing w:line="360" w:lineRule="auto"/>
        <w:ind w:firstLine="422" w:firstLineChars="200"/>
        <w:rPr>
          <w:rFonts w:hAnsi="宋体"/>
          <w:b/>
          <w:bCs/>
          <w:szCs w:val="21"/>
        </w:rPr>
      </w:pPr>
      <w:r>
        <w:rPr>
          <w:rFonts w:hint="eastAsia" w:hAnsi="宋体"/>
          <w:b/>
          <w:bCs/>
          <w:szCs w:val="21"/>
        </w:rPr>
        <w:t>3. 服务合同期内如发生未预见的其它费用，经双方协商后确定。</w:t>
      </w:r>
    </w:p>
    <w:p w14:paraId="04D3FBB0">
      <w:pPr>
        <w:adjustRightInd w:val="0"/>
        <w:snapToGrid w:val="0"/>
        <w:spacing w:line="360" w:lineRule="auto"/>
        <w:ind w:firstLine="420" w:firstLineChars="200"/>
        <w:rPr>
          <w:rFonts w:hAnsi="宋体"/>
          <w:szCs w:val="21"/>
        </w:rPr>
      </w:pPr>
      <w:r>
        <w:rPr>
          <w:rFonts w:hint="eastAsia" w:hAnsi="宋体"/>
          <w:szCs w:val="21"/>
        </w:rPr>
        <w:t>4. 接待规模及餐标</w:t>
      </w:r>
    </w:p>
    <w:p w14:paraId="2EF529A5">
      <w:pPr>
        <w:adjustRightInd w:val="0"/>
        <w:snapToGrid w:val="0"/>
        <w:spacing w:line="360" w:lineRule="auto"/>
        <w:ind w:firstLine="420" w:firstLineChars="200"/>
        <w:rPr>
          <w:rFonts w:hAnsi="宋体"/>
          <w:szCs w:val="21"/>
        </w:rPr>
      </w:pPr>
      <w:r>
        <w:rPr>
          <w:rFonts w:hint="eastAsia" w:hAnsi="宋体"/>
          <w:szCs w:val="21"/>
        </w:rPr>
        <w:t>（1）预计全年接待规模：各类培训学员约12000人/年，就餐天数约6天。</w:t>
      </w:r>
    </w:p>
    <w:p w14:paraId="6B7EDD31">
      <w:pPr>
        <w:adjustRightInd w:val="0"/>
        <w:snapToGrid w:val="0"/>
        <w:spacing w:line="360" w:lineRule="auto"/>
        <w:ind w:firstLine="420" w:firstLineChars="200"/>
        <w:rPr>
          <w:rFonts w:hAnsi="宋体"/>
          <w:szCs w:val="21"/>
        </w:rPr>
      </w:pPr>
      <w:r>
        <w:rPr>
          <w:rFonts w:hint="eastAsia" w:hAnsi="宋体"/>
          <w:szCs w:val="21"/>
        </w:rPr>
        <w:t>（2）餐标以100元/人/天为参考。</w:t>
      </w:r>
    </w:p>
    <w:p w14:paraId="72B992CF">
      <w:pPr>
        <w:adjustRightInd w:val="0"/>
        <w:snapToGrid w:val="0"/>
        <w:spacing w:line="360" w:lineRule="auto"/>
        <w:ind w:firstLine="420" w:firstLineChars="200"/>
        <w:rPr>
          <w:szCs w:val="21"/>
        </w:rPr>
      </w:pPr>
      <w:r>
        <w:rPr>
          <w:rFonts w:hint="eastAsia" w:hAnsi="宋体"/>
          <w:szCs w:val="21"/>
        </w:rPr>
        <w:t>（四）</w:t>
      </w:r>
      <w:r>
        <w:rPr>
          <w:rFonts w:hAnsi="宋体"/>
          <w:szCs w:val="21"/>
        </w:rPr>
        <w:t>交付时间：</w:t>
      </w:r>
      <w:r>
        <w:rPr>
          <w:rFonts w:hAnsi="宋体"/>
        </w:rPr>
        <w:t>合同签订后</w:t>
      </w:r>
      <w:r>
        <w:rPr>
          <w:rFonts w:hAnsi="宋体"/>
          <w:u w:val="single"/>
        </w:rPr>
        <w:t xml:space="preserve"> 1</w:t>
      </w:r>
      <w:r>
        <w:rPr>
          <w:rFonts w:hint="eastAsia" w:hAnsi="宋体"/>
          <w:u w:val="single"/>
        </w:rPr>
        <w:t>年</w:t>
      </w:r>
      <w:r>
        <w:rPr>
          <w:rFonts w:hAnsi="宋体"/>
          <w:szCs w:val="21"/>
          <w:u w:val="single"/>
        </w:rPr>
        <w:t xml:space="preserve"> </w:t>
      </w:r>
      <w:r>
        <w:rPr>
          <w:rFonts w:hAnsi="宋体"/>
          <w:u w:val="single"/>
        </w:rPr>
        <w:t xml:space="preserve"> </w:t>
      </w:r>
      <w:r>
        <w:rPr>
          <w:rFonts w:hint="eastAsia" w:hAnsi="宋体"/>
        </w:rPr>
        <w:t>内</w:t>
      </w:r>
    </w:p>
    <w:p w14:paraId="544209DB">
      <w:pPr>
        <w:tabs>
          <w:tab w:val="left" w:pos="420"/>
          <w:tab w:val="left" w:pos="900"/>
        </w:tabs>
        <w:adjustRightInd w:val="0"/>
        <w:snapToGrid w:val="0"/>
        <w:spacing w:line="360" w:lineRule="auto"/>
        <w:ind w:firstLine="420" w:firstLineChars="200"/>
        <w:rPr>
          <w:rFonts w:ascii="宋体" w:hAnsi="宋体"/>
          <w:szCs w:val="21"/>
        </w:rPr>
      </w:pPr>
      <w:r>
        <w:rPr>
          <w:rFonts w:hint="eastAsia" w:hAnsi="宋体"/>
          <w:szCs w:val="21"/>
        </w:rPr>
        <w:t>（五）</w:t>
      </w:r>
      <w:r>
        <w:rPr>
          <w:rFonts w:hAnsi="宋体"/>
          <w:szCs w:val="21"/>
        </w:rPr>
        <w:t>交付地点：</w:t>
      </w:r>
      <w:r>
        <w:rPr>
          <w:rFonts w:hAnsi="宋体"/>
          <w:szCs w:val="21"/>
          <w:u w:val="single"/>
        </w:rPr>
        <w:t xml:space="preserve">  </w:t>
      </w:r>
      <w:r>
        <w:rPr>
          <w:rFonts w:hint="eastAsia" w:hAnsi="宋体"/>
          <w:szCs w:val="21"/>
          <w:u w:val="single"/>
        </w:rPr>
        <w:t>西安市雁塔区翠华南路137号院内餐厅</w:t>
      </w:r>
      <w:r>
        <w:rPr>
          <w:rFonts w:hAnsi="宋体"/>
          <w:szCs w:val="21"/>
          <w:u w:val="single"/>
        </w:rPr>
        <w:t xml:space="preserve">  </w:t>
      </w:r>
    </w:p>
    <w:p w14:paraId="179C3B80">
      <w:pPr>
        <w:tabs>
          <w:tab w:val="left" w:pos="900"/>
        </w:tabs>
        <w:adjustRightInd w:val="0"/>
        <w:snapToGrid w:val="0"/>
        <w:spacing w:line="360" w:lineRule="auto"/>
        <w:ind w:firstLine="420" w:firstLineChars="200"/>
        <w:rPr>
          <w:rFonts w:hAnsi="宋体"/>
          <w:szCs w:val="21"/>
        </w:rPr>
      </w:pPr>
      <w:r>
        <w:rPr>
          <w:rFonts w:hint="eastAsia" w:hAnsi="宋体"/>
          <w:szCs w:val="21"/>
        </w:rPr>
        <w:t>（六）付款进度安排：</w:t>
      </w:r>
      <w:r>
        <w:rPr>
          <w:rFonts w:ascii="Arial" w:hAnsi="Arial" w:cs="Arial"/>
          <w:b/>
          <w:color w:val="000000"/>
          <w:kern w:val="0"/>
          <w:szCs w:val="21"/>
        </w:rPr>
        <w:t>□</w:t>
      </w:r>
      <w:r>
        <w:rPr>
          <w:rFonts w:hint="eastAsia" w:hAnsi="宋体"/>
          <w:szCs w:val="21"/>
        </w:rPr>
        <w:t xml:space="preserve"> 按</w:t>
      </w:r>
      <w:r>
        <w:rPr>
          <w:rFonts w:hAnsi="宋体"/>
          <w:szCs w:val="21"/>
        </w:rPr>
        <w:t>采购文件</w:t>
      </w:r>
      <w:r>
        <w:rPr>
          <w:rFonts w:hint="eastAsia" w:hAnsi="宋体"/>
          <w:szCs w:val="21"/>
        </w:rPr>
        <w:t xml:space="preserve">要求 </w:t>
      </w:r>
      <w:r>
        <w:rPr>
          <w:rFonts w:hAnsi="宋体"/>
          <w:szCs w:val="21"/>
        </w:rPr>
        <w:t xml:space="preserve"> </w:t>
      </w:r>
      <w:r>
        <w:rPr>
          <w:rFonts w:ascii="Segoe UI Symbol" w:hAnsi="Segoe UI Symbol" w:cs="Segoe UI Symbol"/>
          <w:szCs w:val="21"/>
        </w:rPr>
        <w:t>☑</w:t>
      </w:r>
      <w:r>
        <w:rPr>
          <w:rFonts w:hint="eastAsia" w:hAnsi="宋体"/>
          <w:szCs w:val="21"/>
        </w:rPr>
        <w:t>其他要求</w:t>
      </w:r>
    </w:p>
    <w:p w14:paraId="0A8CE90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1.非学历教育培训班餐费结算：根据就餐人数和餐标据实结算。</w:t>
      </w:r>
    </w:p>
    <w:p w14:paraId="7F72C05D">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服务期满四个季度考核平均分≥95分，且非学历教育培训班实际产生的餐费大于中标价时，中标人向采购人支付差额部分的13%作为资源占用费（餐厅的水电费及资产、设备的维护及损耗费用），差额部分的80%作为中标人能源能耗，人员、食材成本等费用，以及差额部分的7%作为奖励都由中标人支配。</w:t>
      </w:r>
    </w:p>
    <w:p w14:paraId="6D8A9BC9">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服务期满四个季度考核90≤平均分＜95分，且非学历教育培训班实际产生的餐费大于中标价时，中标人向采购人支付差额部分的20%作为资源占用费（餐厅的水电费及资产、设备的维护及损耗费用），差额部分的80%作为能源能耗，人员、食材成本等费用由中标人支配。</w:t>
      </w:r>
    </w:p>
    <w:p w14:paraId="69BDDAB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服务期满四个季度考核平均分＜90分，且非学历教育培训班实际产生的餐费大于中标价时，中标人向采购人支付差额部分的25%作为资源占用费（餐厅的水电费及资产、设备的维护及损耗费用），差额部分的75%作为能源能耗，人员、食材成本等费用由中标人支配。</w:t>
      </w:r>
    </w:p>
    <w:p w14:paraId="603435C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服务期满非学历教育培训班实际产生的餐费小于中标价时，采购人支付差额部分的50%作为中标人的人工费补偿。</w:t>
      </w:r>
    </w:p>
    <w:p w14:paraId="28A9807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3.培训委托方与中标人直接结算的餐费也要一并计入到全年餐费总额度内。</w:t>
      </w:r>
    </w:p>
    <w:p w14:paraId="6EED8093">
      <w:pPr>
        <w:adjustRightInd w:val="0"/>
        <w:snapToGrid w:val="0"/>
        <w:spacing w:line="360" w:lineRule="auto"/>
        <w:ind w:firstLine="440" w:firstLineChars="200"/>
        <w:rPr>
          <w:rFonts w:ascii="楷体" w:hAnsi="楷体" w:eastAsia="楷体"/>
          <w:b/>
          <w:bCs/>
          <w:sz w:val="22"/>
          <w:szCs w:val="22"/>
        </w:rPr>
      </w:pPr>
      <w:r>
        <w:rPr>
          <w:rFonts w:hint="eastAsia" w:ascii="楷体" w:hAnsi="楷体" w:eastAsia="楷体"/>
          <w:sz w:val="22"/>
          <w:szCs w:val="22"/>
        </w:rPr>
        <w:t>4.教职工、学生、离退休人员就餐结算：按照实际发生的就餐费用据实结算。</w:t>
      </w:r>
      <w:r>
        <w:rPr>
          <w:rFonts w:hint="eastAsia" w:ascii="楷体" w:hAnsi="楷体" w:eastAsia="楷体"/>
          <w:b/>
          <w:bCs/>
          <w:sz w:val="22"/>
          <w:szCs w:val="22"/>
        </w:rPr>
        <w:t>（该项费用不计入项目总报价）</w:t>
      </w:r>
    </w:p>
    <w:p w14:paraId="5BB3F0C8">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5.结算时中标人出具国家税务部门的发票。</w:t>
      </w:r>
    </w:p>
    <w:p w14:paraId="788F31BA">
      <w:pPr>
        <w:adjustRightInd w:val="0"/>
        <w:snapToGrid w:val="0"/>
        <w:spacing w:line="360" w:lineRule="auto"/>
        <w:ind w:firstLine="420" w:firstLineChars="200"/>
        <w:rPr>
          <w:rFonts w:hint="eastAsia" w:hAnsi="宋体"/>
          <w:szCs w:val="21"/>
        </w:rPr>
      </w:pPr>
      <w:r>
        <w:rPr>
          <w:rFonts w:hint="eastAsia" w:hAnsi="宋体"/>
          <w:szCs w:val="21"/>
        </w:rPr>
        <w:t>（七）履约保证金按照中标价的5%收取。</w:t>
      </w:r>
    </w:p>
    <w:p w14:paraId="3C999C16">
      <w:pPr>
        <w:tabs>
          <w:tab w:val="left" w:pos="900"/>
        </w:tabs>
        <w:adjustRightInd w:val="0"/>
        <w:snapToGrid w:val="0"/>
        <w:spacing w:line="360" w:lineRule="auto"/>
        <w:ind w:firstLine="422" w:firstLineChars="200"/>
        <w:rPr>
          <w:rFonts w:hAnsi="宋体"/>
          <w:b/>
          <w:szCs w:val="21"/>
        </w:rPr>
      </w:pPr>
      <w:r>
        <w:rPr>
          <w:rFonts w:hint="eastAsia" w:hAnsi="宋体"/>
          <w:b/>
          <w:szCs w:val="21"/>
        </w:rPr>
        <w:t>四、采购标的需满足的质量、安全、技术规格、物理特性等要求：</w:t>
      </w:r>
    </w:p>
    <w:p w14:paraId="183BEE79">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（一）供应菜品种类及标准</w:t>
      </w:r>
    </w:p>
    <w:p w14:paraId="47995B71">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自助餐：100元/天/人</w:t>
      </w:r>
    </w:p>
    <w:p w14:paraId="5E29D89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1.餐标100元/天/人</w:t>
      </w:r>
    </w:p>
    <w:p w14:paraId="6C3CB144">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 xml:space="preserve">早餐要求：（餐标20元） </w:t>
      </w:r>
    </w:p>
    <w:p w14:paraId="2D29CB91">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凉菜：提供菜品≥6种，荤素搭配：两荤四素。</w:t>
      </w:r>
    </w:p>
    <w:p w14:paraId="1144AC88">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热菜：提供菜品≥6种，荤素搭配：两荤四素。</w:t>
      </w:r>
    </w:p>
    <w:p w14:paraId="400A3A66">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主食：提供主食≥6种。</w:t>
      </w:r>
    </w:p>
    <w:p w14:paraId="78EBDAB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汤粥：提供汤粥≥2种。</w:t>
      </w:r>
    </w:p>
    <w:p w14:paraId="62245273">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饮品：提供饮品≥2种。</w:t>
      </w:r>
    </w:p>
    <w:p w14:paraId="05473311">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午餐要求：（餐标50元）</w:t>
      </w:r>
    </w:p>
    <w:p w14:paraId="3BA0BCA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凉菜：提供菜品≥6种，荤素搭配：两荤四素。</w:t>
      </w:r>
    </w:p>
    <w:p w14:paraId="3F2306C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热菜：提供菜品≥8种，荤素搭配：四荤四素。</w:t>
      </w:r>
    </w:p>
    <w:p w14:paraId="6F280C0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主食：提供主食≥8种。</w:t>
      </w:r>
    </w:p>
    <w:p w14:paraId="760EA452">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汤粥：提供汤粥≥2种。</w:t>
      </w:r>
    </w:p>
    <w:p w14:paraId="7AB0A45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水果：水果≥2种。</w:t>
      </w:r>
    </w:p>
    <w:p w14:paraId="38F7F2B6">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饮品：提供饮品≥2种。</w:t>
      </w:r>
    </w:p>
    <w:p w14:paraId="7936A05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晚餐要求：（餐标30元）</w:t>
      </w:r>
    </w:p>
    <w:p w14:paraId="76CA6EA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凉菜、提供菜品≥4种，荤素搭配：两荤四素。</w:t>
      </w:r>
    </w:p>
    <w:p w14:paraId="7CA56313">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热菜：提供菜品≥6种，荤素搭配：三荤三素。</w:t>
      </w:r>
    </w:p>
    <w:p w14:paraId="02758D3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主食：提供主食≥6种。</w:t>
      </w:r>
    </w:p>
    <w:p w14:paraId="5AEF145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汤粥：提供汤粥≥2种。</w:t>
      </w:r>
    </w:p>
    <w:p w14:paraId="0030BAF6">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水果：水果≥2种。</w:t>
      </w:r>
    </w:p>
    <w:p w14:paraId="5B8501FF">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2.教职工、学生、退休人员餐标依据市场指导价格：</w:t>
      </w:r>
    </w:p>
    <w:p w14:paraId="04A1E28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指导价：早餐10元以内；中、晚餐20元以内。</w:t>
      </w:r>
    </w:p>
    <w:p w14:paraId="5A6B1FF8">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投标人要按照采购人需求提供菜单供选择，确认后开始实施，依据季节变化提供时令菜品供选择，荤素搭配、营养合理、饭餐可口、粗细粮合理搭配。</w:t>
      </w:r>
    </w:p>
    <w:p w14:paraId="2D7F6BA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3.就餐方式：</w:t>
      </w:r>
    </w:p>
    <w:p w14:paraId="7FAF0D6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教职工、学生、退休人员就餐方式：档口形式，刷卡结算。</w:t>
      </w:r>
    </w:p>
    <w:p w14:paraId="416740A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培训学员就餐方式：自助餐形式，持餐票据实结算。</w:t>
      </w:r>
    </w:p>
    <w:p w14:paraId="4B152B3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w:t>
      </w:r>
      <w:r>
        <w:rPr>
          <w:rFonts w:ascii="楷体" w:hAnsi="楷体" w:eastAsia="楷体"/>
          <w:sz w:val="22"/>
          <w:szCs w:val="22"/>
        </w:rPr>
        <w:t>.</w:t>
      </w:r>
      <w:r>
        <w:rPr>
          <w:rFonts w:hint="eastAsia" w:ascii="楷体" w:hAnsi="楷体" w:eastAsia="楷体"/>
          <w:sz w:val="22"/>
          <w:szCs w:val="22"/>
        </w:rPr>
        <w:t>常规供餐时间：</w:t>
      </w:r>
    </w:p>
    <w:p w14:paraId="492D273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早餐 7:00-9:00</w:t>
      </w:r>
    </w:p>
    <w:p w14:paraId="718314E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午餐 11:00-13:30</w:t>
      </w:r>
    </w:p>
    <w:p w14:paraId="71E42DB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晚餐 17:00-19:00</w:t>
      </w:r>
    </w:p>
    <w:p w14:paraId="03D14DE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采购人因教学、活动等特殊情况需延长供餐时间的，提前向中标人通知，中标人须积极配合，及时调整供餐安排，保障餐食供应及食品安全。</w:t>
      </w:r>
    </w:p>
    <w:p w14:paraId="3519122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（二）原材料采购及监管</w:t>
      </w:r>
    </w:p>
    <w:p w14:paraId="44CBDF7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食品原料由投标人在具备食品卫生安全相关资质的正规企业采购并出具发票，应保证食品质量和食品供应链安全，并可追溯采购源头，采购人有权进行检查、监督和指导。投标文件须提供食材采购源头证明资料。</w:t>
      </w:r>
    </w:p>
    <w:p w14:paraId="489F1BE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投标人采购的食材在检验其供货商提供的《食品经营许可证》《食品生产许可证》《动物检疫合格证明》以外，肉类须检查《肉品品质检验合格证明》、水产类须进行重金属检测、农兽药检测、微生物检测等西安市食品药品监督管理局要求的其他检验证明，检测结果留存备查。</w:t>
      </w:r>
    </w:p>
    <w:p w14:paraId="3DF31159">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3.投标人用于采购原材料的费用不得低于餐标的50%（如：100元/人/天标准，采购原材料费用不低于50元/人/天）。</w:t>
      </w:r>
    </w:p>
    <w:p w14:paraId="3A686FA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（三）机构设置及人员配置</w:t>
      </w:r>
    </w:p>
    <w:p w14:paraId="609B74B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投标人按每天300人就餐标准合理设置机构及人员配备。严格成本控制，全体人员必须持有国家食药监部门发放的《健康证》，要求全体人员身心健康。</w:t>
      </w:r>
    </w:p>
    <w:p w14:paraId="4604666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厨师应持有国家认可的专业等级证书。厨师长具备6年以上后厨实际管理经验；厨师及面点师具备5年以上工作经验；职业经理人、营养师具备3年以上工作经验；餐厅服务员、保洁具备1年以上工作经验；以上人员工作经验须提供劳动合同或社保证明。</w:t>
      </w:r>
    </w:p>
    <w:p w14:paraId="27A024F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项目人员的配置不少于20人。其中中式烹调师（3级）不少于1人，中式烹调师（4级）不少于3人，凉菜师不少于2人，面点师不少于2人，洗碗工不少于2人，粗加工不少于2人，切配工不少于2人，服务员不少于4人，其他人员不少于2人。</w:t>
      </w:r>
    </w:p>
    <w:p w14:paraId="208AC0E4">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项目经理更换需提前一个月向采购人提出书面申请，经采购人同意后方可更换。其他人员更换需向采购人报备。</w:t>
      </w:r>
    </w:p>
    <w:p w14:paraId="425A8FF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（四）食品安全生产及纠纷处理</w:t>
      </w:r>
    </w:p>
    <w:p w14:paraId="777E77CD">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1.严格执行国家《中华人民共和国食品安全法》《食品生产许可管理办法》《食品安全抽样检验管理办法》和《关于深化改革加强食品安全工作意见》等行业政策。</w:t>
      </w:r>
    </w:p>
    <w:p w14:paraId="5D04D6A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 为切实保障饮食安全，每餐将严格执行食品留样制度。当接到用餐人员有食品中毒症状：包括但不限于腹泻、呕吐、头晕信息时，应迅速通知项目负责人，立即将患者送往医院，以确诊病情和病因，同时对呕吐物、粪便、留样食品送卫生部门检验，确属投标人责任，投标人承担全部责任。</w:t>
      </w:r>
    </w:p>
    <w:p w14:paraId="4833F9CC">
      <w:pPr>
        <w:adjustRightInd w:val="0"/>
        <w:snapToGrid w:val="0"/>
        <w:spacing w:line="360" w:lineRule="auto"/>
        <w:ind w:firstLine="440" w:firstLineChars="200"/>
        <w:rPr>
          <w:rFonts w:ascii="楷体" w:hAnsi="楷体" w:eastAsia="楷体"/>
          <w:sz w:val="22"/>
          <w:szCs w:val="22"/>
        </w:rPr>
      </w:pPr>
      <w:bookmarkStart w:id="5" w:name="OLE_LINK12"/>
      <w:bookmarkStart w:id="6" w:name="OLE_LINK13"/>
      <w:r>
        <w:rPr>
          <w:rFonts w:hint="eastAsia" w:ascii="楷体" w:hAnsi="楷体" w:eastAsia="楷体"/>
          <w:sz w:val="22"/>
          <w:szCs w:val="22"/>
        </w:rPr>
        <w:t>3.出现生物性污染（细菌、病毒、寄生虫等）、化学性污染（农药残留、非法添加剂、餐具污染等）等食品安全事件，</w:t>
      </w:r>
      <w:bookmarkStart w:id="7" w:name="OLE_LINK6"/>
      <w:r>
        <w:rPr>
          <w:rFonts w:hint="eastAsia" w:ascii="楷体" w:hAnsi="楷体" w:eastAsia="楷体"/>
          <w:sz w:val="22"/>
          <w:szCs w:val="22"/>
        </w:rPr>
        <w:t>由此产生所有损失由投标人承担。</w:t>
      </w:r>
      <w:bookmarkEnd w:id="7"/>
    </w:p>
    <w:bookmarkEnd w:id="5"/>
    <w:bookmarkEnd w:id="6"/>
    <w:p w14:paraId="74C8356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4.出现食品中毒意外事件，采购人有权取消投标人资格，由此产生所有损失由投标人承担。</w:t>
      </w:r>
    </w:p>
    <w:p w14:paraId="12874E1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（五）安全生产及服务管理</w:t>
      </w:r>
    </w:p>
    <w:p w14:paraId="6BCC238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1.投标人定期对上岗人员进行岗前安全培训和消防安全应急培训及演练。</w:t>
      </w:r>
    </w:p>
    <w:p w14:paraId="117B8A9F">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2.投标人制定各类厨房设备、切配设备、洗淘设备、用电设备、用气设备安全操作规程，并设专职安全员。</w:t>
      </w:r>
    </w:p>
    <w:p w14:paraId="4B81BF6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3.投标人制定厨房突发事件应急处理预案及工作流程，确保采购人服务管理有序开展。</w:t>
      </w:r>
    </w:p>
    <w:p w14:paraId="4B99348D">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4.投标人按照国家和地方政府要求，建立垃圾分类处理管理制度。</w:t>
      </w:r>
    </w:p>
    <w:p w14:paraId="4570EDCF">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投标人采购食品添加剂应按规定向销售者索取检验合格证书、化验单或有关批准文件及生产厂家的卫生许可证复印件等，存档保存至少两年。食品添加剂必须是食品专用的添加剂，添加剂产品说明书的内容必须真实，禁止使用非食用添加剂。建立严格的食品添加剂采购、验收、使用登记制度。</w:t>
      </w:r>
    </w:p>
    <w:p w14:paraId="186009B9">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6.为了预防、控制和消除病媒生物的发生与流行，投标人要积极参与爱国卫生、健康教育、病媒生物防治、控烟工作，坚持以人为本的宗旨，切实加强组织和领导，层层落实责任制，保障学院和教职员工的身体健康，根据《中国人民共和国病媒生物防治法》《突发公共卫生事件》等法律法规的规定，须制定病媒安全管理制度。</w:t>
      </w:r>
    </w:p>
    <w:p w14:paraId="3761CAC9">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7.投标人设置专职安全员及安全巡查制度、消防安全应急预案、疫情防控应急预案，确保服务管理安全无事故。</w:t>
      </w:r>
    </w:p>
    <w:p w14:paraId="3DAD4CE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8.投标人在服务过程中承担本项目员工出现的所有安全事故责任、经济责任及法律责任。</w:t>
      </w:r>
    </w:p>
    <w:p w14:paraId="51EC8128">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9.采购人对投标人的管理服务有监督、检查的权利。</w:t>
      </w:r>
    </w:p>
    <w:p w14:paraId="5464AF0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（六）违约责任</w:t>
      </w:r>
    </w:p>
    <w:p w14:paraId="298E6E54">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1.中标人在服务期内因场地管理、操作规范、设备运维、安全管控不当等自身原因，发生消防安全、人身伤害、财产损毁、意外事故等各类安全事故，造成采购人或第三方人身损伤、财产损失的，</w:t>
      </w:r>
      <w:bookmarkStart w:id="8" w:name="OLE_LINK14"/>
      <w:bookmarkStart w:id="9" w:name="OLE_LINK15"/>
      <w:r>
        <w:rPr>
          <w:rFonts w:hint="eastAsia" w:ascii="楷体" w:hAnsi="楷体" w:eastAsia="楷体"/>
          <w:sz w:val="22"/>
          <w:szCs w:val="22"/>
        </w:rPr>
        <w:t>由中标人承担全部经济赔偿责任及相应行政、民事、刑事法律责任。</w:t>
      </w:r>
      <w:bookmarkStart w:id="10" w:name="OLE_LINK11"/>
      <w:bookmarkStart w:id="11" w:name="OLE_LINK10"/>
    </w:p>
    <w:bookmarkEnd w:id="8"/>
    <w:bookmarkEnd w:id="9"/>
    <w:bookmarkEnd w:id="10"/>
    <w:bookmarkEnd w:id="11"/>
    <w:p w14:paraId="64490E9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采购人有权根据事故情节轻重、影响范围、损失大小、整改态度进行分级追责：发生轻微安全隐患，按项目中标总价的0.1%支付违约金；发生一般安全事故，按中标总价的1%-2%支付违约金；发生较大及以上安全事故、造成人员受伤或财产损失或不良社会影响的，按中标总价的2%-4%支付违约金。发生重大安全事故，采购人有权单方面解除本项目服务合同，没收全部履约保证金，并保留进一步追责的权利。</w:t>
      </w:r>
    </w:p>
    <w:p w14:paraId="50DE64E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中标人在服务期内必须严格遵守《中华人民共和国食品安全法》及行业操作规程，严禁出现任何食品安全违规行为。若因食材管控、加工制作、清洗消毒、存储保管等方面违反食品生产加工操作规程，造成食品生物性污染（细菌、病毒、寄生虫、霉变污染等）、化学性污染（农药残留、非法添加剂、食材变质、餐厨具残留污染等）引发食品安全隐患、食源性不适、群体性食品安全事件的，应承担全部经济赔付及法律责任。</w:t>
      </w:r>
    </w:p>
    <w:p w14:paraId="1333019F">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采购人按情节分级追责：发生轻微食品安全事件，按中标总价0.1%支付违约金；发生食品安全污染事件，按中标总价1%-2%支付违约金；发生轻微食物中毒或被监管部门预警通报的，按中标总价2%-3%支付违约金；发生群体性食物中毒或被市场监管部门处罚或造成恶劣影响的，按中标总价4%支付违约金，采购人有权单方面解除本项目服务合同，没收全部履约保证金，并保留进一步追责的权利。</w:t>
      </w:r>
    </w:p>
    <w:p w14:paraId="1B4AE856">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w:t>
      </w:r>
      <w:r>
        <w:rPr>
          <w:rFonts w:hint="eastAsia" w:ascii="楷体" w:hAnsi="楷体" w:eastAsia="楷体"/>
          <w:sz w:val="22"/>
          <w:szCs w:val="22"/>
          <w:lang w:val="en-US" w:eastAsia="zh-CN"/>
        </w:rPr>
        <w:t>中</w:t>
      </w:r>
      <w:r>
        <w:rPr>
          <w:rFonts w:hint="eastAsia" w:ascii="楷体" w:hAnsi="楷体" w:eastAsia="楷体"/>
          <w:sz w:val="22"/>
          <w:szCs w:val="22"/>
        </w:rPr>
        <w:t>标人</w:t>
      </w:r>
      <w:r>
        <w:rPr>
          <w:rFonts w:hint="eastAsia" w:ascii="楷体" w:hAnsi="楷体" w:eastAsia="楷体"/>
          <w:sz w:val="22"/>
          <w:szCs w:val="22"/>
          <w:lang w:val="en-US" w:eastAsia="zh-CN"/>
        </w:rPr>
        <w:t>在签订合同前</w:t>
      </w:r>
      <w:r>
        <w:rPr>
          <w:rFonts w:hint="eastAsia" w:ascii="楷体" w:hAnsi="楷体" w:eastAsia="楷体"/>
          <w:sz w:val="22"/>
          <w:szCs w:val="22"/>
        </w:rPr>
        <w:t>须严格按照本项目采购需求、投标承诺足额配齐符合资质、健康标准、岗位要求的全部服务人员，保证人员在岗在位、稳定履职。</w:t>
      </w:r>
      <w:r>
        <w:rPr>
          <w:rFonts w:hint="eastAsia" w:ascii="楷体" w:hAnsi="楷体" w:eastAsia="楷体"/>
          <w:sz w:val="22"/>
          <w:szCs w:val="22"/>
          <w:lang w:val="en-US" w:eastAsia="zh-CN"/>
        </w:rPr>
        <w:t>中</w:t>
      </w:r>
      <w:r>
        <w:rPr>
          <w:rFonts w:hint="eastAsia" w:ascii="楷体" w:hAnsi="楷体" w:eastAsia="楷体"/>
          <w:sz w:val="22"/>
          <w:szCs w:val="22"/>
        </w:rPr>
        <w:t>标人</w:t>
      </w:r>
      <w:r>
        <w:rPr>
          <w:rFonts w:hint="eastAsia" w:ascii="楷体" w:hAnsi="楷体" w:eastAsia="楷体"/>
          <w:sz w:val="22"/>
          <w:szCs w:val="22"/>
          <w:lang w:val="en-US" w:eastAsia="zh-CN"/>
        </w:rPr>
        <w:t>须提供所有人员身份证复印件、健康证复印件、无犯罪证明向采购人备案。</w:t>
      </w:r>
      <w:r>
        <w:rPr>
          <w:rFonts w:hint="eastAsia" w:ascii="楷体" w:hAnsi="楷体" w:eastAsia="楷体"/>
          <w:sz w:val="22"/>
          <w:szCs w:val="22"/>
        </w:rPr>
        <w:t>采购人有权随时核查人员在岗情况、人员资质、人员数量。</w:t>
      </w:r>
    </w:p>
    <w:p w14:paraId="256B081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经采购人核查发现人员配备不足、无证上岗、人员脱岗、岗位空缺的，采购人将向中标人出具书面整改通知，中标人须在采购人规定的整改时限内补齐到位、完成整改。逾期未整改、整改不合格、人员未足额到岗的，每缺少1名在岗人员，中标人须向采购人支付1000元/次的违约金。未经采购人同意擅自更换项目经理，按照中标总价1%支付违约金。若出现人员配备不足、频繁缺岗、擅自减员，经采购人3次书面通知仍未整改到位，导致餐饮服务质量持续下降、无法满足项目正常服务需求的，按中标总价4%支付违约金。若出现长期人员配备不足、多次整改仍未改善的采购人有权单方面解除服务合同，由此产生的一切损失由中标人全额承担。</w:t>
      </w:r>
    </w:p>
    <w:p w14:paraId="7680992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服务履约过程中，采购人针对服务瑕疵、卫生问题、操作不规范、服务态度问题、设备运维问题、食材质量问题等各类履约问题，有权向乙方出具书面整改通知，明确整改内容、整改标准及完成时限，乙方须严格按期保质完成全部整改工作。中标人未按要求在规定时间内完成采购人要求整改的问题，每出现1次向采购人</w:t>
      </w:r>
      <w:bookmarkStart w:id="12" w:name="OLE_LINK16"/>
      <w:bookmarkStart w:id="13" w:name="OLE_LINK17"/>
      <w:r>
        <w:rPr>
          <w:rFonts w:hint="eastAsia" w:ascii="楷体" w:hAnsi="楷体" w:eastAsia="楷体"/>
          <w:sz w:val="22"/>
          <w:szCs w:val="22"/>
        </w:rPr>
        <w:t>支付1000元/次的违约金。</w:t>
      </w:r>
      <w:bookmarkEnd w:id="12"/>
      <w:bookmarkEnd w:id="13"/>
      <w:r>
        <w:rPr>
          <w:rFonts w:hint="eastAsia" w:ascii="楷体" w:hAnsi="楷体" w:eastAsia="楷体"/>
          <w:sz w:val="22"/>
          <w:szCs w:val="22"/>
        </w:rPr>
        <w:t>若出现3次及以上同类问题整改不到位的按中标总价1%-2%支付违约金。若长期整改不到位导致餐饮服务质量持续下降、无法满足项目正常服务需求的，采购人有权单方面解除合同。</w:t>
      </w:r>
    </w:p>
    <w:p w14:paraId="40773F6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本项目实行季度服务质量考核机制，考核标准严格按照本项目采购需求、服务标准及采购人考核细则执行。中标人季度综合考核得分低于90分（不含90分）的，视为当期服务不达标，中标人须向采购人支付5000元违约金，并在15个工作日内完成整改；连续两个季度考核得分均未达到90分（不含90分），视为中标人无履约能力，须向采购人支付20000元违约金，采购人有权单方面解除本项目服务合同，没收全部履约保证金，并保留进一步追责的权利。</w:t>
      </w:r>
    </w:p>
    <w:p w14:paraId="63E70B13">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其他约定：</w:t>
      </w:r>
    </w:p>
    <w:p w14:paraId="34C1F0D2">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1.本条款所有违约金、赔偿金等费用，采购人有权直接从履约保证金中予以抵扣，不足部分有权向中标人全额追偿。</w:t>
      </w:r>
    </w:p>
    <w:p w14:paraId="15647A0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2.中标人违约后仍须继续履行合同义务，在整改达标、经采购人验收合格前，采购人有权暂缓支付费用，待采购人验收合格后，再行支付费用。</w:t>
      </w:r>
    </w:p>
    <w:p w14:paraId="5895179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3.服务期满考核结束后，非学历教育培训班实际产生的餐费大于等于中标价时，所有涉及到的违约金与资源占用费（餐厅的水电费及资产、设备的维护及损耗费用等），由中标人按照分配比例一并向采购人支付。</w:t>
      </w:r>
    </w:p>
    <w:p w14:paraId="7D6C7CF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4.服务期考核结束后，非学历教育培训班实际产生的餐费小于中标价时，所有涉及到的违约金，在采购人支付差额部分的50%作为中标人的人工费补偿中一并扣除。</w:t>
      </w:r>
      <w:r>
        <w:rPr>
          <w:rFonts w:ascii="楷体" w:hAnsi="楷体" w:eastAsia="楷体"/>
          <w:sz w:val="22"/>
          <w:szCs w:val="22"/>
        </w:rPr>
        <w:t xml:space="preserve"> </w:t>
      </w:r>
    </w:p>
    <w:p w14:paraId="4F365AD9">
      <w:pPr>
        <w:adjustRightInd w:val="0"/>
        <w:snapToGrid w:val="0"/>
        <w:spacing w:line="360" w:lineRule="auto"/>
        <w:ind w:firstLine="440" w:firstLineChars="200"/>
        <w:rPr>
          <w:rFonts w:ascii="楷体" w:hAnsi="楷体" w:eastAsia="楷体"/>
          <w:sz w:val="22"/>
          <w:szCs w:val="22"/>
        </w:rPr>
      </w:pPr>
      <w:bookmarkStart w:id="14" w:name="OLE_LINK8"/>
      <w:bookmarkStart w:id="15" w:name="OLE_LINK9"/>
      <w:r>
        <w:rPr>
          <w:rFonts w:hint="eastAsia" w:ascii="楷体" w:hAnsi="楷体" w:eastAsia="楷体"/>
          <w:sz w:val="22"/>
          <w:szCs w:val="22"/>
        </w:rPr>
        <w:t>（七）资</w:t>
      </w:r>
      <w:bookmarkEnd w:id="14"/>
      <w:bookmarkEnd w:id="15"/>
      <w:r>
        <w:rPr>
          <w:rFonts w:hint="eastAsia" w:ascii="楷体" w:hAnsi="楷体" w:eastAsia="楷体"/>
          <w:sz w:val="22"/>
          <w:szCs w:val="22"/>
        </w:rPr>
        <w:t>产管理</w:t>
      </w:r>
    </w:p>
    <w:p w14:paraId="50044E6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1.采购人提供的厨房设备、家具等固定资产，由中标人负责统一保管和使用，建立台账，由专人管理。</w:t>
      </w:r>
    </w:p>
    <w:p w14:paraId="12B5D8AD">
      <w:pPr>
        <w:adjustRightInd w:val="0"/>
        <w:snapToGrid w:val="0"/>
        <w:spacing w:line="360" w:lineRule="auto"/>
        <w:ind w:firstLine="440" w:firstLineChars="200"/>
        <w:rPr>
          <w:rFonts w:hAnsi="宋体"/>
          <w:b/>
          <w:szCs w:val="21"/>
        </w:rPr>
      </w:pPr>
      <w:r>
        <w:rPr>
          <w:rFonts w:hint="eastAsia" w:ascii="楷体" w:hAnsi="楷体" w:eastAsia="楷体"/>
          <w:sz w:val="22"/>
          <w:szCs w:val="22"/>
        </w:rPr>
        <w:t>2.服务期满或解除合同时，中标人投入的一切嵌装在房屋结构或墙体内的设施和装修不得拆除，且不予折价和补偿。</w:t>
      </w:r>
    </w:p>
    <w:p w14:paraId="0E502799">
      <w:pPr>
        <w:tabs>
          <w:tab w:val="left" w:pos="900"/>
        </w:tabs>
        <w:adjustRightInd w:val="0"/>
        <w:snapToGrid w:val="0"/>
        <w:spacing w:line="360" w:lineRule="auto"/>
        <w:ind w:firstLine="422" w:firstLineChars="200"/>
        <w:rPr>
          <w:rFonts w:hAnsi="宋体"/>
          <w:b/>
          <w:szCs w:val="21"/>
        </w:rPr>
      </w:pPr>
      <w:r>
        <w:rPr>
          <w:rFonts w:hint="eastAsia" w:hAnsi="宋体"/>
          <w:b/>
          <w:szCs w:val="21"/>
        </w:rPr>
        <w:t>五、采购标的需满足的服务标准、期限、效率等要求</w:t>
      </w:r>
    </w:p>
    <w:p w14:paraId="562B4AA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（一）餐饮管理模式：购买服务。</w:t>
      </w:r>
    </w:p>
    <w:p w14:paraId="06C260FD">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1.采购人作为餐厅管理主体，餐饮服务收入均由采购人收取，按班次据实结算。</w:t>
      </w:r>
    </w:p>
    <w:p w14:paraId="7B6D8A7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2.采购人对餐饮的硬件投入：餐厅一层建筑面积约1100</w:t>
      </w:r>
      <w:bookmarkStart w:id="16" w:name="OLE_LINK21"/>
      <w:bookmarkStart w:id="17" w:name="OLE_LINK20"/>
      <w:r>
        <w:rPr>
          <w:rFonts w:hint="eastAsia" w:ascii="楷体" w:hAnsi="楷体" w:eastAsia="楷体"/>
          <w:sz w:val="22"/>
          <w:szCs w:val="22"/>
        </w:rPr>
        <w:t>㎡</w:t>
      </w:r>
      <w:bookmarkEnd w:id="16"/>
      <w:bookmarkEnd w:id="17"/>
      <w:r>
        <w:rPr>
          <w:rFonts w:hint="eastAsia" w:ascii="楷体" w:hAnsi="楷体" w:eastAsia="楷体"/>
          <w:sz w:val="22"/>
          <w:szCs w:val="22"/>
        </w:rPr>
        <w:t>，其中操作间面积约450㎡，可容纳300余人同时就餐；二层就餐区域建筑面积约300㎡（含三个包间），可容纳150余人同时就餐；餐厅所有基础设备设施、厨具、餐具、桌椅、空调、水电暖、燃气等配套齐全，达到明厨明灶标准。</w:t>
      </w:r>
    </w:p>
    <w:p w14:paraId="273C661A">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3.餐厅仅用于满足非学历培训学员、教职工、学生就餐服务，同时承担财经社区离退休人员就餐需求，为非盈利餐饮服务，不对外经营。</w:t>
      </w:r>
    </w:p>
    <w:p w14:paraId="039C231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 xml:space="preserve">4.采购人负责提供餐饮服务管理软件，中标人设专职人员负责饭卡的充值、结算、对账等具体工作。 </w:t>
      </w:r>
    </w:p>
    <w:p w14:paraId="2A8BF69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5.项目需求：餐厅提供以自助餐为主、档口为辅的服务方式。中标人负责提供每周早餐、午餐、晚餐菜单，以满足培训学员、教职工、学生、离退休人员的用餐服务需求。</w:t>
      </w:r>
    </w:p>
    <w:p w14:paraId="4D23F7C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（二）服务标准及要求</w:t>
      </w:r>
    </w:p>
    <w:p w14:paraId="51EE4B82">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1.餐厅管理人员与员工队伍参照三星级酒店标准组建，并提供三星级酒店餐饮菜品质量及服务标准。</w:t>
      </w:r>
    </w:p>
    <w:p w14:paraId="3EF6102B">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2.丰富菜品种类，按照不同地域、饮食习惯制定相应的菜单。</w:t>
      </w:r>
    </w:p>
    <w:p w14:paraId="2A02DEB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3.严格遵守并执行食品安全监督和卫生防疫部门的法律法规，建立、健全完善的餐饮服务保障体系，并积极配合政府相关部门的检查以及餐厅资质的年审，营造文明、卫生、舒适、优雅的就餐环境。</w:t>
      </w:r>
    </w:p>
    <w:p w14:paraId="66BB02EE">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4.投标人自行负责招聘职工及办理聘用相关手续。必须加强餐饮员工的管理，服务所需用工必须符合《劳动合同法》要求。</w:t>
      </w:r>
    </w:p>
    <w:p w14:paraId="76FFEC6C">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5.投标人应按照采购需求设置相应岗位，制订符合采购人管理标准的岗位职责并统一上墙。</w:t>
      </w:r>
    </w:p>
    <w:p w14:paraId="39E05DD5">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6.投标人按照采购人餐饮服务和食品加工特点，制订原材料采购、质量验收及管理、初加工、厨房生产及出品、餐具用具清洁消毒、备餐、传菜、用餐服务、设施设备维护等工作流程。</w:t>
      </w:r>
    </w:p>
    <w:p w14:paraId="2CADC38D">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7.根据国家食品卫生管理法规及相关条例，投标人应结合采购人的实际，制订餐厅卫生标准，保证就餐人员的满意度。</w:t>
      </w:r>
    </w:p>
    <w:p w14:paraId="737085C7">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8.须有相应的消毒、照明、通风、防腐、防尘、防蝇、防鼠、污水排放、存放垃圾和废弃物的措施。</w:t>
      </w:r>
    </w:p>
    <w:p w14:paraId="0277D8E3">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9.本项目服务人员每年必须进行健康检查，如发现员工患有传染病，要立即调离工作岗位。</w:t>
      </w:r>
    </w:p>
    <w:p w14:paraId="480AE3C4">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10.餐厅实行卫生责任制，由专人负责检查。</w:t>
      </w:r>
    </w:p>
    <w:p w14:paraId="0C3B8670">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11.投标人定期对本项目服务人员开展食品卫生、消防安全、服务礼仪等方面的培训。</w:t>
      </w:r>
    </w:p>
    <w:p w14:paraId="3BA64424">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12.投标人应制定“食品安全”、“食品生产加工”、“餐厅防火事故”、“消防安全”、“ 防疫”、“突发事件处置”等应急预案。</w:t>
      </w:r>
    </w:p>
    <w:p w14:paraId="250BAB25">
      <w:pPr>
        <w:tabs>
          <w:tab w:val="left" w:pos="420"/>
          <w:tab w:val="left" w:pos="900"/>
        </w:tabs>
        <w:adjustRightInd w:val="0"/>
        <w:snapToGrid w:val="0"/>
        <w:spacing w:line="360" w:lineRule="auto"/>
        <w:ind w:firstLine="422" w:firstLineChars="200"/>
        <w:rPr>
          <w:rFonts w:ascii="宋体" w:hAnsi="宋体"/>
          <w:b/>
          <w:szCs w:val="21"/>
        </w:rPr>
      </w:pPr>
      <w:r>
        <w:rPr>
          <w:rFonts w:hint="eastAsia" w:ascii="宋体" w:hAnsi="宋体"/>
          <w:b/>
          <w:szCs w:val="21"/>
        </w:rPr>
        <w:t>六、</w:t>
      </w:r>
      <w:r>
        <w:rPr>
          <w:rFonts w:ascii="宋体" w:hAnsi="宋体"/>
          <w:b/>
          <w:szCs w:val="21"/>
        </w:rPr>
        <w:t>采购标的的</w:t>
      </w:r>
      <w:r>
        <w:rPr>
          <w:rFonts w:hint="eastAsia" w:ascii="宋体" w:hAnsi="宋体"/>
          <w:b/>
          <w:szCs w:val="21"/>
        </w:rPr>
        <w:t>履约验收标准</w:t>
      </w:r>
    </w:p>
    <w:bookmarkEnd w:id="1"/>
    <w:bookmarkEnd w:id="2"/>
    <w:bookmarkEnd w:id="3"/>
    <w:p w14:paraId="793C7502">
      <w:pPr>
        <w:adjustRightInd w:val="0"/>
        <w:snapToGrid w:val="0"/>
        <w:spacing w:line="360" w:lineRule="auto"/>
        <w:ind w:firstLine="440" w:firstLineChars="200"/>
        <w:rPr>
          <w:rFonts w:ascii="楷体" w:hAnsi="楷体" w:eastAsia="楷体"/>
          <w:sz w:val="22"/>
          <w:szCs w:val="22"/>
        </w:rPr>
      </w:pPr>
      <w:r>
        <w:rPr>
          <w:rFonts w:hint="eastAsia" w:ascii="楷体" w:hAnsi="楷体" w:eastAsia="楷体"/>
          <w:sz w:val="22"/>
          <w:szCs w:val="22"/>
        </w:rPr>
        <w:t>本项目实行季度服务质量考核机制，考核标准严格按照本项目采购需求、服务标准及采购人考核细则执行。中标人季度综合考核得分低于90分（不含90分）的，视为当期服务不达标，中标人须向采购人支付5000元/季度违约金。单季度考核不达标，中标人除支付违约金外，须在采购人要求时限内制定专项整改方案，全面整改提升服务质量，并接受采购人全程监督复查；连续两个自然季度考核得分均未达到90分（不含90分），证明中标人无能力履约、无法满足项目服务标准，构成严重违约，中标人须向采购人支付20000元违约金，且采购人有权无条件单方面解除本合同，无需承担任何补偿、赔偿责任，同时乙方须承担合同解除给采购人造成的全部经济损失。</w:t>
      </w: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0729C3-D62B-45AB-9C3D-E983748F5BE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F71204B-FDA7-4FE0-A976-5217FBA34282}"/>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3" w:fontKey="{2DB7F1C8-723E-4517-A20C-0EB6F2AA1DA7}"/>
  </w:font>
  <w:font w:name="楷体">
    <w:panose1 w:val="02010609060101010101"/>
    <w:charset w:val="86"/>
    <w:family w:val="modern"/>
    <w:pitch w:val="default"/>
    <w:sig w:usb0="800002BF" w:usb1="38CF7CFA" w:usb2="00000016" w:usb3="00000000" w:csb0="00040001" w:csb1="00000000"/>
    <w:embedRegular r:id="rId4" w:fontKey="{5CE59D30-B165-4B92-8FCF-37D730773650}"/>
  </w:font>
  <w:font w:name="Segoe UI Symbol">
    <w:panose1 w:val="020B0502040204020203"/>
    <w:charset w:val="00"/>
    <w:family w:val="swiss"/>
    <w:pitch w:val="default"/>
    <w:sig w:usb0="800001E3" w:usb1="1200FFEF" w:usb2="00040000" w:usb3="04000000" w:csb0="00000001" w:csb1="40000000"/>
    <w:embedRegular r:id="rId5" w:fontKey="{FEFFEB5A-F0C8-4D1A-BB89-C7FDE50B5A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A28B">
    <w:pPr>
      <w:pStyle w:val="5"/>
      <w:jc w:val="center"/>
    </w:pPr>
    <w:r>
      <w:fldChar w:fldCharType="begin"/>
    </w:r>
    <w:r>
      <w:instrText xml:space="preserve">PAGE   \* MERGEFORMAT</w:instrText>
    </w:r>
    <w:r>
      <w:fldChar w:fldCharType="separate"/>
    </w:r>
    <w:r>
      <w:rPr>
        <w:lang w:val="zh-CN"/>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1490"/>
    <w:rsid w:val="000045B7"/>
    <w:rsid w:val="0000609F"/>
    <w:rsid w:val="00012B28"/>
    <w:rsid w:val="000170BA"/>
    <w:rsid w:val="00017928"/>
    <w:rsid w:val="00017C9A"/>
    <w:rsid w:val="000345B6"/>
    <w:rsid w:val="00037EB6"/>
    <w:rsid w:val="0004707F"/>
    <w:rsid w:val="000578DF"/>
    <w:rsid w:val="00060610"/>
    <w:rsid w:val="00063B9E"/>
    <w:rsid w:val="000758BB"/>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2667"/>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184F"/>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07FA5"/>
    <w:rsid w:val="00310E17"/>
    <w:rsid w:val="003113D4"/>
    <w:rsid w:val="00311594"/>
    <w:rsid w:val="0031502A"/>
    <w:rsid w:val="00323357"/>
    <w:rsid w:val="003243F0"/>
    <w:rsid w:val="00327213"/>
    <w:rsid w:val="0033313D"/>
    <w:rsid w:val="0033617E"/>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672DD"/>
    <w:rsid w:val="004712B7"/>
    <w:rsid w:val="0048154C"/>
    <w:rsid w:val="00481EE9"/>
    <w:rsid w:val="00490D0E"/>
    <w:rsid w:val="00491E5A"/>
    <w:rsid w:val="00492DD3"/>
    <w:rsid w:val="004951D7"/>
    <w:rsid w:val="00495B30"/>
    <w:rsid w:val="004A43F0"/>
    <w:rsid w:val="004A69FE"/>
    <w:rsid w:val="004B3DFE"/>
    <w:rsid w:val="004C0EDE"/>
    <w:rsid w:val="004C5896"/>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24E1D"/>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04441"/>
    <w:rsid w:val="00710AA5"/>
    <w:rsid w:val="00711E56"/>
    <w:rsid w:val="007132C5"/>
    <w:rsid w:val="00715B3F"/>
    <w:rsid w:val="0071642D"/>
    <w:rsid w:val="00717C94"/>
    <w:rsid w:val="00721306"/>
    <w:rsid w:val="007234E0"/>
    <w:rsid w:val="00725D8A"/>
    <w:rsid w:val="00727C0A"/>
    <w:rsid w:val="00730287"/>
    <w:rsid w:val="00735D8E"/>
    <w:rsid w:val="007369E1"/>
    <w:rsid w:val="0074203F"/>
    <w:rsid w:val="007435CD"/>
    <w:rsid w:val="007437CA"/>
    <w:rsid w:val="00746CF7"/>
    <w:rsid w:val="00752342"/>
    <w:rsid w:val="007554BB"/>
    <w:rsid w:val="00755FDD"/>
    <w:rsid w:val="0075752D"/>
    <w:rsid w:val="00760039"/>
    <w:rsid w:val="00763273"/>
    <w:rsid w:val="0076501A"/>
    <w:rsid w:val="00770F4F"/>
    <w:rsid w:val="007803AD"/>
    <w:rsid w:val="007839AE"/>
    <w:rsid w:val="00785146"/>
    <w:rsid w:val="00791CD0"/>
    <w:rsid w:val="007A059E"/>
    <w:rsid w:val="007A41C0"/>
    <w:rsid w:val="007A4764"/>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265D6"/>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3FCD"/>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2670"/>
    <w:rsid w:val="00946EF5"/>
    <w:rsid w:val="0095685D"/>
    <w:rsid w:val="0095718B"/>
    <w:rsid w:val="009604BB"/>
    <w:rsid w:val="009618B7"/>
    <w:rsid w:val="00962CDE"/>
    <w:rsid w:val="00974FBC"/>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1D35"/>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33"/>
    <w:rsid w:val="00B47D50"/>
    <w:rsid w:val="00B7018C"/>
    <w:rsid w:val="00B7019E"/>
    <w:rsid w:val="00B7185F"/>
    <w:rsid w:val="00B72BD6"/>
    <w:rsid w:val="00B869C6"/>
    <w:rsid w:val="00B87CB4"/>
    <w:rsid w:val="00B91375"/>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83DE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6CE5"/>
    <w:rsid w:val="00CF7DC8"/>
    <w:rsid w:val="00D04B4C"/>
    <w:rsid w:val="00D04CB5"/>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C379A"/>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B7A96"/>
    <w:rsid w:val="00ED1666"/>
    <w:rsid w:val="00ED27A4"/>
    <w:rsid w:val="00ED5154"/>
    <w:rsid w:val="00EE2CE9"/>
    <w:rsid w:val="00EE39D9"/>
    <w:rsid w:val="00EF0CFD"/>
    <w:rsid w:val="00EF2087"/>
    <w:rsid w:val="00EF4FBA"/>
    <w:rsid w:val="00F02423"/>
    <w:rsid w:val="00F072C1"/>
    <w:rsid w:val="00F07693"/>
    <w:rsid w:val="00F10369"/>
    <w:rsid w:val="00F13265"/>
    <w:rsid w:val="00F14B96"/>
    <w:rsid w:val="00F1681C"/>
    <w:rsid w:val="00F17DEA"/>
    <w:rsid w:val="00F223B3"/>
    <w:rsid w:val="00F33F13"/>
    <w:rsid w:val="00F35137"/>
    <w:rsid w:val="00F3531A"/>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0C2"/>
    <w:rsid w:val="00FC1111"/>
    <w:rsid w:val="00FC194B"/>
    <w:rsid w:val="00FC3BB8"/>
    <w:rsid w:val="00FD6CA8"/>
    <w:rsid w:val="00FE1B41"/>
    <w:rsid w:val="00FF21F2"/>
    <w:rsid w:val="00FF339E"/>
    <w:rsid w:val="00FF40F9"/>
    <w:rsid w:val="00FF47AD"/>
    <w:rsid w:val="00FF6875"/>
    <w:rsid w:val="00FF698C"/>
    <w:rsid w:val="0ACD630B"/>
    <w:rsid w:val="1BC72B84"/>
    <w:rsid w:val="1BF52C59"/>
    <w:rsid w:val="23173C26"/>
    <w:rsid w:val="2F1A5B68"/>
    <w:rsid w:val="44AC79CA"/>
    <w:rsid w:val="46552A9A"/>
    <w:rsid w:val="49CD1F3D"/>
    <w:rsid w:val="4FAF6015"/>
    <w:rsid w:val="50A311EB"/>
    <w:rsid w:val="52FA1506"/>
    <w:rsid w:val="5C6C35F6"/>
    <w:rsid w:val="607311A5"/>
    <w:rsid w:val="7C2D4912"/>
    <w:rsid w:val="7C5D36AC"/>
    <w:rsid w:val="7DB33A33"/>
    <w:rsid w:val="7F64168C"/>
    <w:rsid w:val="7FE03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semiHidden/>
    <w:unhideWhenUsed/>
    <w:qFormat/>
    <w:uiPriority w:val="99"/>
    <w:pPr>
      <w:jc w:val="left"/>
    </w:pPr>
  </w:style>
  <w:style w:type="paragraph" w:styleId="3">
    <w:name w:val="Plain Text"/>
    <w:basedOn w:val="1"/>
    <w:link w:val="16"/>
    <w:qFormat/>
    <w:uiPriority w:val="0"/>
    <w:rPr>
      <w:rFonts w:ascii="宋体" w:hAnsi="Courier New" w:cstheme="minorBidi"/>
      <w:szCs w:val="22"/>
    </w:rPr>
  </w:style>
  <w:style w:type="paragraph" w:styleId="4">
    <w:name w:val="Balloon Text"/>
    <w:basedOn w:val="1"/>
    <w:link w:val="24"/>
    <w:semiHidden/>
    <w:unhideWhenUsed/>
    <w:qFormat/>
    <w:uiPriority w:val="99"/>
    <w:rPr>
      <w:sz w:val="18"/>
      <w:szCs w:val="18"/>
    </w:rPr>
  </w:style>
  <w:style w:type="paragraph" w:styleId="5">
    <w:name w:val="footer"/>
    <w:basedOn w:val="1"/>
    <w:link w:val="17"/>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6">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8"/>
    <w:qFormat/>
    <w:uiPriority w:val="0"/>
    <w:pPr>
      <w:spacing w:before="240" w:after="60"/>
      <w:jc w:val="center"/>
      <w:outlineLvl w:val="0"/>
    </w:pPr>
    <w:rPr>
      <w:rFonts w:ascii="Arial" w:hAnsi="Arial" w:cs="Arial"/>
      <w:b/>
      <w:bCs/>
      <w:sz w:val="32"/>
      <w:szCs w:val="32"/>
    </w:rPr>
  </w:style>
  <w:style w:type="paragraph" w:styleId="8">
    <w:name w:val="annotation subject"/>
    <w:basedOn w:val="2"/>
    <w:next w:val="2"/>
    <w:link w:val="27"/>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Emphasis"/>
    <w:basedOn w:val="11"/>
    <w:qFormat/>
    <w:uiPriority w:val="20"/>
    <w:rPr>
      <w:i/>
      <w:iCs/>
    </w:rPr>
  </w:style>
  <w:style w:type="character" w:styleId="14">
    <w:name w:val="Hyperlink"/>
    <w:basedOn w:val="11"/>
    <w:semiHidden/>
    <w:unhideWhenUsed/>
    <w:qFormat/>
    <w:uiPriority w:val="99"/>
    <w:rPr>
      <w:color w:val="0000FF"/>
      <w:u w:val="single"/>
    </w:rPr>
  </w:style>
  <w:style w:type="character" w:styleId="15">
    <w:name w:val="annotation reference"/>
    <w:basedOn w:val="11"/>
    <w:semiHidden/>
    <w:unhideWhenUsed/>
    <w:qFormat/>
    <w:uiPriority w:val="99"/>
    <w:rPr>
      <w:sz w:val="21"/>
      <w:szCs w:val="21"/>
    </w:rPr>
  </w:style>
  <w:style w:type="character" w:customStyle="1" w:styleId="16">
    <w:name w:val="纯文本 字符"/>
    <w:link w:val="3"/>
    <w:qFormat/>
    <w:uiPriority w:val="0"/>
    <w:rPr>
      <w:rFonts w:ascii="宋体" w:hAnsi="Courier New" w:eastAsia="宋体"/>
    </w:rPr>
  </w:style>
  <w:style w:type="character" w:customStyle="1" w:styleId="17">
    <w:name w:val="页脚 字符"/>
    <w:link w:val="5"/>
    <w:qFormat/>
    <w:uiPriority w:val="0"/>
    <w:rPr>
      <w:sz w:val="18"/>
    </w:rPr>
  </w:style>
  <w:style w:type="character" w:customStyle="1" w:styleId="18">
    <w:name w:val="标题 字符"/>
    <w:link w:val="7"/>
    <w:qFormat/>
    <w:uiPriority w:val="0"/>
    <w:rPr>
      <w:rFonts w:ascii="Arial" w:hAnsi="Arial" w:eastAsia="宋体" w:cs="Arial"/>
      <w:b/>
      <w:bCs/>
      <w:sz w:val="32"/>
      <w:szCs w:val="32"/>
    </w:rPr>
  </w:style>
  <w:style w:type="character" w:customStyle="1" w:styleId="19">
    <w:name w:val="页脚 Char"/>
    <w:basedOn w:val="11"/>
    <w:semiHidden/>
    <w:qFormat/>
    <w:uiPriority w:val="99"/>
    <w:rPr>
      <w:rFonts w:ascii="Times New Roman" w:hAnsi="Times New Roman" w:eastAsia="宋体" w:cs="Times New Roman"/>
      <w:sz w:val="18"/>
      <w:szCs w:val="18"/>
    </w:rPr>
  </w:style>
  <w:style w:type="character" w:customStyle="1" w:styleId="20">
    <w:name w:val="标题 Char"/>
    <w:basedOn w:val="11"/>
    <w:qFormat/>
    <w:uiPriority w:val="10"/>
    <w:rPr>
      <w:rFonts w:eastAsia="宋体" w:asciiTheme="majorHAnsi" w:hAnsiTheme="majorHAnsi" w:cstheme="majorBidi"/>
      <w:b/>
      <w:bCs/>
      <w:sz w:val="32"/>
      <w:szCs w:val="32"/>
    </w:rPr>
  </w:style>
  <w:style w:type="character" w:customStyle="1" w:styleId="21">
    <w:name w:val="纯文本 Char"/>
    <w:basedOn w:val="11"/>
    <w:semiHidden/>
    <w:qFormat/>
    <w:uiPriority w:val="99"/>
    <w:rPr>
      <w:rFonts w:ascii="宋体" w:hAnsi="Courier New" w:eastAsia="宋体" w:cs="Courier New"/>
      <w:szCs w:val="21"/>
    </w:rPr>
  </w:style>
  <w:style w:type="character" w:customStyle="1" w:styleId="22">
    <w:name w:val="页眉 字符"/>
    <w:basedOn w:val="11"/>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character" w:customStyle="1" w:styleId="24">
    <w:name w:val="批注框文本 字符"/>
    <w:basedOn w:val="11"/>
    <w:link w:val="4"/>
    <w:semiHidden/>
    <w:qFormat/>
    <w:uiPriority w:val="99"/>
    <w:rPr>
      <w:rFonts w:ascii="Times New Roman" w:hAnsi="Times New Roman" w:eastAsia="宋体" w:cs="Times New Roman"/>
      <w:sz w:val="18"/>
      <w:szCs w:val="18"/>
    </w:rPr>
  </w:style>
  <w:style w:type="paragraph" w:customStyle="1" w:styleId="2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6">
    <w:name w:val="批注文字 字符"/>
    <w:basedOn w:val="11"/>
    <w:link w:val="2"/>
    <w:semiHidden/>
    <w:qFormat/>
    <w:uiPriority w:val="99"/>
    <w:rPr>
      <w:rFonts w:ascii="Times New Roman" w:hAnsi="Times New Roman" w:eastAsia="宋体" w:cs="Times New Roman"/>
      <w:kern w:val="2"/>
      <w:sz w:val="21"/>
    </w:rPr>
  </w:style>
  <w:style w:type="character" w:customStyle="1" w:styleId="27">
    <w:name w:val="批注主题 字符"/>
    <w:basedOn w:val="26"/>
    <w:link w:val="8"/>
    <w:semiHidden/>
    <w:qFormat/>
    <w:uiPriority w:val="99"/>
    <w:rPr>
      <w:rFonts w:ascii="Times New Roman" w:hAnsi="Times New Roman" w:eastAsia="宋体" w:cs="Times New Roman"/>
      <w:b/>
      <w:bCs/>
      <w:kern w:val="2"/>
      <w:sz w:val="21"/>
    </w:rPr>
  </w:style>
  <w:style w:type="paragraph" w:customStyle="1" w:styleId="28">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7653</Words>
  <Characters>7877</Characters>
  <Lines>57</Lines>
  <Paragraphs>16</Paragraphs>
  <TotalTime>16</TotalTime>
  <ScaleCrop>false</ScaleCrop>
  <LinksUpToDate>false</LinksUpToDate>
  <CharactersWithSpaces>7929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2021-03-17T07:37:00Z</dcterms:created>
  <dc:creator>User</dc:creator>
  <cp:lastModifiedBy>L</cp:lastModifiedBy>
  <cp:lastPrinted>2026-10-14T02:15:00Z</cp:lastPrinted>
  <dcterms:modified xsi:type="dcterms:W3CDTF">2026-10-30T02:38:56Z</dcterms:modified>
  <cp:revision>735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FD47254428C546C79753499200788EBF</vt:lpwstr>
  </property>
  <property fmtid="{D5CDD505-2E9C-101B-9397-08002B2CF9AE}" pid="4" name="KSOTemplateDocerSaveRecord">
    <vt:lpwstr>eyJoZGlkIjoiMDA2N2M5YTIwOThmOTM2M2JmNWVjZmVhMjg3OTFhNjEiLCJ1c2VySWQiOiIyMjIwOTI2ODQifQ==</vt:lpwstr>
  </property>
</Properties>
</file>