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【超级微波消解仪】采购需求</w:t>
      </w:r>
    </w:p>
    <w:p>
      <w:pPr>
        <w:tabs>
          <w:tab w:val="left" w:pos="900"/>
        </w:tabs>
        <w:adjustRightInd w:val="0"/>
        <w:snapToGrid w:val="0"/>
        <w:spacing w:line="360" w:lineRule="auto"/>
        <w:ind w:firstLine="422" w:firstLineChars="200"/>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pPr>
        <w:adjustRightInd w:val="0"/>
        <w:snapToGrid w:val="0"/>
        <w:spacing w:line="360" w:lineRule="auto"/>
        <w:ind w:firstLine="420" w:firstLineChars="20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本项目采购</w:t>
      </w:r>
      <w:r>
        <w:rPr>
          <w:rFonts w:hint="eastAsia" w:ascii="Times New Roman" w:hAnsi="Times New Roman" w:eastAsiaTheme="minorEastAsia"/>
          <w:color w:val="000000" w:themeColor="text1"/>
          <w:szCs w:val="21"/>
          <w14:textFill>
            <w14:solidFill>
              <w14:schemeClr w14:val="tx1"/>
            </w14:solidFill>
          </w14:textFill>
        </w:rPr>
        <w:t>超级微波消解仪</w:t>
      </w:r>
      <w:r>
        <w:rPr>
          <w:rFonts w:ascii="Times New Roman" w:hAnsi="Times New Roman" w:eastAsiaTheme="minorEastAsia"/>
          <w:color w:val="000000" w:themeColor="text1"/>
          <w:szCs w:val="21"/>
          <w14:textFill>
            <w14:solidFill>
              <w14:schemeClr w14:val="tx1"/>
            </w14:solidFill>
          </w14:textFill>
        </w:rPr>
        <w:t>1套，</w:t>
      </w:r>
      <w:r>
        <w:rPr>
          <w:rFonts w:hint="eastAsia" w:ascii="Times New Roman" w:hAnsi="Times New Roman" w:eastAsiaTheme="minorEastAsia"/>
          <w:color w:val="000000" w:themeColor="text1"/>
          <w:szCs w:val="21"/>
          <w14:textFill>
            <w14:solidFill>
              <w14:schemeClr w14:val="tx1"/>
            </w14:solidFill>
          </w14:textFill>
        </w:rPr>
        <w:t>主要包括微波加热主机、特氟龙内衬，高压罐、冷却循环水、消解管等，所有消解管须在同一温度（最高2</w:t>
      </w:r>
      <w:r>
        <w:rPr>
          <w:rFonts w:ascii="Times New Roman" w:hAnsi="Times New Roman" w:eastAsiaTheme="minorEastAsia"/>
          <w:color w:val="000000" w:themeColor="text1"/>
          <w:szCs w:val="21"/>
          <w14:textFill>
            <w14:solidFill>
              <w14:schemeClr w14:val="tx1"/>
            </w14:solidFill>
          </w14:textFill>
        </w:rPr>
        <w:t>80</w:t>
      </w:r>
      <w:r>
        <w:rPr>
          <w:rFonts w:hint="eastAsia" w:ascii="Times New Roman" w:hAnsi="Times New Roman" w:eastAsiaTheme="minorEastAsia"/>
          <w:color w:val="000000" w:themeColor="text1"/>
          <w:szCs w:val="21"/>
          <w14:textFill>
            <w14:solidFill>
              <w14:schemeClr w14:val="tx1"/>
            </w14:solidFill>
          </w14:textFill>
        </w:rPr>
        <w:t>℃）和压力（最高</w:t>
      </w:r>
      <w:r>
        <w:rPr>
          <w:rFonts w:ascii="Times New Roman" w:hAnsi="Times New Roman" w:eastAsiaTheme="minorEastAsia"/>
          <w:color w:val="000000" w:themeColor="text1"/>
          <w:szCs w:val="21"/>
          <w14:textFill>
            <w14:solidFill>
              <w14:schemeClr w14:val="tx1"/>
            </w14:solidFill>
          </w14:textFill>
        </w:rPr>
        <w:t>140</w:t>
      </w:r>
      <w:r>
        <w:rPr>
          <w:rFonts w:hint="eastAsia" w:ascii="Times New Roman" w:hAnsi="Times New Roman" w:eastAsiaTheme="minorEastAsia"/>
          <w:color w:val="000000" w:themeColor="text1"/>
          <w:szCs w:val="21"/>
          <w14:textFill>
            <w14:solidFill>
              <w14:schemeClr w14:val="tx1"/>
            </w14:solidFill>
          </w14:textFill>
        </w:rPr>
        <w:t>bar）下进行反应，主要用于各类样品消解制备自动前处理。</w:t>
      </w:r>
    </w:p>
    <w:p>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pPr>
        <w:tabs>
          <w:tab w:val="left" w:pos="900"/>
        </w:tabs>
        <w:adjustRightInd w:val="0"/>
        <w:snapToGrid w:val="0"/>
        <w:spacing w:line="360" w:lineRule="auto"/>
        <w:ind w:firstLine="420" w:firstLineChars="200"/>
        <w:rPr>
          <w:rFonts w:hAnsi="宋体"/>
          <w:szCs w:val="21"/>
        </w:rPr>
      </w:pPr>
      <w:r>
        <w:rPr>
          <w:rFonts w:hint="eastAsia" w:hAnsi="宋体"/>
        </w:rPr>
        <w:t>1</w:t>
      </w:r>
      <w:r>
        <w:rPr>
          <w:rFonts w:hAnsi="宋体"/>
        </w:rPr>
        <w:t xml:space="preserve">. </w:t>
      </w:r>
      <w:r>
        <w:rPr>
          <w:rFonts w:hint="eastAsia" w:hAnsi="宋体"/>
        </w:rPr>
        <w:t>中小企业扶持政策：</w:t>
      </w:r>
      <w:r>
        <w:rPr>
          <w:rFonts w:hAnsi="宋体"/>
        </w:rPr>
        <w:t>根据《政府采购促进中小企业发展管理办法》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rPr>
        <w:t>的，投标人应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pPr>
        <w:tabs>
          <w:tab w:val="left" w:pos="900"/>
        </w:tabs>
        <w:adjustRightInd w:val="0"/>
        <w:snapToGrid w:val="0"/>
        <w:spacing w:line="360" w:lineRule="auto"/>
        <w:ind w:firstLine="420" w:firstLineChars="200"/>
        <w:rPr>
          <w:rFonts w:hAnsi="宋体"/>
        </w:rPr>
      </w:pPr>
      <w:r>
        <w:rPr>
          <w:rFonts w:hint="eastAsia" w:hAnsi="宋体"/>
        </w:rPr>
        <w:t>本项目</w:t>
      </w:r>
      <w:bookmarkStart w:id="4" w:name="OLE_LINK23"/>
      <w:r>
        <w:rPr>
          <w:rFonts w:hint="eastAsia" w:hAnsi="宋体"/>
        </w:rPr>
        <w:t>采购标的对应的《中小企业划型标准规定》所属行业</w:t>
      </w:r>
      <w:bookmarkEnd w:id="4"/>
      <w:r>
        <w:rPr>
          <w:rFonts w:hint="eastAsia" w:hAnsi="宋体"/>
        </w:rPr>
        <w:t>为：</w:t>
      </w:r>
      <w:r>
        <w:rPr>
          <w:rFonts w:hint="eastAsia" w:hAnsi="宋体"/>
          <w:u w:val="single"/>
        </w:rPr>
        <w:t xml:space="preserve"> </w:t>
      </w:r>
      <w:r>
        <w:rPr>
          <w:rFonts w:hAnsi="宋体"/>
          <w:u w:val="single"/>
        </w:rPr>
        <w:t xml:space="preserve"> </w:t>
      </w:r>
      <w:r>
        <w:rPr>
          <w:rFonts w:hint="eastAsia" w:hAnsi="宋体"/>
          <w:u w:val="single"/>
        </w:rPr>
        <w:t>工业</w:t>
      </w:r>
      <w:r>
        <w:rPr>
          <w:rFonts w:hAnsi="宋体"/>
          <w:u w:val="single"/>
        </w:rPr>
        <w:t xml:space="preserve">               </w:t>
      </w:r>
      <w:r>
        <w:rPr>
          <w:rFonts w:hint="eastAsia" w:hAnsi="宋体"/>
        </w:rPr>
        <w:t>。</w:t>
      </w:r>
    </w:p>
    <w:p>
      <w:pPr>
        <w:tabs>
          <w:tab w:val="left" w:pos="900"/>
        </w:tabs>
        <w:adjustRightInd w:val="0"/>
        <w:snapToGrid w:val="0"/>
        <w:spacing w:line="360" w:lineRule="auto"/>
        <w:ind w:firstLine="420" w:firstLineChars="200"/>
        <w:rPr>
          <w:rFonts w:hAnsi="宋体"/>
        </w:rPr>
      </w:pPr>
      <w:r>
        <w:rPr>
          <w:rFonts w:hAnsi="宋体"/>
        </w:rPr>
        <w:t xml:space="preserve">2. </w:t>
      </w:r>
      <w:r>
        <w:rPr>
          <w:rFonts w:hint="eastAsia" w:hAnsi="宋体"/>
        </w:rPr>
        <w:t>进口产品政策：本采购项目</w:t>
      </w:r>
      <w:r>
        <w:rPr>
          <w:rFonts w:hAnsi="宋体"/>
        </w:rPr>
        <w:t xml:space="preserve"> </w:t>
      </w:r>
      <w:r>
        <w:rPr>
          <w:rFonts w:ascii="楷体" w:hAnsi="楷体" w:eastAsia="楷体"/>
          <w:color w:val="000000" w:themeColor="text1"/>
          <w:sz w:val="22"/>
          <w:szCs w:val="22"/>
          <w14:textFill>
            <w14:solidFill>
              <w14:schemeClr w14:val="tx1"/>
            </w14:solidFill>
          </w14:textFill>
        </w:rPr>
        <w:sym w:font="Wingdings 2" w:char="F052"/>
      </w:r>
      <w:r>
        <w:rPr>
          <w:rFonts w:hint="eastAsia" w:hAnsi="宋体"/>
        </w:rPr>
        <w:t>允许</w:t>
      </w:r>
      <w:r>
        <w:rPr>
          <w:rFonts w:hAnsi="宋体"/>
        </w:rPr>
        <w:t xml:space="preserve"> </w:t>
      </w:r>
      <w:r>
        <w:rPr>
          <w:rFonts w:hint="eastAsia" w:hAnsi="宋体"/>
        </w:rPr>
        <w:t>□不允许</w:t>
      </w:r>
      <w:r>
        <w:rPr>
          <w:rFonts w:hAnsi="宋体"/>
        </w:rPr>
        <w:t xml:space="preserve"> </w:t>
      </w:r>
      <w:r>
        <w:rPr>
          <w:rFonts w:hint="eastAsia" w:hAnsi="宋体"/>
        </w:rPr>
        <w:t>进口产品参加。（未进行勾选的，视为只接受本国产品参加）</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超级微波消解仪</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1</w:t>
      </w:r>
      <w:r>
        <w:rPr>
          <w:rFonts w:hint="eastAsia" w:ascii="宋体" w:hAnsi="宋体"/>
          <w:szCs w:val="21"/>
          <w:u w:val="single"/>
        </w:rPr>
        <w:t>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90</w:t>
      </w:r>
      <w:r>
        <w:rPr>
          <w:rFonts w:hint="eastAsia" w:hAnsi="宋体"/>
          <w:szCs w:val="21"/>
          <w:u w:val="single"/>
        </w:rPr>
        <w:t>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玖拾万元整</w:t>
      </w:r>
      <w:r>
        <w:rPr>
          <w:rFonts w:hAnsi="宋体"/>
          <w:szCs w:val="21"/>
          <w:u w:val="single"/>
        </w:rPr>
        <w:t xml:space="preserve">  </w:t>
      </w:r>
      <w:r>
        <w:rPr>
          <w:rFonts w:hint="eastAsia" w:hAnsi="宋体"/>
          <w:szCs w:val="21"/>
        </w:rPr>
        <w:t>）</w:t>
      </w:r>
    </w:p>
    <w:p>
      <w:pPr>
        <w:adjustRightInd w:val="0"/>
        <w:snapToGrid w:val="0"/>
        <w:spacing w:line="360" w:lineRule="auto"/>
        <w:ind w:firstLine="420" w:firstLineChars="200"/>
        <w:jc w:val="left"/>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90</w:t>
      </w:r>
      <w:r>
        <w:rPr>
          <w:rFonts w:hAnsi="宋体"/>
          <w:szCs w:val="21"/>
          <w:u w:val="single"/>
        </w:rPr>
        <w:t xml:space="preserve">  </w:t>
      </w:r>
      <w:r>
        <w:rPr>
          <w:rFonts w:hAnsi="宋体"/>
          <w:u w:val="single"/>
        </w:rPr>
        <w:t xml:space="preserve"> </w:t>
      </w:r>
      <w:r>
        <w:rPr>
          <w:rFonts w:hint="eastAsia" w:hAnsi="宋体"/>
        </w:rPr>
        <w:t>天内</w:t>
      </w:r>
    </w:p>
    <w:p>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西安交通大学创新港校区指定地点。</w:t>
      </w:r>
      <w:r>
        <w:rPr>
          <w:rFonts w:hAnsi="宋体"/>
          <w:szCs w:val="21"/>
          <w:u w:val="single"/>
        </w:rPr>
        <w:t xml:space="preserve">                                                               </w:t>
      </w:r>
    </w:p>
    <w:p>
      <w:pPr>
        <w:tabs>
          <w:tab w:val="left" w:pos="900"/>
        </w:tabs>
        <w:adjustRightInd w:val="0"/>
        <w:snapToGrid w:val="0"/>
        <w:spacing w:line="360" w:lineRule="auto"/>
        <w:ind w:firstLine="420" w:firstLineChars="200"/>
        <w:rPr>
          <w:rFonts w:hAnsi="宋体"/>
          <w:szCs w:val="21"/>
          <w:highlight w:val="yellow"/>
        </w:rPr>
      </w:pPr>
      <w:r>
        <w:rPr>
          <w:rFonts w:hint="eastAsia" w:hAnsi="宋体"/>
          <w:szCs w:val="21"/>
        </w:rPr>
        <w:t>（六）付款进度安排：</w:t>
      </w:r>
      <w:r>
        <w:rPr>
          <w:rFonts w:ascii="楷体" w:hAnsi="楷体" w:eastAsia="楷体"/>
          <w:color w:val="000000" w:themeColor="text1"/>
          <w:sz w:val="22"/>
          <w:szCs w:val="22"/>
          <w14:textFill>
            <w14:solidFill>
              <w14:schemeClr w14:val="tx1"/>
            </w14:solidFill>
          </w14:textFill>
        </w:rPr>
        <w:sym w:font="Wingdings 2" w:char="F052"/>
      </w:r>
      <w:r>
        <w:rPr>
          <w:rFonts w:hint="eastAsia" w:hAnsi="宋体"/>
          <w:szCs w:val="21"/>
        </w:rPr>
        <w:t>按</w:t>
      </w:r>
      <w:r>
        <w:rPr>
          <w:rFonts w:hAnsi="宋体"/>
          <w:szCs w:val="21"/>
        </w:rPr>
        <w:t>采购文件</w:t>
      </w:r>
      <w:r>
        <w:rPr>
          <w:rFonts w:hint="eastAsia" w:hAnsi="宋体"/>
          <w:szCs w:val="21"/>
        </w:rPr>
        <w:t>要求。</w:t>
      </w:r>
    </w:p>
    <w:p>
      <w:pPr>
        <w:pStyle w:val="10"/>
        <w:numPr>
          <w:ilvl w:val="0"/>
          <w:numId w:val="1"/>
        </w:numPr>
        <w:tabs>
          <w:tab w:val="left" w:pos="900"/>
        </w:tabs>
        <w:adjustRightInd w:val="0"/>
        <w:snapToGrid w:val="0"/>
        <w:spacing w:line="360" w:lineRule="auto"/>
        <w:ind w:firstLineChars="0"/>
        <w:rPr>
          <w:rFonts w:hAnsi="宋体"/>
          <w:b/>
          <w:szCs w:val="21"/>
        </w:rPr>
      </w:pPr>
      <w:r>
        <w:rPr>
          <w:rFonts w:hint="eastAsia" w:hAnsi="宋体"/>
          <w:b/>
          <w:szCs w:val="21"/>
        </w:rPr>
        <w:t>采购标的需满足的质量、安全、技术规格、物理特性等要求</w:t>
      </w:r>
    </w:p>
    <w:p>
      <w:pPr>
        <w:pStyle w:val="10"/>
        <w:tabs>
          <w:tab w:val="left" w:pos="900"/>
        </w:tabs>
        <w:adjustRightInd w:val="0"/>
        <w:snapToGrid w:val="0"/>
        <w:spacing w:line="360" w:lineRule="auto"/>
        <w:ind w:left="830" w:firstLine="0" w:firstLineChars="0"/>
        <w:rPr>
          <w:rFonts w:hAnsi="宋体"/>
          <w:b/>
          <w:szCs w:val="21"/>
        </w:rPr>
      </w:pPr>
      <w:r>
        <w:rPr>
          <w:rFonts w:hint="eastAsia" w:hAnsi="宋体"/>
          <w:b/>
          <w:szCs w:val="21"/>
        </w:rPr>
        <w:t>“*”项为重点关注指标，不作为废标项。</w:t>
      </w:r>
    </w:p>
    <w:p>
      <w:pPr>
        <w:pStyle w:val="10"/>
        <w:adjustRightInd w:val="0"/>
        <w:snapToGrid w:val="0"/>
        <w:spacing w:line="360" w:lineRule="auto"/>
        <w:ind w:left="800"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w:t>
      </w:r>
      <w:r>
        <w:rPr>
          <w:rFonts w:hint="eastAsia" w:ascii="Times New Roman" w:hAnsi="Times New Roman" w:eastAsiaTheme="minorEastAsia"/>
          <w:color w:val="000000" w:themeColor="text1"/>
          <w:szCs w:val="21"/>
          <w14:textFill>
            <w14:solidFill>
              <w14:schemeClr w14:val="tx1"/>
            </w14:solidFill>
          </w14:textFill>
        </w:rPr>
        <w:t>反应罐耐压最高压力：140Bar（提供佐证材料）。</w:t>
      </w:r>
    </w:p>
    <w:p>
      <w:pPr>
        <w:pStyle w:val="10"/>
        <w:adjustRightInd w:val="0"/>
        <w:snapToGrid w:val="0"/>
        <w:spacing w:line="360" w:lineRule="auto"/>
        <w:ind w:left="800"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工作温度：室温</w:t>
      </w:r>
      <w:r>
        <w:rPr>
          <w:rFonts w:ascii="Times New Roman" w:hAnsi="Times New Roman" w:eastAsiaTheme="minorEastAsia"/>
          <w:color w:val="000000" w:themeColor="text1"/>
          <w:szCs w:val="21"/>
          <w14:textFill>
            <w14:solidFill>
              <w14:schemeClr w14:val="tx1"/>
            </w14:solidFill>
          </w14:textFill>
        </w:rPr>
        <w:t>~</w:t>
      </w:r>
      <w:r>
        <w:rPr>
          <w:rFonts w:hint="eastAsia" w:ascii="Times New Roman" w:hAnsi="Times New Roman" w:eastAsiaTheme="minorEastAsia"/>
          <w:color w:val="000000" w:themeColor="text1"/>
          <w:szCs w:val="21"/>
          <w14:textFill>
            <w14:solidFill>
              <w14:schemeClr w14:val="tx1"/>
            </w14:solidFill>
          </w14:textFill>
        </w:rPr>
        <w:t>280℃，控温精度≤0.1℃，工作温度连续可调（提供第三方检测报告）。</w:t>
      </w:r>
    </w:p>
    <w:p>
      <w:pPr>
        <w:pStyle w:val="10"/>
        <w:adjustRightInd w:val="0"/>
        <w:snapToGrid w:val="0"/>
        <w:spacing w:line="360" w:lineRule="auto"/>
        <w:ind w:left="800"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*3</w:t>
      </w:r>
      <w:r>
        <w:rPr>
          <w:rFonts w:hint="eastAsia" w:ascii="Times New Roman" w:hAnsi="Times New Roman" w:eastAsiaTheme="minorEastAsia"/>
          <w:color w:val="000000" w:themeColor="text1"/>
          <w:szCs w:val="21"/>
          <w14:textFill>
            <w14:solidFill>
              <w14:schemeClr w14:val="tx1"/>
            </w14:solidFill>
          </w14:textFill>
        </w:rPr>
        <w:t>特氟龙反应腔2个，体积≥1</w:t>
      </w:r>
      <w:r>
        <w:rPr>
          <w:rFonts w:ascii="Times New Roman" w:hAnsi="Times New Roman" w:eastAsiaTheme="minorEastAsia"/>
          <w:color w:val="000000" w:themeColor="text1"/>
          <w:szCs w:val="21"/>
          <w14:textFill>
            <w14:solidFill>
              <w14:schemeClr w14:val="tx1"/>
            </w14:solidFill>
          </w14:textFill>
        </w:rPr>
        <w:t>L</w:t>
      </w:r>
      <w:r>
        <w:rPr>
          <w:rFonts w:hint="eastAsia" w:ascii="Times New Roman" w:hAnsi="Times New Roman" w:eastAsiaTheme="minorEastAsia"/>
          <w:color w:val="000000" w:themeColor="text1"/>
          <w:szCs w:val="21"/>
          <w14:textFill>
            <w14:solidFill>
              <w14:schemeClr w14:val="tx1"/>
            </w14:solidFill>
          </w14:textFill>
        </w:rPr>
        <w:t>，2</w:t>
      </w:r>
      <w:r>
        <w:rPr>
          <w:rFonts w:ascii="Times New Roman" w:hAnsi="Times New Roman" w:eastAsiaTheme="minorEastAsia"/>
          <w:color w:val="000000" w:themeColor="text1"/>
          <w:szCs w:val="21"/>
          <w14:textFill>
            <w14:solidFill>
              <w14:schemeClr w14:val="tx1"/>
            </w14:solidFill>
          </w14:textFill>
        </w:rPr>
        <w:t>80</w:t>
      </w:r>
      <w:r>
        <w:rPr>
          <w:rFonts w:hint="eastAsia" w:ascii="Times New Roman" w:hAnsi="Times New Roman" w:eastAsiaTheme="minorEastAsia"/>
          <w:color w:val="000000" w:themeColor="text1"/>
          <w:szCs w:val="21"/>
          <w14:textFill>
            <w14:solidFill>
              <w14:schemeClr w14:val="tx1"/>
            </w14:solidFill>
          </w14:textFill>
        </w:rPr>
        <w:t>℃稳定运行≥</w:t>
      </w:r>
      <w:r>
        <w:rPr>
          <w:rFonts w:ascii="Times New Roman" w:hAnsi="Times New Roman" w:eastAsiaTheme="minorEastAsia"/>
          <w:color w:val="000000" w:themeColor="text1"/>
          <w:szCs w:val="21"/>
          <w14:textFill>
            <w14:solidFill>
              <w14:schemeClr w14:val="tx1"/>
            </w14:solidFill>
          </w14:textFill>
        </w:rPr>
        <w:t>1</w:t>
      </w:r>
      <w:r>
        <w:rPr>
          <w:rFonts w:hint="eastAsia" w:ascii="Times New Roman" w:hAnsi="Times New Roman" w:eastAsiaTheme="minorEastAsia"/>
          <w:color w:val="000000" w:themeColor="text1"/>
          <w:szCs w:val="21"/>
          <w14:textFill>
            <w14:solidFill>
              <w14:schemeClr w14:val="tx1"/>
            </w14:solidFill>
          </w14:textFill>
        </w:rPr>
        <w:t>小时。</w:t>
      </w:r>
    </w:p>
    <w:p>
      <w:pPr>
        <w:adjustRightInd w:val="0"/>
        <w:snapToGrid w:val="0"/>
        <w:spacing w:line="360" w:lineRule="auto"/>
        <w:ind w:firstLine="840" w:firstLineChars="400"/>
        <w:rPr>
          <w:rFonts w:hint="eastAsia"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4</w:t>
      </w:r>
      <w:r>
        <w:rPr>
          <w:rFonts w:hint="eastAsia" w:ascii="Times New Roman" w:hAnsi="Times New Roman" w:eastAsiaTheme="minorEastAsia"/>
          <w:color w:val="000000" w:themeColor="text1"/>
          <w:szCs w:val="21"/>
          <w14:textFill>
            <w14:solidFill>
              <w14:schemeClr w14:val="tx1"/>
            </w14:solidFill>
          </w14:textFill>
        </w:rPr>
        <w:t>单反应腔预加压式超级微波功率≥1</w:t>
      </w:r>
      <w:r>
        <w:rPr>
          <w:rFonts w:ascii="Times New Roman" w:hAnsi="Times New Roman" w:eastAsiaTheme="minorEastAsia"/>
          <w:color w:val="000000" w:themeColor="text1"/>
          <w:szCs w:val="21"/>
          <w14:textFill>
            <w14:solidFill>
              <w14:schemeClr w14:val="tx1"/>
            </w14:solidFill>
          </w14:textFill>
        </w:rPr>
        <w:t>500W</w:t>
      </w:r>
      <w:r>
        <w:rPr>
          <w:rFonts w:hint="eastAsia" w:ascii="Times New Roman" w:hAnsi="Times New Roman" w:eastAsiaTheme="minorEastAsia"/>
          <w:color w:val="000000" w:themeColor="text1"/>
          <w:szCs w:val="21"/>
          <w14:textFill>
            <w14:solidFill>
              <w14:schemeClr w14:val="tx1"/>
            </w14:solidFill>
          </w14:textFill>
        </w:rPr>
        <w:t>，微波泄漏符合相关规定要求（提供相应佐证材料）。</w:t>
      </w:r>
    </w:p>
    <w:p>
      <w:pPr>
        <w:adjustRightInd w:val="0"/>
        <w:snapToGrid w:val="0"/>
        <w:spacing w:line="360" w:lineRule="auto"/>
        <w:ind w:firstLine="840" w:firstLineChars="40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主机外壳采用耐盐酸的特种不锈钢。</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*6反应室有升降</w:t>
      </w:r>
      <w:r>
        <w:rPr>
          <w:rFonts w:hint="eastAsia" w:ascii="Times New Roman" w:hAnsi="Times New Roman" w:eastAsiaTheme="minorEastAsia"/>
          <w:color w:val="000000" w:themeColor="text1"/>
          <w:szCs w:val="21"/>
          <w14:textFill>
            <w14:solidFill>
              <w14:schemeClr w14:val="tx1"/>
            </w14:solidFill>
          </w14:textFill>
        </w:rPr>
        <w:t>定位</w:t>
      </w:r>
      <w:r>
        <w:rPr>
          <w:rFonts w:ascii="Times New Roman" w:hAnsi="Times New Roman" w:eastAsiaTheme="minorEastAsia"/>
          <w:color w:val="000000" w:themeColor="text1"/>
          <w:szCs w:val="21"/>
          <w14:textFill>
            <w14:solidFill>
              <w14:schemeClr w14:val="tx1"/>
            </w14:solidFill>
          </w14:textFill>
        </w:rPr>
        <w:t>系统。</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*7</w:t>
      </w:r>
      <w:r>
        <w:rPr>
          <w:rFonts w:hint="eastAsia" w:ascii="Times New Roman" w:hAnsi="Times New Roman" w:eastAsiaTheme="minorEastAsia"/>
          <w:color w:val="000000" w:themeColor="text1"/>
          <w:szCs w:val="21"/>
          <w14:textFill>
            <w14:solidFill>
              <w14:schemeClr w14:val="tx1"/>
            </w14:solidFill>
          </w14:textFill>
        </w:rPr>
        <w:t xml:space="preserve">单个TFM材质反应支架位数及消解管体积：≥6位且(30 ~ </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0mL)，≥</w:t>
      </w:r>
      <w:r>
        <w:rPr>
          <w:rFonts w:ascii="Times New Roman" w:hAnsi="Times New Roman" w:eastAsiaTheme="minorEastAsia"/>
          <w:color w:val="000000" w:themeColor="text1"/>
          <w:szCs w:val="21"/>
          <w14:textFill>
            <w14:solidFill>
              <w14:schemeClr w14:val="tx1"/>
            </w14:solidFill>
          </w14:textFill>
        </w:rPr>
        <w:t>9</w:t>
      </w:r>
      <w:r>
        <w:rPr>
          <w:rFonts w:hint="eastAsia" w:ascii="Times New Roman" w:hAnsi="Times New Roman" w:eastAsiaTheme="minorEastAsia"/>
          <w:color w:val="000000" w:themeColor="text1"/>
          <w:szCs w:val="21"/>
          <w14:textFill>
            <w14:solidFill>
              <w14:schemeClr w14:val="tx1"/>
            </w14:solidFill>
          </w14:textFill>
        </w:rPr>
        <w:t>位且(12 ~ 2</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w:t>
      </w:r>
      <w:r>
        <w:rPr>
          <w:rFonts w:ascii="Times New Roman" w:hAnsi="Times New Roman" w:eastAsiaTheme="minorEastAsia"/>
          <w:color w:val="000000" w:themeColor="text1"/>
          <w:szCs w:val="21"/>
          <w14:textFill>
            <w14:solidFill>
              <w14:schemeClr w14:val="tx1"/>
            </w14:solidFill>
          </w14:textFill>
        </w:rPr>
        <w:t>18</w:t>
      </w:r>
      <w:r>
        <w:rPr>
          <w:rFonts w:hint="eastAsia" w:ascii="Times New Roman" w:hAnsi="Times New Roman" w:eastAsiaTheme="minorEastAsia"/>
          <w:color w:val="000000" w:themeColor="text1"/>
          <w:szCs w:val="21"/>
          <w14:textFill>
            <w14:solidFill>
              <w14:schemeClr w14:val="tx1"/>
            </w14:solidFill>
          </w14:textFill>
        </w:rPr>
        <w:t>位且(</w:t>
      </w:r>
      <w:r>
        <w:rPr>
          <w:rFonts w:ascii="Times New Roman" w:hAnsi="Times New Roman" w:eastAsiaTheme="minorEastAsia"/>
          <w:color w:val="000000" w:themeColor="text1"/>
          <w:szCs w:val="21"/>
          <w14:textFill>
            <w14:solidFill>
              <w14:schemeClr w14:val="tx1"/>
            </w14:solidFill>
          </w14:textFill>
        </w:rPr>
        <w:t>6</w:t>
      </w:r>
      <w:r>
        <w:rPr>
          <w:rFonts w:hint="eastAsia" w:ascii="Times New Roman" w:hAnsi="Times New Roman" w:eastAsiaTheme="minorEastAsia"/>
          <w:color w:val="000000" w:themeColor="text1"/>
          <w:szCs w:val="21"/>
          <w14:textFill>
            <w14:solidFill>
              <w14:schemeClr w14:val="tx1"/>
            </w14:solidFill>
          </w14:textFill>
        </w:rPr>
        <w:t xml:space="preserve"> ~ 1</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mL)等多种支架，每个规格≥</w:t>
      </w:r>
      <w:r>
        <w:rPr>
          <w:rFonts w:ascii="Times New Roman" w:hAnsi="Times New Roman" w:eastAsiaTheme="minorEastAsia"/>
          <w:color w:val="000000" w:themeColor="text1"/>
          <w:szCs w:val="21"/>
          <w14:textFill>
            <w14:solidFill>
              <w14:schemeClr w14:val="tx1"/>
            </w14:solidFill>
          </w14:textFill>
        </w:rPr>
        <w:t>1</w:t>
      </w:r>
      <w:r>
        <w:rPr>
          <w:rFonts w:hint="eastAsia" w:ascii="Times New Roman" w:hAnsi="Times New Roman" w:eastAsiaTheme="minorEastAsia"/>
          <w:color w:val="000000" w:themeColor="text1"/>
          <w:szCs w:val="21"/>
          <w14:textFill>
            <w14:solidFill>
              <w14:schemeClr w14:val="tx1"/>
            </w14:solidFill>
          </w14:textFill>
        </w:rPr>
        <w:t>个，总数≥3个。</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*8</w:t>
      </w:r>
      <w:r>
        <w:rPr>
          <w:rFonts w:hint="eastAsia" w:ascii="Times New Roman" w:hAnsi="Times New Roman" w:eastAsiaTheme="minorEastAsia"/>
          <w:color w:val="000000" w:themeColor="text1"/>
          <w:szCs w:val="21"/>
          <w14:textFill>
            <w14:solidFill>
              <w14:schemeClr w14:val="tx1"/>
            </w14:solidFill>
          </w14:textFill>
        </w:rPr>
        <w:t>配套T</w:t>
      </w:r>
      <w:r>
        <w:rPr>
          <w:rFonts w:ascii="Times New Roman" w:hAnsi="Times New Roman" w:eastAsiaTheme="minorEastAsia"/>
          <w:color w:val="000000" w:themeColor="text1"/>
          <w:szCs w:val="21"/>
          <w14:textFill>
            <w14:solidFill>
              <w14:schemeClr w14:val="tx1"/>
            </w14:solidFill>
          </w14:textFill>
        </w:rPr>
        <w:t>FM</w:t>
      </w:r>
      <w:r>
        <w:rPr>
          <w:rFonts w:hint="eastAsia" w:ascii="Times New Roman" w:hAnsi="Times New Roman" w:eastAsiaTheme="minorEastAsia"/>
          <w:color w:val="000000" w:themeColor="text1"/>
          <w:szCs w:val="21"/>
          <w14:textFill>
            <w14:solidFill>
              <w14:schemeClr w14:val="tx1"/>
            </w14:solidFill>
          </w14:textFill>
        </w:rPr>
        <w:t>消解管≥15</w:t>
      </w:r>
      <w:r>
        <w:rPr>
          <w:rFonts w:ascii="Times New Roman" w:hAnsi="Times New Roman" w:eastAsiaTheme="minorEastAsia"/>
          <w:color w:val="000000" w:themeColor="text1"/>
          <w:szCs w:val="21"/>
          <w14:textFill>
            <w14:solidFill>
              <w14:schemeClr w14:val="tx1"/>
            </w14:solidFill>
          </w14:textFill>
        </w:rPr>
        <w:t>0</w:t>
      </w:r>
      <w:r>
        <w:rPr>
          <w:rFonts w:hint="eastAsia" w:ascii="Times New Roman" w:hAnsi="Times New Roman" w:eastAsiaTheme="minorEastAsia"/>
          <w:color w:val="000000" w:themeColor="text1"/>
          <w:szCs w:val="21"/>
          <w14:textFill>
            <w14:solidFill>
              <w14:schemeClr w14:val="tx1"/>
            </w14:solidFill>
          </w14:textFill>
        </w:rPr>
        <w:t xml:space="preserve">套（高纯材质,K、Ca、Na、Mg、Zn、Fe、Cu、Co、Ni等元素背景值检出限优于ppb级）。提供：大号支架位数≥3倍(30 ~ </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0mL)、中号支架位数≥3倍(12 ~ 2</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mL)、小号支架位数≥3倍(</w:t>
      </w:r>
      <w:r>
        <w:rPr>
          <w:rFonts w:ascii="Times New Roman" w:hAnsi="Times New Roman" w:eastAsiaTheme="minorEastAsia"/>
          <w:color w:val="000000" w:themeColor="text1"/>
          <w:szCs w:val="21"/>
          <w14:textFill>
            <w14:solidFill>
              <w14:schemeClr w14:val="tx1"/>
            </w14:solidFill>
          </w14:textFill>
        </w:rPr>
        <w:t>6</w:t>
      </w:r>
      <w:r>
        <w:rPr>
          <w:rFonts w:hint="eastAsia" w:ascii="Times New Roman" w:hAnsi="Times New Roman" w:eastAsiaTheme="minorEastAsia"/>
          <w:color w:val="000000" w:themeColor="text1"/>
          <w:szCs w:val="21"/>
          <w14:textFill>
            <w14:solidFill>
              <w14:schemeClr w14:val="tx1"/>
            </w14:solidFill>
          </w14:textFill>
        </w:rPr>
        <w:t xml:space="preserve"> ~ 1</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*9</w:t>
      </w:r>
      <w:r>
        <w:rPr>
          <w:rFonts w:hint="eastAsia" w:ascii="Times New Roman" w:hAnsi="Times New Roman" w:eastAsiaTheme="minorEastAsia"/>
          <w:color w:val="000000" w:themeColor="text1"/>
          <w:szCs w:val="21"/>
          <w14:textFill>
            <w14:solidFill>
              <w14:schemeClr w14:val="tx1"/>
            </w14:solidFill>
          </w14:textFill>
        </w:rPr>
        <w:t>配套T</w:t>
      </w:r>
      <w:r>
        <w:rPr>
          <w:rFonts w:ascii="Times New Roman" w:hAnsi="Times New Roman" w:eastAsiaTheme="minorEastAsia"/>
          <w:color w:val="000000" w:themeColor="text1"/>
          <w:szCs w:val="21"/>
          <w14:textFill>
            <w14:solidFill>
              <w14:schemeClr w14:val="tx1"/>
            </w14:solidFill>
          </w14:textFill>
        </w:rPr>
        <w:t>FM</w:t>
      </w:r>
      <w:r>
        <w:rPr>
          <w:rFonts w:hint="eastAsia" w:ascii="Times New Roman" w:hAnsi="Times New Roman" w:eastAsiaTheme="minorEastAsia"/>
          <w:color w:val="000000" w:themeColor="text1"/>
          <w:szCs w:val="21"/>
          <w14:textFill>
            <w14:solidFill>
              <w14:schemeClr w14:val="tx1"/>
            </w14:solidFill>
          </w14:textFill>
        </w:rPr>
        <w:t>消解管塞（高纯材质要求同上）大号支架位数</w:t>
      </w: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倍、中号大号支架位数</w:t>
      </w: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倍、小号支架位数</w:t>
      </w: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倍。</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*10</w:t>
      </w:r>
      <w:r>
        <w:rPr>
          <w:rFonts w:hint="eastAsia" w:ascii="Times New Roman" w:hAnsi="Times New Roman" w:eastAsiaTheme="minorEastAsia"/>
          <w:color w:val="000000" w:themeColor="text1"/>
          <w:szCs w:val="21"/>
          <w14:textFill>
            <w14:solidFill>
              <w14:schemeClr w14:val="tx1"/>
            </w14:solidFill>
          </w14:textFill>
        </w:rPr>
        <w:t>配套石英消解管≥</w:t>
      </w:r>
      <w:r>
        <w:rPr>
          <w:rFonts w:ascii="Times New Roman" w:hAnsi="Times New Roman" w:eastAsiaTheme="minorEastAsia"/>
          <w:color w:val="000000" w:themeColor="text1"/>
          <w:szCs w:val="21"/>
          <w14:textFill>
            <w14:solidFill>
              <w14:schemeClr w14:val="tx1"/>
            </w14:solidFill>
          </w14:textFill>
        </w:rPr>
        <w:t>150</w:t>
      </w:r>
      <w:r>
        <w:rPr>
          <w:rFonts w:hint="eastAsia" w:ascii="Times New Roman" w:hAnsi="Times New Roman" w:eastAsiaTheme="minorEastAsia"/>
          <w:color w:val="000000" w:themeColor="text1"/>
          <w:szCs w:val="21"/>
          <w14:textFill>
            <w14:solidFill>
              <w14:schemeClr w14:val="tx1"/>
            </w14:solidFill>
          </w14:textFill>
        </w:rPr>
        <w:t xml:space="preserve">套（高纯材质,K、Ca、Na、Mg、Zn、Fe、Cu、Co、Ni等元素背景值检出限优于ppb级）。提供：大号支架位数≥3倍(30 ~ </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0mL)、中号支架位数≥3倍(12 ~ 2</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mL)、小号支架位数≥3倍(</w:t>
      </w:r>
      <w:r>
        <w:rPr>
          <w:rFonts w:ascii="Times New Roman" w:hAnsi="Times New Roman" w:eastAsiaTheme="minorEastAsia"/>
          <w:color w:val="000000" w:themeColor="text1"/>
          <w:szCs w:val="21"/>
          <w14:textFill>
            <w14:solidFill>
              <w14:schemeClr w14:val="tx1"/>
            </w14:solidFill>
          </w14:textFill>
        </w:rPr>
        <w:t>6</w:t>
      </w:r>
      <w:r>
        <w:rPr>
          <w:rFonts w:hint="eastAsia" w:ascii="Times New Roman" w:hAnsi="Times New Roman" w:eastAsiaTheme="minorEastAsia"/>
          <w:color w:val="000000" w:themeColor="text1"/>
          <w:szCs w:val="21"/>
          <w14:textFill>
            <w14:solidFill>
              <w14:schemeClr w14:val="tx1"/>
            </w14:solidFill>
          </w14:textFill>
        </w:rPr>
        <w:t xml:space="preserve"> ~ 1</w:t>
      </w:r>
      <w:r>
        <w:rPr>
          <w:rFonts w:ascii="Times New Roman" w:hAnsi="Times New Roman" w:eastAsiaTheme="minorEastAsia"/>
          <w:color w:val="000000" w:themeColor="text1"/>
          <w:szCs w:val="21"/>
          <w14:textFill>
            <w14:solidFill>
              <w14:schemeClr w14:val="tx1"/>
            </w14:solidFill>
          </w14:textFill>
        </w:rPr>
        <w:t>5</w:t>
      </w:r>
      <w:r>
        <w:rPr>
          <w:rFonts w:hint="eastAsia" w:ascii="Times New Roman" w:hAnsi="Times New Roman" w:eastAsiaTheme="minorEastAsia"/>
          <w:color w:val="000000" w:themeColor="text1"/>
          <w:szCs w:val="21"/>
          <w14:textFill>
            <w14:solidFill>
              <w14:schemeClr w14:val="tx1"/>
            </w14:solidFill>
          </w14:textFill>
        </w:rPr>
        <w:t>mL)。</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11</w:t>
      </w:r>
      <w:r>
        <w:rPr>
          <w:rFonts w:hint="eastAsia" w:ascii="Times New Roman" w:hAnsi="Times New Roman" w:eastAsiaTheme="minorEastAsia"/>
          <w:color w:val="000000" w:themeColor="text1"/>
          <w:szCs w:val="21"/>
          <w14:textFill>
            <w14:solidFill>
              <w14:schemeClr w14:val="tx1"/>
            </w14:solidFill>
          </w14:textFill>
        </w:rPr>
        <w:t>消解罐配套样品试管架大中小规格，每个规格≥</w:t>
      </w: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个，总数≥</w:t>
      </w:r>
      <w:r>
        <w:rPr>
          <w:rFonts w:ascii="Times New Roman" w:hAnsi="Times New Roman" w:eastAsiaTheme="minorEastAsia"/>
          <w:color w:val="000000" w:themeColor="text1"/>
          <w:szCs w:val="21"/>
          <w14:textFill>
            <w14:solidFill>
              <w14:schemeClr w14:val="tx1"/>
            </w14:solidFill>
          </w14:textFill>
        </w:rPr>
        <w:t>6</w:t>
      </w:r>
      <w:r>
        <w:rPr>
          <w:rFonts w:hint="eastAsia" w:ascii="Times New Roman" w:hAnsi="Times New Roman" w:eastAsiaTheme="minorEastAsia"/>
          <w:color w:val="000000" w:themeColor="text1"/>
          <w:szCs w:val="21"/>
          <w14:textFill>
            <w14:solidFill>
              <w14:schemeClr w14:val="tx1"/>
            </w14:solidFill>
          </w14:textFill>
        </w:rPr>
        <w:t>个。</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*12</w:t>
      </w:r>
      <w:r>
        <w:rPr>
          <w:rFonts w:hint="eastAsia" w:ascii="Times New Roman" w:hAnsi="Times New Roman" w:eastAsiaTheme="minorEastAsia"/>
          <w:color w:val="000000" w:themeColor="text1"/>
          <w:szCs w:val="21"/>
          <w14:textFill>
            <w14:solidFill>
              <w14:schemeClr w14:val="tx1"/>
            </w14:solidFill>
          </w14:textFill>
        </w:rPr>
        <w:t>消解管配套赶酸装置≥2套（大号和中号消解罐配套的）。</w:t>
      </w:r>
    </w:p>
    <w:p>
      <w:pPr>
        <w:pStyle w:val="10"/>
        <w:adjustRightInd w:val="0"/>
        <w:snapToGrid w:val="0"/>
        <w:spacing w:line="360" w:lineRule="auto"/>
        <w:ind w:left="992" w:firstLine="0" w:firstLineChars="0"/>
        <w:rPr>
          <w:rFonts w:ascii="Times New Roman" w:hAnsi="Times New Roman" w:eastAsiaTheme="minorEastAsia"/>
          <w:color w:val="auto"/>
          <w:szCs w:val="21"/>
          <w:highlight w:val="none"/>
        </w:rPr>
      </w:pPr>
      <w:r>
        <w:rPr>
          <w:rFonts w:ascii="Times New Roman" w:hAnsi="Times New Roman" w:eastAsiaTheme="minorEastAsia"/>
          <w:color w:val="auto"/>
          <w:szCs w:val="21"/>
          <w:highlight w:val="none"/>
        </w:rPr>
        <w:t>13</w:t>
      </w:r>
      <w:r>
        <w:rPr>
          <w:rFonts w:hint="eastAsia" w:ascii="Times New Roman" w:hAnsi="Times New Roman" w:eastAsiaTheme="minorEastAsia"/>
          <w:color w:val="auto"/>
          <w:szCs w:val="21"/>
          <w:highlight w:val="none"/>
        </w:rPr>
        <w:t>冷却</w:t>
      </w:r>
      <w:r>
        <w:rPr>
          <w:rFonts w:hint="eastAsia" w:ascii="Times New Roman" w:hAnsi="Times New Roman" w:eastAsiaTheme="minorEastAsia"/>
          <w:color w:val="auto"/>
          <w:szCs w:val="21"/>
          <w:highlight w:val="none"/>
          <w:lang w:val="en-US" w:eastAsia="zh-CN"/>
        </w:rPr>
        <w:t>系统：</w:t>
      </w:r>
      <w:bookmarkStart w:id="8" w:name="_GoBack"/>
      <w:r>
        <w:rPr>
          <w:rFonts w:hint="eastAsia" w:ascii="Times New Roman" w:hAnsi="Times New Roman" w:eastAsiaTheme="minorEastAsia"/>
          <w:color w:val="auto"/>
          <w:szCs w:val="21"/>
          <w:highlight w:val="none"/>
          <w:lang w:val="en-US" w:eastAsia="zh-CN"/>
        </w:rPr>
        <w:t>独立外</w:t>
      </w:r>
      <w:r>
        <w:rPr>
          <w:rFonts w:hint="eastAsia" w:ascii="Times New Roman" w:hAnsi="Times New Roman" w:eastAsiaTheme="minorEastAsia"/>
          <w:color w:val="auto"/>
          <w:szCs w:val="21"/>
          <w:highlight w:val="none"/>
        </w:rPr>
        <w:t>循环</w:t>
      </w:r>
      <w:r>
        <w:rPr>
          <w:rFonts w:hint="eastAsia" w:ascii="Times New Roman" w:hAnsi="Times New Roman" w:eastAsiaTheme="minorEastAsia"/>
          <w:color w:val="auto"/>
          <w:szCs w:val="21"/>
          <w:highlight w:val="none"/>
          <w:lang w:val="en-US" w:eastAsia="zh-CN"/>
        </w:rPr>
        <w:t>冷却装置与微波消解仪接口匹配，具有调节旁路限压系统</w:t>
      </w:r>
      <w:r>
        <w:rPr>
          <w:rFonts w:hint="eastAsia" w:ascii="Times New Roman" w:hAnsi="Times New Roman" w:eastAsiaTheme="minorEastAsia"/>
          <w:color w:val="auto"/>
          <w:szCs w:val="21"/>
          <w:highlight w:val="none"/>
        </w:rPr>
        <w:t>。</w:t>
      </w:r>
    </w:p>
    <w:bookmarkEnd w:id="8"/>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14</w:t>
      </w:r>
      <w:r>
        <w:rPr>
          <w:rFonts w:hint="eastAsia" w:ascii="Times New Roman" w:hAnsi="Times New Roman" w:eastAsiaTheme="minorEastAsia"/>
          <w:color w:val="000000" w:themeColor="text1"/>
          <w:szCs w:val="21"/>
          <w14:textFill>
            <w14:solidFill>
              <w14:schemeClr w14:val="tx1"/>
            </w14:solidFill>
          </w14:textFill>
        </w:rPr>
        <w:t>设备具备磁力搅拌功能。</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*15</w:t>
      </w:r>
      <w:r>
        <w:rPr>
          <w:rFonts w:hint="eastAsia" w:ascii="Times New Roman" w:hAnsi="Times New Roman" w:eastAsiaTheme="minorEastAsia"/>
          <w:color w:val="000000" w:themeColor="text1"/>
          <w:szCs w:val="21"/>
          <w14:textFill>
            <w14:solidFill>
              <w14:schemeClr w14:val="tx1"/>
            </w14:solidFill>
          </w14:textFill>
        </w:rPr>
        <w:t>反应腔具有防止交叉污染、防气体杂质污染、防止反应压力大于钢瓶压力时倒流现象的功能。</w:t>
      </w:r>
    </w:p>
    <w:p>
      <w:pPr>
        <w:pStyle w:val="10"/>
        <w:adjustRightInd w:val="0"/>
        <w:snapToGrid w:val="0"/>
        <w:spacing w:line="360" w:lineRule="auto"/>
        <w:ind w:left="992"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16</w:t>
      </w:r>
      <w:r>
        <w:rPr>
          <w:rFonts w:hint="eastAsia" w:ascii="Times New Roman" w:hAnsi="Times New Roman" w:eastAsiaTheme="minorEastAsia"/>
          <w:color w:val="000000" w:themeColor="text1"/>
          <w:szCs w:val="21"/>
          <w14:textFill>
            <w14:solidFill>
              <w14:schemeClr w14:val="tx1"/>
            </w14:solidFill>
          </w14:textFill>
        </w:rPr>
        <w:t>须提供相应的配件：密封圈≥50个、氮气减压阀≥</w:t>
      </w:r>
      <w:r>
        <w:rPr>
          <w:rFonts w:ascii="Times New Roman" w:hAnsi="Times New Roman" w:eastAsiaTheme="minorEastAsia"/>
          <w:color w:val="000000" w:themeColor="text1"/>
          <w:szCs w:val="21"/>
          <w14:textFill>
            <w14:solidFill>
              <w14:schemeClr w14:val="tx1"/>
            </w14:solidFill>
          </w14:textFill>
        </w:rPr>
        <w:t>1</w:t>
      </w:r>
      <w:r>
        <w:rPr>
          <w:rFonts w:hint="eastAsia" w:ascii="Times New Roman" w:hAnsi="Times New Roman" w:eastAsiaTheme="minorEastAsia"/>
          <w:color w:val="000000" w:themeColor="text1"/>
          <w:szCs w:val="21"/>
          <w14:textFill>
            <w14:solidFill>
              <w14:schemeClr w14:val="tx1"/>
            </w14:solidFill>
          </w14:textFill>
        </w:rPr>
        <w:t>个、</w:t>
      </w:r>
      <w:r>
        <w:rPr>
          <w:rFonts w:hint="eastAsia" w:ascii="Times New Roman" w:hAnsi="Times New Roman" w:eastAsiaTheme="minorEastAsia"/>
          <w:color w:val="000000" w:themeColor="text1"/>
          <w:szCs w:val="21"/>
          <w:lang w:val="en-US" w:eastAsia="zh-CN"/>
          <w14:textFill>
            <w14:solidFill>
              <w14:schemeClr w14:val="tx1"/>
            </w14:solidFill>
          </w14:textFill>
        </w:rPr>
        <w:t>润滑油</w:t>
      </w:r>
      <w:r>
        <w:rPr>
          <w:rFonts w:hint="eastAsia" w:ascii="Times New Roman" w:hAnsi="Times New Roman" w:eastAsiaTheme="minorEastAsia"/>
          <w:color w:val="000000" w:themeColor="text1"/>
          <w:szCs w:val="21"/>
          <w14:textFill>
            <w14:solidFill>
              <w14:schemeClr w14:val="tx1"/>
            </w14:solidFill>
          </w14:textFill>
        </w:rPr>
        <w:t>等配件和易损件名称、数量清单。</w:t>
      </w:r>
    </w:p>
    <w:p>
      <w:pPr>
        <w:pStyle w:val="10"/>
        <w:adjustRightInd w:val="0"/>
        <w:snapToGrid w:val="0"/>
        <w:spacing w:line="360" w:lineRule="auto"/>
        <w:ind w:left="992" w:firstLine="0" w:firstLineChars="0"/>
        <w:rPr>
          <w:rFonts w:hint="eastAsia"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17</w:t>
      </w:r>
      <w:r>
        <w:rPr>
          <w:rFonts w:hint="eastAsia" w:ascii="Times New Roman" w:hAnsi="Times New Roman" w:eastAsiaTheme="minorEastAsia"/>
          <w:color w:val="000000" w:themeColor="text1"/>
          <w:szCs w:val="21"/>
          <w14:textFill>
            <w14:solidFill>
              <w14:schemeClr w14:val="tx1"/>
            </w14:solidFill>
          </w14:textFill>
        </w:rPr>
        <w:t>系统具有</w:t>
      </w:r>
      <w:r>
        <w:rPr>
          <w:rFonts w:ascii="Times New Roman" w:hAnsi="Times New Roman" w:eastAsiaTheme="minorEastAsia"/>
          <w:color w:val="000000" w:themeColor="text1"/>
          <w:szCs w:val="21"/>
          <w14:textFill>
            <w14:solidFill>
              <w14:schemeClr w14:val="tx1"/>
            </w14:solidFill>
          </w14:textFill>
        </w:rPr>
        <w:t>自动安全防护门</w:t>
      </w:r>
      <w:r>
        <w:rPr>
          <w:rFonts w:hint="eastAsia" w:ascii="Times New Roman" w:hAnsi="Times New Roman" w:eastAsiaTheme="minorEastAsia"/>
          <w:color w:val="000000" w:themeColor="text1"/>
          <w:szCs w:val="21"/>
          <w14:textFill>
            <w14:solidFill>
              <w14:schemeClr w14:val="tx1"/>
            </w14:solidFill>
          </w14:textFill>
        </w:rPr>
        <w:t>、</w:t>
      </w:r>
      <w:r>
        <w:rPr>
          <w:rFonts w:ascii="Times New Roman" w:hAnsi="Times New Roman" w:eastAsiaTheme="minorEastAsia"/>
          <w:color w:val="000000" w:themeColor="text1"/>
          <w:szCs w:val="21"/>
          <w14:textFill>
            <w14:solidFill>
              <w14:schemeClr w14:val="tx1"/>
            </w14:solidFill>
          </w14:textFill>
        </w:rPr>
        <w:t>超压报警</w:t>
      </w:r>
      <w:r>
        <w:rPr>
          <w:rFonts w:hint="eastAsia" w:ascii="Times New Roman" w:hAnsi="Times New Roman" w:eastAsiaTheme="minorEastAsia"/>
          <w:color w:val="000000" w:themeColor="text1"/>
          <w:szCs w:val="21"/>
          <w14:textFill>
            <w14:solidFill>
              <w14:schemeClr w14:val="tx1"/>
            </w14:solidFill>
          </w14:textFill>
        </w:rPr>
        <w:t>、全自动预加压、过压保护、自动泄压、消除爆管等功能</w:t>
      </w:r>
      <w:r>
        <w:rPr>
          <w:rFonts w:ascii="Times New Roman" w:hAnsi="Times New Roman" w:eastAsiaTheme="minorEastAsia"/>
          <w:color w:val="000000" w:themeColor="text1"/>
          <w:szCs w:val="21"/>
          <w14:textFill>
            <w14:solidFill>
              <w14:schemeClr w14:val="tx1"/>
            </w14:solidFill>
          </w14:textFill>
        </w:rPr>
        <w:t>。</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 xml:space="preserve">（一）质保期： </w:t>
      </w:r>
      <w:r>
        <w:rPr>
          <w:rFonts w:hint="eastAsia" w:ascii="Times New Roman" w:hAnsi="Times New Roman" w:eastAsiaTheme="minorEastAsia"/>
          <w:color w:val="000000" w:themeColor="text1"/>
          <w:szCs w:val="21"/>
          <w14:textFill>
            <w14:solidFill>
              <w14:schemeClr w14:val="tx1"/>
            </w14:solidFill>
          </w14:textFill>
        </w:rPr>
        <w:t>≥</w:t>
      </w:r>
      <w:r>
        <w:rPr>
          <w:rFonts w:ascii="宋体" w:hAnsi="宋体"/>
          <w:szCs w:val="21"/>
          <w:u w:val="single"/>
        </w:rPr>
        <w:t xml:space="preserve">  3  </w:t>
      </w:r>
      <w:r>
        <w:rPr>
          <w:rFonts w:hint="eastAsia" w:ascii="宋体" w:hAnsi="宋体"/>
          <w:szCs w:val="21"/>
        </w:rPr>
        <w:t>年，</w:t>
      </w:r>
      <w:r>
        <w:rPr>
          <w:rFonts w:ascii="宋体" w:hAnsi="宋体" w:cs="宋体"/>
        </w:rPr>
        <w:t>质保期内免费维保</w:t>
      </w:r>
      <w:r>
        <w:rPr>
          <w:rFonts w:hint="eastAsia" w:ascii="Times New Roman" w:hAnsi="Times New Roman" w:eastAsiaTheme="minorEastAsia"/>
          <w:color w:val="000000" w:themeColor="text1"/>
          <w:szCs w:val="21"/>
          <w14:textFill>
            <w14:solidFill>
              <w14:schemeClr w14:val="tx1"/>
            </w14:solidFill>
          </w14:textFill>
        </w:rPr>
        <w:t>≥</w:t>
      </w:r>
      <w:r>
        <w:rPr>
          <w:rFonts w:ascii="宋体" w:hAnsi="宋体"/>
          <w:szCs w:val="21"/>
          <w:u w:val="single"/>
        </w:rPr>
        <w:t xml:space="preserve"> 1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2   </w:t>
      </w:r>
      <w:r>
        <w:rPr>
          <w:rFonts w:ascii="宋体" w:hAnsi="宋体"/>
          <w:szCs w:val="21"/>
        </w:rPr>
        <w:t>名操作人员进行为期至少</w:t>
      </w:r>
      <w:r>
        <w:rPr>
          <w:rFonts w:ascii="宋体" w:hAnsi="宋体"/>
          <w:szCs w:val="21"/>
          <w:u w:val="single"/>
        </w:rPr>
        <w:t xml:space="preserve">  1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w:t>
      </w:r>
      <w:r>
        <w:rPr>
          <w:rFonts w:hint="eastAsia" w:ascii="宋体" w:hAnsi="宋体"/>
          <w:szCs w:val="21"/>
        </w:rPr>
        <w:t>地</w:t>
      </w:r>
      <w:r>
        <w:rPr>
          <w:rFonts w:ascii="宋体" w:hAnsi="宋体"/>
          <w:szCs w:val="21"/>
        </w:rPr>
        <w:t>免费提供相关设备应用方面的技术咨询等。</w:t>
      </w:r>
    </w:p>
    <w:p>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461"/>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461" w:type="dxa"/>
            <w:vAlign w:val="center"/>
          </w:tcPr>
          <w:p>
            <w:pPr>
              <w:widowControl/>
              <w:adjustRightInd w:val="0"/>
              <w:snapToGrid w:val="0"/>
              <w:jc w:val="center"/>
              <w:textAlignment w:val="baseline"/>
              <w:rPr>
                <w:rFonts w:ascii="宋体" w:hAnsi="宋体"/>
                <w:color w:val="000000"/>
                <w:kern w:val="0"/>
                <w:szCs w:val="21"/>
                <w:highlight w:val="none"/>
              </w:rPr>
            </w:pPr>
            <w:r>
              <w:rPr>
                <w:rFonts w:hint="eastAsia" w:ascii="宋体" w:hAnsi="宋体"/>
                <w:color w:val="000000"/>
                <w:kern w:val="0"/>
                <w:szCs w:val="21"/>
                <w:highlight w:val="none"/>
              </w:rPr>
              <w:t>功能或指标</w:t>
            </w:r>
          </w:p>
        </w:tc>
        <w:tc>
          <w:tcPr>
            <w:tcW w:w="4322" w:type="dxa"/>
            <w:vAlign w:val="center"/>
          </w:tcPr>
          <w:p>
            <w:pPr>
              <w:widowControl/>
              <w:adjustRightInd w:val="0"/>
              <w:snapToGrid w:val="0"/>
              <w:jc w:val="center"/>
              <w:textAlignment w:val="baseline"/>
              <w:rPr>
                <w:rFonts w:ascii="宋体" w:hAnsi="宋体"/>
                <w:color w:val="000000"/>
                <w:kern w:val="0"/>
                <w:szCs w:val="21"/>
                <w:highlight w:val="none"/>
              </w:rPr>
            </w:pPr>
            <w:r>
              <w:rPr>
                <w:rFonts w:hint="eastAsia" w:ascii="宋体" w:hAnsi="宋体"/>
                <w:color w:val="000000"/>
                <w:kern w:val="0"/>
                <w:szCs w:val="21"/>
                <w:highlight w:val="none"/>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46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46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46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所有功能和指标参数（包括边界极限值）达到采购结果合同约定要求。</w:t>
            </w:r>
          </w:p>
        </w:tc>
        <w:tc>
          <w:tcPr>
            <w:tcW w:w="4322" w:type="dxa"/>
            <w:vAlign w:val="center"/>
          </w:tcPr>
          <w:p>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46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46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验证测试设备的运行稳定性</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7783"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0"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sz w:val="24"/>
              </w:rPr>
              <w:sym w:font="Wingdings" w:char="00FE"/>
            </w:r>
            <w:r>
              <w:rPr>
                <w:rFonts w:hint="eastAsia"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0"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sz w:val="24"/>
              </w:rPr>
              <w:sym w:font="Wingdings" w:char="00FE"/>
            </w:r>
            <w:r>
              <w:rPr>
                <w:rFonts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22"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22" w:type="dxa"/>
            <w:gridSpan w:val="3"/>
            <w:vAlign w:val="center"/>
          </w:tcPr>
          <w:p>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0"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322"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sz w:val="24"/>
              </w:rPr>
              <w:sym w:font="Wingdings" w:char="00FE"/>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0"/>
      <w:bookmarkEnd w:id="5"/>
    </w:tbl>
    <w:p>
      <w:pPr>
        <w:rPr>
          <w:rFonts w:ascii="微软雅黑" w:hAnsi="微软雅黑" w:eastAsia="微软雅黑" w:cs="微软雅黑"/>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6254C"/>
    <w:multiLevelType w:val="multilevel"/>
    <w:tmpl w:val="42A6254C"/>
    <w:lvl w:ilvl="0" w:tentative="0">
      <w:start w:val="4"/>
      <w:numFmt w:val="japaneseCounting"/>
      <w:lvlText w:val="%1、"/>
      <w:lvlJc w:val="left"/>
      <w:pPr>
        <w:ind w:left="830" w:hanging="408"/>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MTMzYWQyNjUyMTIxNGYzZmNiNThmZjQwNzQzMWYifQ=="/>
  </w:docVars>
  <w:rsids>
    <w:rsidRoot w:val="006B05B3"/>
    <w:rsid w:val="00055327"/>
    <w:rsid w:val="00061C9B"/>
    <w:rsid w:val="00062A59"/>
    <w:rsid w:val="000771EA"/>
    <w:rsid w:val="000926D3"/>
    <w:rsid w:val="00096BF7"/>
    <w:rsid w:val="000B73B1"/>
    <w:rsid w:val="000C07DA"/>
    <w:rsid w:val="000C3015"/>
    <w:rsid w:val="0011407F"/>
    <w:rsid w:val="00192DB0"/>
    <w:rsid w:val="001A43F9"/>
    <w:rsid w:val="001A5892"/>
    <w:rsid w:val="001A77E0"/>
    <w:rsid w:val="001C20F9"/>
    <w:rsid w:val="0029465E"/>
    <w:rsid w:val="003053D9"/>
    <w:rsid w:val="00317D40"/>
    <w:rsid w:val="00332AAF"/>
    <w:rsid w:val="00344686"/>
    <w:rsid w:val="0035267C"/>
    <w:rsid w:val="003C1C12"/>
    <w:rsid w:val="00412CC7"/>
    <w:rsid w:val="004333ED"/>
    <w:rsid w:val="0043644B"/>
    <w:rsid w:val="00436CFE"/>
    <w:rsid w:val="00477A57"/>
    <w:rsid w:val="00483305"/>
    <w:rsid w:val="004C0F40"/>
    <w:rsid w:val="004C3D71"/>
    <w:rsid w:val="004D4AEB"/>
    <w:rsid w:val="005219BD"/>
    <w:rsid w:val="0053281A"/>
    <w:rsid w:val="005574E4"/>
    <w:rsid w:val="00615F9E"/>
    <w:rsid w:val="0063310E"/>
    <w:rsid w:val="006453D6"/>
    <w:rsid w:val="00667918"/>
    <w:rsid w:val="006A396C"/>
    <w:rsid w:val="006B05B3"/>
    <w:rsid w:val="006D2F6A"/>
    <w:rsid w:val="00712F2E"/>
    <w:rsid w:val="00715DDB"/>
    <w:rsid w:val="00722B39"/>
    <w:rsid w:val="00727972"/>
    <w:rsid w:val="00756DDD"/>
    <w:rsid w:val="00765534"/>
    <w:rsid w:val="007716E9"/>
    <w:rsid w:val="00784457"/>
    <w:rsid w:val="00784586"/>
    <w:rsid w:val="007A2CA5"/>
    <w:rsid w:val="007C65C9"/>
    <w:rsid w:val="007E7D97"/>
    <w:rsid w:val="007F2C02"/>
    <w:rsid w:val="00810823"/>
    <w:rsid w:val="00840FAD"/>
    <w:rsid w:val="008A64B1"/>
    <w:rsid w:val="008C4E89"/>
    <w:rsid w:val="008C4EFF"/>
    <w:rsid w:val="00916AA7"/>
    <w:rsid w:val="00924630"/>
    <w:rsid w:val="0096520E"/>
    <w:rsid w:val="0097400E"/>
    <w:rsid w:val="009755E2"/>
    <w:rsid w:val="009A4890"/>
    <w:rsid w:val="00A3732D"/>
    <w:rsid w:val="00A37727"/>
    <w:rsid w:val="00A6697F"/>
    <w:rsid w:val="00A735C4"/>
    <w:rsid w:val="00A80D19"/>
    <w:rsid w:val="00B01CDC"/>
    <w:rsid w:val="00B21A07"/>
    <w:rsid w:val="00B23691"/>
    <w:rsid w:val="00B912B3"/>
    <w:rsid w:val="00BA6672"/>
    <w:rsid w:val="00BB20A1"/>
    <w:rsid w:val="00C05509"/>
    <w:rsid w:val="00C211E8"/>
    <w:rsid w:val="00C612C1"/>
    <w:rsid w:val="00CE0AF8"/>
    <w:rsid w:val="00CE6EF3"/>
    <w:rsid w:val="00CF7C37"/>
    <w:rsid w:val="00D37569"/>
    <w:rsid w:val="00DB1362"/>
    <w:rsid w:val="00DB6339"/>
    <w:rsid w:val="00DC5C49"/>
    <w:rsid w:val="00DD6604"/>
    <w:rsid w:val="00E04A35"/>
    <w:rsid w:val="00F10319"/>
    <w:rsid w:val="00F51B33"/>
    <w:rsid w:val="00F625A3"/>
    <w:rsid w:val="00FB1FC8"/>
    <w:rsid w:val="00FF654A"/>
    <w:rsid w:val="01C96E58"/>
    <w:rsid w:val="04275653"/>
    <w:rsid w:val="094E28E5"/>
    <w:rsid w:val="097C01EF"/>
    <w:rsid w:val="09AE7AAC"/>
    <w:rsid w:val="0C2F7876"/>
    <w:rsid w:val="0C676F35"/>
    <w:rsid w:val="0C7E5C20"/>
    <w:rsid w:val="0CAB4036"/>
    <w:rsid w:val="0F7C2CF7"/>
    <w:rsid w:val="0F8E6586"/>
    <w:rsid w:val="10414420"/>
    <w:rsid w:val="10A130D8"/>
    <w:rsid w:val="10EE19D3"/>
    <w:rsid w:val="17864C48"/>
    <w:rsid w:val="1B26620D"/>
    <w:rsid w:val="1EFA59E6"/>
    <w:rsid w:val="23EA6574"/>
    <w:rsid w:val="24875E87"/>
    <w:rsid w:val="25315EDA"/>
    <w:rsid w:val="25357873"/>
    <w:rsid w:val="25D1518A"/>
    <w:rsid w:val="27690480"/>
    <w:rsid w:val="28D9666D"/>
    <w:rsid w:val="2CB90C8F"/>
    <w:rsid w:val="2D15672B"/>
    <w:rsid w:val="2F1877C3"/>
    <w:rsid w:val="31905D36"/>
    <w:rsid w:val="319E0453"/>
    <w:rsid w:val="33955886"/>
    <w:rsid w:val="33C543BD"/>
    <w:rsid w:val="34CA155F"/>
    <w:rsid w:val="36AA5AEC"/>
    <w:rsid w:val="36EE3C2B"/>
    <w:rsid w:val="3A3F6B21"/>
    <w:rsid w:val="3B945A66"/>
    <w:rsid w:val="3E333110"/>
    <w:rsid w:val="3E9E5F37"/>
    <w:rsid w:val="3FA23805"/>
    <w:rsid w:val="41006A35"/>
    <w:rsid w:val="43BA4699"/>
    <w:rsid w:val="45B20519"/>
    <w:rsid w:val="45BB73CE"/>
    <w:rsid w:val="46B81B60"/>
    <w:rsid w:val="489108BA"/>
    <w:rsid w:val="4F4E4E0F"/>
    <w:rsid w:val="51DF2696"/>
    <w:rsid w:val="541E7226"/>
    <w:rsid w:val="54280325"/>
    <w:rsid w:val="55BC7068"/>
    <w:rsid w:val="590A624B"/>
    <w:rsid w:val="599D01F8"/>
    <w:rsid w:val="5BFE5E0F"/>
    <w:rsid w:val="5C961BA3"/>
    <w:rsid w:val="5F526256"/>
    <w:rsid w:val="5FAB005C"/>
    <w:rsid w:val="60613E8B"/>
    <w:rsid w:val="60E2185B"/>
    <w:rsid w:val="61007F33"/>
    <w:rsid w:val="6320666B"/>
    <w:rsid w:val="6B1D7377"/>
    <w:rsid w:val="6BFD1C3F"/>
    <w:rsid w:val="6C8B724B"/>
    <w:rsid w:val="6CEF1588"/>
    <w:rsid w:val="6D9E7C41"/>
    <w:rsid w:val="6ED30A35"/>
    <w:rsid w:val="725956F5"/>
    <w:rsid w:val="72813923"/>
    <w:rsid w:val="73577E87"/>
    <w:rsid w:val="748527D2"/>
    <w:rsid w:val="75267B11"/>
    <w:rsid w:val="757271FA"/>
    <w:rsid w:val="757A60AE"/>
    <w:rsid w:val="75D833A4"/>
    <w:rsid w:val="7730111A"/>
    <w:rsid w:val="77A47413"/>
    <w:rsid w:val="796055BB"/>
    <w:rsid w:val="7A715CD2"/>
    <w:rsid w:val="7A804167"/>
    <w:rsid w:val="7A8A1F93"/>
    <w:rsid w:val="7AEF309B"/>
    <w:rsid w:val="7BB340C8"/>
    <w:rsid w:val="7C143853"/>
    <w:rsid w:val="7DC9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autoRedefine/>
    <w:unhideWhenUsed/>
    <w:qFormat/>
    <w:uiPriority w:val="35"/>
    <w:rPr>
      <w:rFonts w:ascii="Arial" w:hAnsi="Arial" w:eastAsia="黑体"/>
      <w:sz w:val="20"/>
    </w:rPr>
  </w:style>
  <w:style w:type="paragraph" w:styleId="3">
    <w:name w:val="footer"/>
    <w:basedOn w:val="1"/>
    <w:link w:val="13"/>
    <w:autoRedefine/>
    <w:qFormat/>
    <w:uiPriority w:val="0"/>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autoRedefine/>
    <w:qFormat/>
    <w:uiPriority w:val="0"/>
    <w:pPr>
      <w:spacing w:before="240" w:after="60"/>
      <w:jc w:val="center"/>
      <w:outlineLvl w:val="0"/>
    </w:pPr>
    <w:rPr>
      <w:rFonts w:ascii="Arial" w:hAnsi="Arial" w:cs="Arial"/>
      <w:b/>
      <w:bCs/>
      <w:sz w:val="32"/>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u w:val="single"/>
    </w:rPr>
  </w:style>
  <w:style w:type="paragraph" w:styleId="10">
    <w:name w:val="List Paragraph"/>
    <w:basedOn w:val="1"/>
    <w:autoRedefine/>
    <w:qFormat/>
    <w:uiPriority w:val="34"/>
    <w:pPr>
      <w:ind w:firstLine="420" w:firstLineChars="200"/>
    </w:pPr>
  </w:style>
  <w:style w:type="paragraph" w:customStyle="1" w:styleId="11">
    <w:name w:val="Table Paragraph"/>
    <w:basedOn w:val="1"/>
    <w:autoRedefine/>
    <w:qFormat/>
    <w:uiPriority w:val="1"/>
  </w:style>
  <w:style w:type="character" w:customStyle="1" w:styleId="12">
    <w:name w:val="页眉 字符"/>
    <w:basedOn w:val="8"/>
    <w:link w:val="4"/>
    <w:autoRedefine/>
    <w:qFormat/>
    <w:uiPriority w:val="0"/>
    <w:rPr>
      <w:rFonts w:ascii="Calibri" w:hAnsi="Calibri" w:eastAsia="宋体" w:cs="Times New Roman"/>
      <w:kern w:val="2"/>
      <w:sz w:val="18"/>
      <w:szCs w:val="18"/>
    </w:rPr>
  </w:style>
  <w:style w:type="character" w:customStyle="1" w:styleId="13">
    <w:name w:val="页脚 字符"/>
    <w:basedOn w:val="8"/>
    <w:link w:val="3"/>
    <w:autoRedefine/>
    <w:qFormat/>
    <w:uiPriority w:val="0"/>
    <w:rPr>
      <w:rFonts w:ascii="Calibri" w:hAnsi="Calibri" w:eastAsia="宋体" w:cs="Times New Roman"/>
      <w:kern w:val="2"/>
      <w:sz w:val="18"/>
      <w:szCs w:val="18"/>
    </w:rPr>
  </w:style>
  <w:style w:type="table" w:customStyle="1" w:styleId="14">
    <w:name w:val="网格型1"/>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basedOn w:val="1"/>
    <w:autoRedefine/>
    <w:qFormat/>
    <w:uiPriority w:val="0"/>
    <w:pPr>
      <w:spacing w:line="240" w:lineRule="atLeast"/>
      <w:jc w:val="left"/>
    </w:pPr>
    <w:rPr>
      <w:rFonts w:ascii="微软雅黑" w:hAnsi="微软雅黑" w:eastAsia="微软雅黑" w:cs="宋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517</Words>
  <Characters>2949</Characters>
  <Lines>24</Lines>
  <Paragraphs>6</Paragraphs>
  <TotalTime>17</TotalTime>
  <ScaleCrop>false</ScaleCrop>
  <LinksUpToDate>false</LinksUpToDate>
  <CharactersWithSpaces>3460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2026-03-09T08:46:00Z</dcterms:created>
  <dc:creator>work</dc:creator>
  <cp:lastModifiedBy>兔鸽鸽</cp:lastModifiedBy>
  <cp:lastPrinted>2026-04-22T02:00:54Z</cp:lastPrinted>
  <dcterms:modified xsi:type="dcterms:W3CDTF">2026-04-22T02:30:09Z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eyJoZGlkIjoiMmY4YTcxOWEwZDk0NGRmMmQ0YjFhZTQzNTFkYTY1ZjQiLCJ1c2VySWQiOiI0ODU3Mzg1NjkifQ==</vt:lpwstr>
  </property>
  <property fmtid="{D5CDD505-2E9C-101B-9397-08002B2CF9AE}" pid="4" name="ICV">
    <vt:lpwstr>B2AA4959AA9F4564A46D813F375CC25B_13</vt:lpwstr>
  </property>
</Properties>
</file>