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B2857CB">
      <w:pPr>
        <w:pStyle w:val="6"/>
        <w:spacing w:before="0" w:after="0" w:line="276" w:lineRule="auto"/>
        <w:rPr>
          <w:rFonts w:ascii="Times New Roman" w:hAnsi="Times New Roman" w:cs="Times New Roman"/>
          <w:sz w:val="21"/>
          <w:szCs w:val="21"/>
        </w:rPr>
      </w:pPr>
      <w:bookmarkStart w:id="0" w:name="_Toc38367762"/>
      <w:r>
        <w:rPr>
          <w:rFonts w:ascii="Times New Roman" w:hAnsi="Times New Roman" w:cs="Times New Roman"/>
          <w:sz w:val="21"/>
          <w:szCs w:val="21"/>
        </w:rPr>
        <w:t>【定向能量转换器及效应腔体】采购需求</w:t>
      </w:r>
      <w:bookmarkEnd w:id="0"/>
    </w:p>
    <w:p w14:paraId="6CE15E2C">
      <w:pPr>
        <w:pStyle w:val="6"/>
        <w:spacing w:before="0" w:after="0" w:line="276" w:lineRule="auto"/>
        <w:jc w:val="both"/>
        <w:rPr>
          <w:rFonts w:ascii="Times New Roman" w:hAnsi="Times New Roman" w:cs="Times New Roman"/>
          <w:i/>
          <w:iCs/>
          <w:sz w:val="21"/>
          <w:szCs w:val="21"/>
          <w:u w:val="single"/>
        </w:rPr>
      </w:pPr>
      <w:r>
        <w:rPr>
          <w:rFonts w:hint="eastAsia" w:ascii="Times New Roman" w:hAnsi="Times New Roman" w:cs="Times New Roman"/>
          <w:i/>
          <w:iCs/>
          <w:sz w:val="21"/>
          <w:szCs w:val="21"/>
          <w:u w:val="single"/>
        </w:rPr>
        <w:t>修改说明：黄色背色为修改或新增内容；红色字体为需要进一步核实内容；红色删除线为建议修改或删除内容。</w:t>
      </w:r>
    </w:p>
    <w:p w14:paraId="05BD04EE">
      <w:pPr>
        <w:tabs>
          <w:tab w:val="left" w:pos="900"/>
        </w:tabs>
        <w:spacing w:before="156" w:beforeLines="50" w:line="276" w:lineRule="auto"/>
        <w:rPr>
          <w:b/>
          <w:szCs w:val="21"/>
        </w:rPr>
      </w:pPr>
      <w:bookmarkStart w:id="1" w:name="_Toc158978330"/>
      <w:bookmarkStart w:id="2" w:name="_Toc172360661"/>
      <w:bookmarkStart w:id="3" w:name="_Toc219271393"/>
      <w:r>
        <w:rPr>
          <w:b/>
          <w:szCs w:val="21"/>
        </w:rPr>
        <w:t>一、采购标的需实现的功能或者目标，以及为落实政府采购政策需满足的要求：</w:t>
      </w:r>
    </w:p>
    <w:p w14:paraId="3F72CD71">
      <w:pPr>
        <w:tabs>
          <w:tab w:val="left" w:pos="900"/>
        </w:tabs>
        <w:spacing w:before="156" w:beforeLines="50" w:line="276" w:lineRule="auto"/>
        <w:rPr>
          <w:b/>
          <w:szCs w:val="21"/>
        </w:rPr>
      </w:pPr>
      <w:r>
        <w:rPr>
          <w:b/>
          <w:szCs w:val="21"/>
        </w:rPr>
        <w:t>（一）采购标的需实现的功能</w:t>
      </w:r>
      <w:r>
        <w:rPr>
          <w:rFonts w:hint="eastAsia"/>
          <w:b/>
          <w:szCs w:val="21"/>
          <w:lang w:val="en-US" w:eastAsia="zh-CN"/>
        </w:rPr>
        <w:t>与</w:t>
      </w:r>
      <w:r>
        <w:rPr>
          <w:b/>
          <w:szCs w:val="21"/>
        </w:rPr>
        <w:t>目标</w:t>
      </w:r>
    </w:p>
    <w:p w14:paraId="0BB19F0D">
      <w:pPr>
        <w:tabs>
          <w:tab w:val="left" w:pos="900"/>
        </w:tabs>
        <w:spacing w:line="276" w:lineRule="auto"/>
        <w:ind w:left="426" w:firstLine="420" w:firstLineChars="200"/>
        <w:rPr>
          <w:szCs w:val="21"/>
        </w:rPr>
      </w:pPr>
      <w:r>
        <w:rPr>
          <w:szCs w:val="21"/>
        </w:rPr>
        <w:t>本项目采购</w:t>
      </w:r>
      <w:bookmarkStart w:id="4" w:name="OLE_LINK1"/>
      <w:r>
        <w:rPr>
          <w:szCs w:val="21"/>
        </w:rPr>
        <w:t>定向能量转换器</w:t>
      </w:r>
      <w:bookmarkEnd w:id="4"/>
      <w:r>
        <w:rPr>
          <w:szCs w:val="21"/>
        </w:rPr>
        <w:t>4套</w:t>
      </w:r>
      <w:r>
        <w:rPr>
          <w:rFonts w:hint="eastAsia"/>
          <w:szCs w:val="21"/>
          <w:lang w:val="en-US" w:eastAsia="zh-CN"/>
        </w:rPr>
        <w:t>及与</w:t>
      </w:r>
      <w:r>
        <w:rPr>
          <w:szCs w:val="21"/>
        </w:rPr>
        <w:t>其对接效应腔体1套，其系统组成如图1所示</w:t>
      </w:r>
      <w:r>
        <w:rPr>
          <w:rFonts w:hint="eastAsia"/>
          <w:szCs w:val="21"/>
          <w:lang w:eastAsia="zh-CN"/>
        </w:rPr>
        <w:t>，</w:t>
      </w:r>
      <w:r>
        <w:rPr>
          <w:rFonts w:hint="eastAsia"/>
          <w:szCs w:val="21"/>
          <w:lang w:val="en-US" w:eastAsia="zh-CN"/>
        </w:rPr>
        <w:t>需根据要求进行设计与加工制造</w:t>
      </w:r>
      <w:r>
        <w:rPr>
          <w:szCs w:val="21"/>
        </w:rPr>
        <w:t>。</w:t>
      </w:r>
      <w:r>
        <w:rPr>
          <w:rFonts w:hint="eastAsia"/>
          <w:szCs w:val="21"/>
        </w:rPr>
        <w:t>定向</w:t>
      </w:r>
      <w:r>
        <w:rPr>
          <w:szCs w:val="21"/>
        </w:rPr>
        <w:t>能量转换器主要由能量转换器、放电腔室、</w:t>
      </w:r>
      <w:r>
        <w:rPr>
          <w:rFonts w:hint="eastAsia"/>
          <w:szCs w:val="21"/>
        </w:rPr>
        <w:t>加速通道</w:t>
      </w:r>
      <w:r>
        <w:rPr>
          <w:szCs w:val="21"/>
        </w:rPr>
        <w:t>、以及</w:t>
      </w:r>
      <w:r>
        <w:rPr>
          <w:rFonts w:hint="eastAsia"/>
          <w:szCs w:val="21"/>
        </w:rPr>
        <w:t>过渡腔室</w:t>
      </w:r>
      <w:r>
        <w:rPr>
          <w:szCs w:val="21"/>
        </w:rPr>
        <w:t>组成，其主要功能为把水中或气体中电爆炸释放的能量转化为弹丸的动能，能够</w:t>
      </w:r>
      <w:r>
        <w:rPr>
          <w:rFonts w:hint="eastAsia"/>
          <w:szCs w:val="21"/>
          <w:lang w:val="en-US" w:eastAsia="zh-CN"/>
        </w:rPr>
        <w:t>将</w:t>
      </w:r>
      <w:r>
        <w:rPr>
          <w:szCs w:val="21"/>
        </w:rPr>
        <w:t>克级弹丸驱动至1km/s以上；效应腔体是开展弹丸与靶材相互作用研究的主要载体。4套转换器分为两类驱动构型：</w:t>
      </w:r>
      <w:r>
        <w:rPr>
          <w:szCs w:val="21"/>
        </w:rPr>
        <w:t>其中2套</w:t>
      </w:r>
      <w:r>
        <w:rPr>
          <w:rFonts w:hint="eastAsia"/>
          <w:szCs w:val="21"/>
          <w:lang w:val="en-US" w:eastAsia="zh-CN"/>
        </w:rPr>
        <w:t>为</w:t>
      </w:r>
      <w:r>
        <w:rPr>
          <w:szCs w:val="21"/>
        </w:rPr>
        <w:t>水中电爆炸冲击波定向驱动型能量转换器，可实现100kJ、300kJ、500kJ储能工况电爆炸，</w:t>
      </w:r>
      <w:r>
        <w:rPr>
          <w:rFonts w:hint="eastAsia"/>
          <w:szCs w:val="21"/>
          <w:lang w:val="en-US" w:eastAsia="zh-CN"/>
        </w:rPr>
        <w:t>另外</w:t>
      </w:r>
      <w:r>
        <w:rPr>
          <w:szCs w:val="21"/>
        </w:rPr>
        <w:t>2套</w:t>
      </w:r>
      <w:r>
        <w:rPr>
          <w:rFonts w:hint="eastAsia"/>
          <w:szCs w:val="21"/>
          <w:lang w:val="en-US" w:eastAsia="zh-CN"/>
        </w:rPr>
        <w:t>为</w:t>
      </w:r>
      <w:r>
        <w:rPr>
          <w:szCs w:val="21"/>
        </w:rPr>
        <w:t>空气中电爆炸等离子体直接驱动型能量转换器，可实现300kJ储能工况电爆炸。在效应腔侧壁上开设不少于3组测试诊断窗口，配合</w:t>
      </w:r>
      <w:r>
        <w:rPr>
          <w:rFonts w:hint="eastAsia"/>
          <w:szCs w:val="21"/>
        </w:rPr>
        <w:t>照相、摄像以及其它测试</w:t>
      </w:r>
      <w:r>
        <w:rPr>
          <w:szCs w:val="21"/>
        </w:rPr>
        <w:t>系统，完成超音速高能量弹丸撞击效应靶的损伤效应研究。</w:t>
      </w:r>
    </w:p>
    <w:p w14:paraId="49B9ECE0">
      <w:pPr>
        <w:tabs>
          <w:tab w:val="left" w:pos="900"/>
        </w:tabs>
        <w:spacing w:line="276" w:lineRule="auto"/>
        <w:jc w:val="center"/>
        <w:rPr>
          <w:rFonts w:hint="eastAsia"/>
          <w:szCs w:val="21"/>
        </w:rPr>
      </w:pPr>
      <w:r>
        <w:rPr>
          <w:szCs w:val="21"/>
        </w:rPr>
        <w:drawing>
          <wp:inline distT="0" distB="0" distL="0" distR="0">
            <wp:extent cx="4340225" cy="2442210"/>
            <wp:effectExtent l="0" t="0" r="3175" b="0"/>
            <wp:docPr id="65397425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3974258" name="图片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a:xfrm>
                      <a:off x="0" y="0"/>
                      <a:ext cx="4375625" cy="2462275"/>
                    </a:xfrm>
                    <a:prstGeom prst="rect">
                      <a:avLst/>
                    </a:prstGeom>
                    <a:noFill/>
                    <a:ln>
                      <a:noFill/>
                    </a:ln>
                  </pic:spPr>
                </pic:pic>
              </a:graphicData>
            </a:graphic>
          </wp:inline>
        </w:drawing>
      </w:r>
    </w:p>
    <w:p w14:paraId="7DA9E2C8">
      <w:pPr>
        <w:tabs>
          <w:tab w:val="left" w:pos="900"/>
        </w:tabs>
        <w:spacing w:line="276" w:lineRule="auto"/>
        <w:ind w:left="-2" w:leftChars="-1" w:firstLine="1"/>
        <w:jc w:val="center"/>
        <w:rPr>
          <w:b/>
          <w:bCs/>
          <w:color w:val="EE0000"/>
          <w:szCs w:val="21"/>
          <w:shd w:val="clear" w:color="auto" w:fill="FFFFFF"/>
        </w:rPr>
      </w:pPr>
      <w:r>
        <w:rPr>
          <w:szCs w:val="21"/>
        </w:rPr>
        <w:t>图1 定向能量转换器及效应腔体系统组成图</w:t>
      </w:r>
    </w:p>
    <w:p w14:paraId="6588C0DF">
      <w:pPr>
        <w:tabs>
          <w:tab w:val="left" w:pos="900"/>
        </w:tabs>
        <w:spacing w:line="276" w:lineRule="auto"/>
        <w:ind w:left="420"/>
        <w:rPr>
          <w:b/>
          <w:szCs w:val="21"/>
        </w:rPr>
      </w:pPr>
      <w:r>
        <w:rPr>
          <w:b/>
          <w:szCs w:val="21"/>
        </w:rPr>
        <w:t>（二）政府采购政策需满足的要求</w:t>
      </w:r>
    </w:p>
    <w:p w14:paraId="4A5C091F">
      <w:pPr>
        <w:tabs>
          <w:tab w:val="left" w:pos="900"/>
        </w:tabs>
        <w:spacing w:line="276" w:lineRule="auto"/>
        <w:ind w:left="420"/>
        <w:rPr>
          <w:szCs w:val="21"/>
        </w:rPr>
      </w:pPr>
      <w:r>
        <w:rPr>
          <w:szCs w:val="21"/>
        </w:rPr>
        <w:t>1.</w:t>
      </w:r>
      <w:r>
        <w:rPr>
          <w:szCs w:val="21"/>
        </w:rPr>
        <w:tab/>
      </w:r>
      <w:r>
        <w:rPr>
          <w:szCs w:val="21"/>
        </w:rPr>
        <w:t>根据《政府采购促进中小企业发展管理办法》（财库【2020】46号）规定，本项目采购标的为中小型企业制造、承建或承接的，投标人应提供办法规定的《中小企业声明函》，否则不得享受相关中小企业扶持政策。投标人应对提交的中小企业声明函的真实性负责，提交的中小企业声明函不真实的，应承担相应的法律责任。</w:t>
      </w:r>
    </w:p>
    <w:p w14:paraId="47D6C97F">
      <w:pPr>
        <w:tabs>
          <w:tab w:val="left" w:pos="900"/>
        </w:tabs>
        <w:spacing w:line="276" w:lineRule="auto"/>
        <w:ind w:left="420"/>
        <w:rPr>
          <w:szCs w:val="21"/>
        </w:rPr>
      </w:pPr>
      <w:r>
        <w:rPr>
          <w:szCs w:val="21"/>
        </w:rPr>
        <w:t>本项目采购标的对应的《中小企业划型标准规定》所属行业为：工业。</w:t>
      </w:r>
    </w:p>
    <w:p w14:paraId="15FCE1CF">
      <w:pPr>
        <w:tabs>
          <w:tab w:val="left" w:pos="900"/>
        </w:tabs>
        <w:spacing w:line="276" w:lineRule="auto"/>
        <w:ind w:left="420"/>
        <w:rPr>
          <w:b/>
          <w:color w:val="000000"/>
          <w:kern w:val="0"/>
          <w:szCs w:val="21"/>
        </w:rPr>
      </w:pPr>
      <w:r>
        <w:rPr>
          <w:szCs w:val="21"/>
        </w:rPr>
        <w:t xml:space="preserve">2. </w:t>
      </w:r>
      <w:r>
        <w:rPr>
          <w:szCs w:val="21"/>
        </w:rPr>
        <w:tab/>
      </w:r>
      <w:r>
        <w:rPr>
          <w:szCs w:val="21"/>
        </w:rPr>
        <w:t>□本</w:t>
      </w:r>
      <w:r>
        <w:rPr>
          <w:b/>
          <w:color w:val="000000"/>
          <w:kern w:val="0"/>
          <w:szCs w:val="21"/>
        </w:rPr>
        <w:t>采购项目允许进口产品参加。（需要打勾码，打勾表示外贸采购）</w:t>
      </w:r>
    </w:p>
    <w:p w14:paraId="216F7F6B">
      <w:pPr>
        <w:tabs>
          <w:tab w:val="left" w:pos="900"/>
        </w:tabs>
        <w:spacing w:line="276" w:lineRule="auto"/>
        <w:ind w:left="420" w:firstLine="211" w:firstLineChars="100"/>
        <w:rPr>
          <w:b/>
          <w:color w:val="000000"/>
          <w:kern w:val="0"/>
          <w:szCs w:val="21"/>
        </w:rPr>
      </w:pPr>
      <w:r>
        <w:rPr>
          <w:b/>
          <w:color w:val="000000"/>
          <w:kern w:val="0"/>
          <w:szCs w:val="21"/>
        </w:rPr>
        <w:t>（说明：请项目单位根据采购实际情况在“□”中打勾（</w:t>
      </w:r>
      <w:r>
        <w:rPr>
          <w:b/>
          <w:color w:val="000000"/>
          <w:kern w:val="0"/>
          <w:szCs w:val="21"/>
        </w:rPr>
        <w:sym w:font="Wingdings 2" w:char="F052"/>
      </w:r>
      <w:r>
        <w:rPr>
          <w:b/>
          <w:color w:val="000000"/>
          <w:kern w:val="0"/>
          <w:szCs w:val="21"/>
        </w:rPr>
        <w:t>）。未进行勾选的，视为只接受本国产品参加）</w:t>
      </w:r>
    </w:p>
    <w:p w14:paraId="4D77EEB5">
      <w:pPr>
        <w:tabs>
          <w:tab w:val="left" w:pos="900"/>
        </w:tabs>
        <w:spacing w:before="156" w:beforeLines="50" w:line="276" w:lineRule="auto"/>
        <w:rPr>
          <w:b/>
          <w:szCs w:val="21"/>
        </w:rPr>
      </w:pPr>
      <w:r>
        <w:rPr>
          <w:b/>
          <w:szCs w:val="21"/>
        </w:rPr>
        <w:t>二、采购标的需执行的国家相关标准、行业标准、地方标准或者其他标准、规范：</w:t>
      </w:r>
    </w:p>
    <w:p w14:paraId="0D0D707F">
      <w:pPr>
        <w:tabs>
          <w:tab w:val="left" w:pos="900"/>
        </w:tabs>
        <w:spacing w:before="156" w:beforeLines="50" w:line="276" w:lineRule="auto"/>
        <w:ind w:firstLine="420" w:firstLineChars="200"/>
        <w:rPr>
          <w:szCs w:val="21"/>
        </w:rPr>
      </w:pPr>
      <w:r>
        <w:rPr>
          <w:szCs w:val="21"/>
        </w:rPr>
        <w:t>采购项目中所含的投标产品及制造商应符合国家有关部门规定的相应技术、计量、节能、安全和环保法规及标准，如国家有关部门对投标产品或其制造商有强制性规定或要求的，投标产品或其制造商必须符合相应规定或要求，投标人须提供相关证明文件的复印件。</w:t>
      </w:r>
    </w:p>
    <w:p w14:paraId="6E1FF3E9">
      <w:pPr>
        <w:tabs>
          <w:tab w:val="left" w:pos="900"/>
        </w:tabs>
        <w:spacing w:before="156" w:beforeLines="50" w:line="276" w:lineRule="auto"/>
        <w:ind w:firstLine="420" w:firstLineChars="200"/>
        <w:rPr>
          <w:rFonts w:hint="eastAsia"/>
          <w:szCs w:val="21"/>
        </w:rPr>
      </w:pPr>
      <w:r>
        <w:rPr>
          <w:rFonts w:hint="eastAsia"/>
          <w:szCs w:val="21"/>
        </w:rPr>
        <w:t>电爆炸腔室</w:t>
      </w:r>
      <w:r>
        <w:rPr>
          <w:szCs w:val="21"/>
        </w:rPr>
        <w:t>按GB 150-2024设计、制造、水压试验和验收</w:t>
      </w:r>
    </w:p>
    <w:p w14:paraId="4DF2BD80">
      <w:pPr>
        <w:tabs>
          <w:tab w:val="left" w:pos="900"/>
        </w:tabs>
        <w:spacing w:before="156" w:beforeLines="50" w:line="276" w:lineRule="auto"/>
        <w:ind w:firstLine="420" w:firstLineChars="200"/>
        <w:rPr>
          <w:szCs w:val="21"/>
        </w:rPr>
      </w:pPr>
      <w:r>
        <w:rPr>
          <w:szCs w:val="21"/>
        </w:rPr>
        <w:t>涂装、防腐按NB/T 10558-2021相关规定执行。</w:t>
      </w:r>
    </w:p>
    <w:p w14:paraId="7BEF97FC">
      <w:pPr>
        <w:tabs>
          <w:tab w:val="left" w:pos="900"/>
        </w:tabs>
        <w:spacing w:before="156" w:beforeLines="50" w:line="276" w:lineRule="auto"/>
        <w:ind w:firstLine="420" w:firstLineChars="200"/>
        <w:rPr>
          <w:szCs w:val="21"/>
        </w:rPr>
      </w:pPr>
      <w:r>
        <w:rPr>
          <w:rFonts w:hint="eastAsia"/>
          <w:szCs w:val="21"/>
        </w:rPr>
        <w:t>效应腔室</w:t>
      </w:r>
      <w:r>
        <w:rPr>
          <w:szCs w:val="21"/>
        </w:rPr>
        <w:t>筒体和平盖锻件应符合NB/T 47008-2017标准中Ⅳ级锻件规定。</w:t>
      </w:r>
    </w:p>
    <w:p w14:paraId="57A16A56">
      <w:pPr>
        <w:tabs>
          <w:tab w:val="left" w:pos="900"/>
        </w:tabs>
        <w:spacing w:before="156" w:beforeLines="50" w:line="276" w:lineRule="auto"/>
        <w:rPr>
          <w:b/>
          <w:szCs w:val="21"/>
        </w:rPr>
      </w:pPr>
      <w:r>
        <w:rPr>
          <w:b/>
          <w:szCs w:val="21"/>
        </w:rPr>
        <w:t>三、采购标的概况</w:t>
      </w:r>
    </w:p>
    <w:p w14:paraId="667959E7">
      <w:pPr>
        <w:spacing w:before="156" w:beforeLines="50" w:line="276" w:lineRule="auto"/>
        <w:rPr>
          <w:szCs w:val="21"/>
          <w:u w:val="single"/>
        </w:rPr>
      </w:pPr>
      <w:r>
        <w:rPr>
          <w:szCs w:val="21"/>
        </w:rPr>
        <w:t>（一）采购项目名称：</w:t>
      </w:r>
      <w:r>
        <w:rPr>
          <w:szCs w:val="21"/>
          <w:u w:val="single"/>
        </w:rPr>
        <w:t>定向能量转换器及效应腔体</w:t>
      </w:r>
    </w:p>
    <w:p w14:paraId="587AEC00">
      <w:pPr>
        <w:widowControl/>
        <w:spacing w:line="276" w:lineRule="auto"/>
        <w:textAlignment w:val="baseline"/>
        <w:rPr>
          <w:szCs w:val="21"/>
          <w:u w:val="single"/>
        </w:rPr>
      </w:pPr>
      <w:r>
        <w:rPr>
          <w:szCs w:val="21"/>
        </w:rPr>
        <w:t>（二）采购数量及计量单位：根据采购方需求，分别完成</w:t>
      </w:r>
      <w:r>
        <w:rPr>
          <w:szCs w:val="21"/>
          <w:u w:val="single"/>
        </w:rPr>
        <w:t>冲击波定向驱动能量转换器2套、等离子体直接驱动能量转换器2套，效应腔体1套，及附属配套部件的加工、安装、集成，详细采购清单如表1所示。</w:t>
      </w:r>
    </w:p>
    <w:p w14:paraId="6ABB8930">
      <w:pPr>
        <w:tabs>
          <w:tab w:val="left" w:pos="900"/>
        </w:tabs>
        <w:spacing w:line="276" w:lineRule="auto"/>
        <w:ind w:left="-2" w:leftChars="-1" w:firstLine="1"/>
        <w:jc w:val="center"/>
        <w:rPr>
          <w:szCs w:val="21"/>
        </w:rPr>
      </w:pPr>
      <w:r>
        <w:rPr>
          <w:szCs w:val="21"/>
        </w:rPr>
        <w:t>表1 定向能量转换器及效应腔体采购清单</w:t>
      </w:r>
    </w:p>
    <w:tbl>
      <w:tblPr>
        <w:tblStyle w:val="7"/>
        <w:tblW w:w="5000" w:type="pct"/>
        <w:jc w:val="center"/>
        <w:tblLayout w:type="autofit"/>
        <w:tblCellMar>
          <w:top w:w="0" w:type="dxa"/>
          <w:left w:w="108" w:type="dxa"/>
          <w:bottom w:w="0" w:type="dxa"/>
          <w:right w:w="108" w:type="dxa"/>
        </w:tblCellMar>
      </w:tblPr>
      <w:tblGrid>
        <w:gridCol w:w="1116"/>
        <w:gridCol w:w="2016"/>
        <w:gridCol w:w="4769"/>
        <w:gridCol w:w="621"/>
      </w:tblGrid>
      <w:tr w14:paraId="5B1E02D4">
        <w:tblPrEx>
          <w:tblCellMar>
            <w:top w:w="0" w:type="dxa"/>
            <w:left w:w="108" w:type="dxa"/>
            <w:bottom w:w="0" w:type="dxa"/>
            <w:right w:w="108" w:type="dxa"/>
          </w:tblCellMar>
        </w:tblPrEx>
        <w:trPr>
          <w:trHeight w:val="280" w:hRule="atLeast"/>
          <w:jc w:val="center"/>
        </w:trPr>
        <w:tc>
          <w:tcPr>
            <w:tcW w:w="634" w:type="pct"/>
            <w:tcBorders>
              <w:top w:val="single" w:color="auto" w:sz="4" w:space="0"/>
              <w:left w:val="single" w:color="auto" w:sz="4" w:space="0"/>
              <w:bottom w:val="single" w:color="auto" w:sz="4" w:space="0"/>
              <w:right w:val="single" w:color="auto" w:sz="4" w:space="0"/>
            </w:tcBorders>
            <w:noWrap/>
            <w:vAlign w:val="center"/>
          </w:tcPr>
          <w:p w14:paraId="378ADF57">
            <w:pPr>
              <w:widowControl/>
              <w:spacing w:line="276" w:lineRule="auto"/>
              <w:jc w:val="center"/>
              <w:rPr>
                <w:color w:val="000000"/>
                <w:kern w:val="0"/>
                <w:sz w:val="18"/>
                <w:szCs w:val="18"/>
              </w:rPr>
            </w:pPr>
            <w:r>
              <w:rPr>
                <w:color w:val="000000"/>
                <w:kern w:val="0"/>
                <w:sz w:val="18"/>
                <w:szCs w:val="18"/>
              </w:rPr>
              <w:t>系统</w:t>
            </w:r>
          </w:p>
        </w:tc>
        <w:tc>
          <w:tcPr>
            <w:tcW w:w="1142" w:type="pct"/>
            <w:tcBorders>
              <w:top w:val="single" w:color="auto" w:sz="4" w:space="0"/>
              <w:left w:val="nil"/>
              <w:bottom w:val="single" w:color="auto" w:sz="4" w:space="0"/>
              <w:right w:val="single" w:color="auto" w:sz="4" w:space="0"/>
            </w:tcBorders>
            <w:noWrap/>
            <w:vAlign w:val="center"/>
          </w:tcPr>
          <w:p w14:paraId="65A6CB78">
            <w:pPr>
              <w:widowControl/>
              <w:spacing w:line="276" w:lineRule="auto"/>
              <w:jc w:val="center"/>
              <w:rPr>
                <w:color w:val="000000"/>
                <w:kern w:val="0"/>
                <w:sz w:val="18"/>
                <w:szCs w:val="18"/>
              </w:rPr>
            </w:pPr>
            <w:r>
              <w:rPr>
                <w:color w:val="000000"/>
                <w:kern w:val="0"/>
                <w:sz w:val="18"/>
                <w:szCs w:val="18"/>
              </w:rPr>
              <w:t>关键部件名称</w:t>
            </w:r>
          </w:p>
        </w:tc>
        <w:tc>
          <w:tcPr>
            <w:tcW w:w="2868" w:type="pct"/>
            <w:tcBorders>
              <w:top w:val="single" w:color="auto" w:sz="4" w:space="0"/>
              <w:left w:val="nil"/>
              <w:bottom w:val="single" w:color="auto" w:sz="4" w:space="0"/>
              <w:right w:val="single" w:color="auto" w:sz="4" w:space="0"/>
            </w:tcBorders>
            <w:noWrap/>
            <w:vAlign w:val="center"/>
          </w:tcPr>
          <w:p w14:paraId="4AD8A3A5">
            <w:pPr>
              <w:widowControl/>
              <w:spacing w:line="276" w:lineRule="auto"/>
              <w:jc w:val="center"/>
              <w:rPr>
                <w:color w:val="000000"/>
                <w:kern w:val="0"/>
                <w:sz w:val="18"/>
                <w:szCs w:val="18"/>
              </w:rPr>
            </w:pPr>
            <w:r>
              <w:rPr>
                <w:color w:val="000000"/>
                <w:kern w:val="0"/>
                <w:sz w:val="18"/>
                <w:szCs w:val="18"/>
              </w:rPr>
              <w:t>功能</w:t>
            </w:r>
          </w:p>
        </w:tc>
        <w:tc>
          <w:tcPr>
            <w:tcW w:w="354" w:type="pct"/>
            <w:tcBorders>
              <w:top w:val="single" w:color="auto" w:sz="4" w:space="0"/>
              <w:left w:val="nil"/>
              <w:bottom w:val="single" w:color="auto" w:sz="4" w:space="0"/>
              <w:right w:val="single" w:color="auto" w:sz="4" w:space="0"/>
            </w:tcBorders>
            <w:noWrap/>
            <w:vAlign w:val="center"/>
          </w:tcPr>
          <w:p w14:paraId="740ABDBD">
            <w:pPr>
              <w:widowControl/>
              <w:spacing w:line="276" w:lineRule="auto"/>
              <w:jc w:val="center"/>
              <w:rPr>
                <w:color w:val="000000"/>
                <w:kern w:val="0"/>
                <w:sz w:val="18"/>
                <w:szCs w:val="18"/>
              </w:rPr>
            </w:pPr>
            <w:r>
              <w:rPr>
                <w:color w:val="000000"/>
                <w:kern w:val="0"/>
                <w:sz w:val="18"/>
                <w:szCs w:val="18"/>
              </w:rPr>
              <w:t>数量</w:t>
            </w:r>
          </w:p>
        </w:tc>
      </w:tr>
      <w:tr w14:paraId="1ABEFF32">
        <w:tblPrEx>
          <w:tblCellMar>
            <w:top w:w="0" w:type="dxa"/>
            <w:left w:w="108" w:type="dxa"/>
            <w:bottom w:w="0" w:type="dxa"/>
            <w:right w:w="108" w:type="dxa"/>
          </w:tblCellMar>
        </w:tblPrEx>
        <w:trPr>
          <w:trHeight w:val="280" w:hRule="atLeast"/>
          <w:jc w:val="center"/>
        </w:trPr>
        <w:tc>
          <w:tcPr>
            <w:tcW w:w="634" w:type="pct"/>
            <w:vMerge w:val="restart"/>
            <w:tcBorders>
              <w:top w:val="nil"/>
              <w:left w:val="single" w:color="auto" w:sz="4" w:space="0"/>
              <w:right w:val="single" w:color="auto" w:sz="4" w:space="0"/>
            </w:tcBorders>
            <w:noWrap/>
            <w:vAlign w:val="center"/>
          </w:tcPr>
          <w:p w14:paraId="295F72EE">
            <w:pPr>
              <w:widowControl/>
              <w:spacing w:line="276" w:lineRule="auto"/>
              <w:jc w:val="left"/>
              <w:rPr>
                <w:color w:val="000000"/>
                <w:kern w:val="0"/>
                <w:sz w:val="18"/>
                <w:szCs w:val="18"/>
              </w:rPr>
            </w:pPr>
            <w:r>
              <w:rPr>
                <w:color w:val="000000"/>
                <w:kern w:val="0"/>
                <w:sz w:val="18"/>
                <w:szCs w:val="18"/>
              </w:rPr>
              <w:t>定向能量</w:t>
            </w:r>
          </w:p>
          <w:p w14:paraId="4DC8EE39">
            <w:pPr>
              <w:widowControl/>
              <w:spacing w:line="276" w:lineRule="auto"/>
              <w:jc w:val="left"/>
              <w:rPr>
                <w:color w:val="000000"/>
                <w:kern w:val="0"/>
                <w:sz w:val="18"/>
                <w:szCs w:val="18"/>
              </w:rPr>
            </w:pPr>
            <w:r>
              <w:rPr>
                <w:color w:val="000000"/>
                <w:kern w:val="0"/>
                <w:sz w:val="18"/>
                <w:szCs w:val="18"/>
              </w:rPr>
              <w:t>转换器</w:t>
            </w:r>
          </w:p>
        </w:tc>
        <w:tc>
          <w:tcPr>
            <w:tcW w:w="1142" w:type="pct"/>
            <w:tcBorders>
              <w:top w:val="nil"/>
              <w:left w:val="nil"/>
              <w:bottom w:val="single" w:color="auto" w:sz="4" w:space="0"/>
              <w:right w:val="single" w:color="auto" w:sz="4" w:space="0"/>
            </w:tcBorders>
            <w:noWrap/>
            <w:vAlign w:val="center"/>
          </w:tcPr>
          <w:p w14:paraId="3067F1C6">
            <w:pPr>
              <w:widowControl/>
              <w:spacing w:line="276" w:lineRule="auto"/>
              <w:jc w:val="left"/>
              <w:rPr>
                <w:color w:val="000000"/>
                <w:kern w:val="0"/>
                <w:sz w:val="18"/>
                <w:szCs w:val="18"/>
              </w:rPr>
            </w:pPr>
            <w:r>
              <w:rPr>
                <w:color w:val="000000"/>
                <w:kern w:val="0"/>
                <w:sz w:val="18"/>
                <w:szCs w:val="18"/>
              </w:rPr>
              <w:t>水中爆炸能量转换器</w:t>
            </w:r>
          </w:p>
        </w:tc>
        <w:tc>
          <w:tcPr>
            <w:tcW w:w="2868" w:type="pct"/>
            <w:tcBorders>
              <w:top w:val="nil"/>
              <w:left w:val="nil"/>
              <w:bottom w:val="single" w:color="auto" w:sz="4" w:space="0"/>
              <w:right w:val="single" w:color="auto" w:sz="4" w:space="0"/>
            </w:tcBorders>
            <w:noWrap/>
            <w:vAlign w:val="center"/>
          </w:tcPr>
          <w:p w14:paraId="1EB31671">
            <w:pPr>
              <w:widowControl/>
              <w:spacing w:line="276" w:lineRule="auto"/>
              <w:jc w:val="left"/>
              <w:rPr>
                <w:color w:val="000000"/>
                <w:kern w:val="0"/>
                <w:sz w:val="18"/>
                <w:szCs w:val="18"/>
              </w:rPr>
            </w:pPr>
            <w:r>
              <w:rPr>
                <w:color w:val="000000"/>
                <w:kern w:val="0"/>
                <w:sz w:val="18"/>
                <w:szCs w:val="18"/>
              </w:rPr>
              <w:t>可实现100kJ、300kJ、500kJ储能工况水中电爆炸</w:t>
            </w:r>
          </w:p>
        </w:tc>
        <w:tc>
          <w:tcPr>
            <w:tcW w:w="354" w:type="pct"/>
            <w:tcBorders>
              <w:top w:val="nil"/>
              <w:left w:val="nil"/>
              <w:bottom w:val="single" w:color="auto" w:sz="4" w:space="0"/>
              <w:right w:val="single" w:color="auto" w:sz="4" w:space="0"/>
            </w:tcBorders>
            <w:noWrap/>
            <w:vAlign w:val="center"/>
          </w:tcPr>
          <w:p w14:paraId="5770BAE6">
            <w:pPr>
              <w:widowControl/>
              <w:spacing w:line="276" w:lineRule="auto"/>
              <w:jc w:val="left"/>
              <w:rPr>
                <w:color w:val="000000"/>
                <w:kern w:val="0"/>
                <w:sz w:val="18"/>
                <w:szCs w:val="18"/>
              </w:rPr>
            </w:pPr>
            <w:r>
              <w:rPr>
                <w:color w:val="000000"/>
                <w:kern w:val="0"/>
                <w:sz w:val="18"/>
                <w:szCs w:val="18"/>
              </w:rPr>
              <w:t>2套</w:t>
            </w:r>
          </w:p>
        </w:tc>
      </w:tr>
      <w:tr w14:paraId="6EEB9BF2">
        <w:tblPrEx>
          <w:tblCellMar>
            <w:top w:w="0" w:type="dxa"/>
            <w:left w:w="108" w:type="dxa"/>
            <w:bottom w:w="0" w:type="dxa"/>
            <w:right w:w="108" w:type="dxa"/>
          </w:tblCellMar>
        </w:tblPrEx>
        <w:trPr>
          <w:trHeight w:val="280" w:hRule="atLeast"/>
          <w:jc w:val="center"/>
        </w:trPr>
        <w:tc>
          <w:tcPr>
            <w:tcW w:w="634" w:type="pct"/>
            <w:vMerge w:val="continue"/>
            <w:tcBorders>
              <w:left w:val="single" w:color="auto" w:sz="4" w:space="0"/>
              <w:right w:val="single" w:color="auto" w:sz="4" w:space="0"/>
            </w:tcBorders>
            <w:noWrap/>
            <w:vAlign w:val="center"/>
          </w:tcPr>
          <w:p w14:paraId="2C50DB63">
            <w:pPr>
              <w:spacing w:line="276" w:lineRule="auto"/>
              <w:jc w:val="left"/>
              <w:rPr>
                <w:color w:val="000000"/>
                <w:kern w:val="0"/>
                <w:sz w:val="18"/>
                <w:szCs w:val="18"/>
              </w:rPr>
            </w:pPr>
          </w:p>
        </w:tc>
        <w:tc>
          <w:tcPr>
            <w:tcW w:w="1142" w:type="pct"/>
            <w:tcBorders>
              <w:top w:val="nil"/>
              <w:left w:val="nil"/>
              <w:bottom w:val="single" w:color="auto" w:sz="4" w:space="0"/>
              <w:right w:val="single" w:color="auto" w:sz="4" w:space="0"/>
            </w:tcBorders>
            <w:noWrap/>
            <w:vAlign w:val="center"/>
          </w:tcPr>
          <w:p w14:paraId="34FD1D9D">
            <w:pPr>
              <w:widowControl/>
              <w:spacing w:line="276" w:lineRule="auto"/>
              <w:jc w:val="left"/>
              <w:rPr>
                <w:color w:val="000000"/>
                <w:kern w:val="0"/>
                <w:sz w:val="18"/>
                <w:szCs w:val="18"/>
              </w:rPr>
            </w:pPr>
            <w:r>
              <w:rPr>
                <w:color w:val="000000"/>
                <w:kern w:val="0"/>
                <w:sz w:val="18"/>
                <w:szCs w:val="18"/>
              </w:rPr>
              <w:t>气体中爆炸能量转换器</w:t>
            </w:r>
          </w:p>
        </w:tc>
        <w:tc>
          <w:tcPr>
            <w:tcW w:w="2868" w:type="pct"/>
            <w:tcBorders>
              <w:top w:val="nil"/>
              <w:left w:val="nil"/>
              <w:bottom w:val="single" w:color="auto" w:sz="4" w:space="0"/>
              <w:right w:val="single" w:color="auto" w:sz="4" w:space="0"/>
            </w:tcBorders>
            <w:noWrap/>
            <w:vAlign w:val="center"/>
          </w:tcPr>
          <w:p w14:paraId="6D65CFCC">
            <w:pPr>
              <w:widowControl/>
              <w:spacing w:line="276" w:lineRule="auto"/>
              <w:jc w:val="left"/>
              <w:rPr>
                <w:color w:val="000000"/>
                <w:kern w:val="0"/>
                <w:sz w:val="18"/>
                <w:szCs w:val="18"/>
              </w:rPr>
            </w:pPr>
            <w:r>
              <w:rPr>
                <w:color w:val="000000"/>
                <w:kern w:val="0"/>
                <w:sz w:val="18"/>
                <w:szCs w:val="18"/>
              </w:rPr>
              <w:t>可实现300kJ储能工况气体中电爆炸</w:t>
            </w:r>
          </w:p>
        </w:tc>
        <w:tc>
          <w:tcPr>
            <w:tcW w:w="354" w:type="pct"/>
            <w:tcBorders>
              <w:top w:val="nil"/>
              <w:left w:val="nil"/>
              <w:bottom w:val="single" w:color="auto" w:sz="4" w:space="0"/>
              <w:right w:val="single" w:color="auto" w:sz="4" w:space="0"/>
            </w:tcBorders>
            <w:noWrap/>
            <w:vAlign w:val="center"/>
          </w:tcPr>
          <w:p w14:paraId="75E1B50D">
            <w:pPr>
              <w:widowControl/>
              <w:spacing w:line="276" w:lineRule="auto"/>
              <w:jc w:val="left"/>
              <w:rPr>
                <w:color w:val="000000"/>
                <w:kern w:val="0"/>
                <w:sz w:val="18"/>
                <w:szCs w:val="18"/>
              </w:rPr>
            </w:pPr>
            <w:r>
              <w:rPr>
                <w:color w:val="000000"/>
                <w:kern w:val="0"/>
                <w:sz w:val="18"/>
                <w:szCs w:val="18"/>
              </w:rPr>
              <w:t>2套</w:t>
            </w:r>
          </w:p>
        </w:tc>
      </w:tr>
      <w:tr w14:paraId="27E8D8AB">
        <w:tblPrEx>
          <w:tblCellMar>
            <w:top w:w="0" w:type="dxa"/>
            <w:left w:w="108" w:type="dxa"/>
            <w:bottom w:w="0" w:type="dxa"/>
            <w:right w:w="108" w:type="dxa"/>
          </w:tblCellMar>
        </w:tblPrEx>
        <w:trPr>
          <w:trHeight w:val="280" w:hRule="atLeast"/>
          <w:jc w:val="center"/>
        </w:trPr>
        <w:tc>
          <w:tcPr>
            <w:tcW w:w="634" w:type="pct"/>
            <w:vMerge w:val="continue"/>
            <w:tcBorders>
              <w:left w:val="single" w:color="auto" w:sz="4" w:space="0"/>
              <w:right w:val="single" w:color="auto" w:sz="4" w:space="0"/>
            </w:tcBorders>
            <w:noWrap/>
            <w:vAlign w:val="center"/>
          </w:tcPr>
          <w:p w14:paraId="5FCA863A">
            <w:pPr>
              <w:spacing w:line="276" w:lineRule="auto"/>
              <w:jc w:val="left"/>
              <w:rPr>
                <w:color w:val="000000"/>
                <w:kern w:val="0"/>
                <w:sz w:val="18"/>
                <w:szCs w:val="18"/>
              </w:rPr>
            </w:pPr>
          </w:p>
        </w:tc>
        <w:tc>
          <w:tcPr>
            <w:tcW w:w="1142" w:type="pct"/>
            <w:tcBorders>
              <w:top w:val="nil"/>
              <w:left w:val="nil"/>
              <w:bottom w:val="single" w:color="auto" w:sz="4" w:space="0"/>
              <w:right w:val="single" w:color="auto" w:sz="4" w:space="0"/>
            </w:tcBorders>
            <w:noWrap/>
            <w:vAlign w:val="center"/>
          </w:tcPr>
          <w:p w14:paraId="778C4DE3">
            <w:pPr>
              <w:widowControl/>
              <w:spacing w:line="276" w:lineRule="auto"/>
              <w:jc w:val="left"/>
              <w:rPr>
                <w:color w:val="000000"/>
                <w:kern w:val="0"/>
                <w:sz w:val="18"/>
                <w:szCs w:val="18"/>
              </w:rPr>
            </w:pPr>
            <w:r>
              <w:rPr>
                <w:color w:val="000000"/>
                <w:kern w:val="0"/>
                <w:sz w:val="18"/>
                <w:szCs w:val="18"/>
              </w:rPr>
              <w:t>水中放电腔室</w:t>
            </w:r>
          </w:p>
        </w:tc>
        <w:tc>
          <w:tcPr>
            <w:tcW w:w="2868" w:type="pct"/>
            <w:tcBorders>
              <w:top w:val="nil"/>
              <w:left w:val="nil"/>
              <w:bottom w:val="single" w:color="auto" w:sz="4" w:space="0"/>
              <w:right w:val="single" w:color="auto" w:sz="4" w:space="0"/>
            </w:tcBorders>
            <w:noWrap/>
            <w:vAlign w:val="center"/>
          </w:tcPr>
          <w:p w14:paraId="5C94F01B">
            <w:pPr>
              <w:widowControl/>
              <w:spacing w:line="276" w:lineRule="auto"/>
              <w:jc w:val="left"/>
              <w:rPr>
                <w:color w:val="000000"/>
                <w:kern w:val="0"/>
                <w:sz w:val="18"/>
                <w:szCs w:val="18"/>
              </w:rPr>
            </w:pPr>
            <w:r>
              <w:rPr>
                <w:color w:val="000000"/>
                <w:kern w:val="0"/>
                <w:sz w:val="18"/>
                <w:szCs w:val="18"/>
              </w:rPr>
              <w:t>120gTNT当量水中电爆炸腔室</w:t>
            </w:r>
          </w:p>
        </w:tc>
        <w:tc>
          <w:tcPr>
            <w:tcW w:w="354" w:type="pct"/>
            <w:tcBorders>
              <w:top w:val="nil"/>
              <w:left w:val="nil"/>
              <w:bottom w:val="single" w:color="auto" w:sz="4" w:space="0"/>
              <w:right w:val="single" w:color="auto" w:sz="4" w:space="0"/>
            </w:tcBorders>
            <w:noWrap/>
            <w:vAlign w:val="center"/>
          </w:tcPr>
          <w:p w14:paraId="58CC1259">
            <w:pPr>
              <w:widowControl/>
              <w:spacing w:line="276" w:lineRule="auto"/>
              <w:jc w:val="left"/>
              <w:rPr>
                <w:color w:val="000000"/>
                <w:kern w:val="0"/>
                <w:sz w:val="18"/>
                <w:szCs w:val="18"/>
              </w:rPr>
            </w:pPr>
            <w:r>
              <w:rPr>
                <w:color w:val="000000"/>
                <w:kern w:val="0"/>
                <w:sz w:val="18"/>
                <w:szCs w:val="18"/>
              </w:rPr>
              <w:t>1套</w:t>
            </w:r>
          </w:p>
        </w:tc>
      </w:tr>
      <w:tr w14:paraId="0904FEAA">
        <w:tblPrEx>
          <w:tblCellMar>
            <w:top w:w="0" w:type="dxa"/>
            <w:left w:w="108" w:type="dxa"/>
            <w:bottom w:w="0" w:type="dxa"/>
            <w:right w:w="108" w:type="dxa"/>
          </w:tblCellMar>
        </w:tblPrEx>
        <w:trPr>
          <w:trHeight w:val="280" w:hRule="atLeast"/>
          <w:jc w:val="center"/>
        </w:trPr>
        <w:tc>
          <w:tcPr>
            <w:tcW w:w="634" w:type="pct"/>
            <w:vMerge w:val="continue"/>
            <w:tcBorders>
              <w:left w:val="single" w:color="auto" w:sz="4" w:space="0"/>
              <w:right w:val="single" w:color="auto" w:sz="4" w:space="0"/>
            </w:tcBorders>
            <w:noWrap/>
            <w:vAlign w:val="center"/>
          </w:tcPr>
          <w:p w14:paraId="2ACCE706">
            <w:pPr>
              <w:spacing w:line="276" w:lineRule="auto"/>
              <w:jc w:val="left"/>
              <w:rPr>
                <w:color w:val="000000"/>
                <w:kern w:val="0"/>
                <w:sz w:val="18"/>
                <w:szCs w:val="18"/>
              </w:rPr>
            </w:pPr>
          </w:p>
        </w:tc>
        <w:tc>
          <w:tcPr>
            <w:tcW w:w="1142" w:type="pct"/>
            <w:tcBorders>
              <w:top w:val="nil"/>
              <w:left w:val="nil"/>
              <w:bottom w:val="single" w:color="auto" w:sz="4" w:space="0"/>
              <w:right w:val="single" w:color="auto" w:sz="4" w:space="0"/>
            </w:tcBorders>
            <w:noWrap/>
            <w:vAlign w:val="center"/>
          </w:tcPr>
          <w:p w14:paraId="11C78EEC">
            <w:pPr>
              <w:widowControl/>
              <w:spacing w:line="276" w:lineRule="auto"/>
              <w:jc w:val="left"/>
              <w:rPr>
                <w:color w:val="000000"/>
                <w:kern w:val="0"/>
                <w:sz w:val="18"/>
                <w:szCs w:val="18"/>
              </w:rPr>
            </w:pPr>
            <w:r>
              <w:rPr>
                <w:color w:val="000000"/>
                <w:kern w:val="0"/>
                <w:sz w:val="18"/>
                <w:szCs w:val="18"/>
              </w:rPr>
              <w:t>空气中放电腔室</w:t>
            </w:r>
          </w:p>
        </w:tc>
        <w:tc>
          <w:tcPr>
            <w:tcW w:w="2868" w:type="pct"/>
            <w:tcBorders>
              <w:top w:val="nil"/>
              <w:left w:val="nil"/>
              <w:bottom w:val="single" w:color="auto" w:sz="4" w:space="0"/>
              <w:right w:val="single" w:color="auto" w:sz="4" w:space="0"/>
            </w:tcBorders>
            <w:noWrap/>
            <w:vAlign w:val="center"/>
          </w:tcPr>
          <w:p w14:paraId="2FC2C0FD">
            <w:pPr>
              <w:widowControl/>
              <w:spacing w:line="276" w:lineRule="auto"/>
              <w:jc w:val="left"/>
              <w:rPr>
                <w:color w:val="000000"/>
                <w:kern w:val="0"/>
                <w:sz w:val="18"/>
                <w:szCs w:val="18"/>
              </w:rPr>
            </w:pPr>
            <w:r>
              <w:rPr>
                <w:color w:val="000000"/>
                <w:kern w:val="0"/>
                <w:sz w:val="18"/>
                <w:szCs w:val="18"/>
              </w:rPr>
              <w:t>80gTNT当量气体中电爆炸腔室</w:t>
            </w:r>
          </w:p>
        </w:tc>
        <w:tc>
          <w:tcPr>
            <w:tcW w:w="354" w:type="pct"/>
            <w:tcBorders>
              <w:top w:val="nil"/>
              <w:left w:val="nil"/>
              <w:bottom w:val="single" w:color="auto" w:sz="4" w:space="0"/>
              <w:right w:val="single" w:color="auto" w:sz="4" w:space="0"/>
            </w:tcBorders>
            <w:noWrap/>
            <w:vAlign w:val="center"/>
          </w:tcPr>
          <w:p w14:paraId="5D7267CD">
            <w:pPr>
              <w:widowControl/>
              <w:spacing w:line="276" w:lineRule="auto"/>
              <w:jc w:val="left"/>
              <w:rPr>
                <w:color w:val="000000"/>
                <w:kern w:val="0"/>
                <w:sz w:val="18"/>
                <w:szCs w:val="18"/>
              </w:rPr>
            </w:pPr>
            <w:r>
              <w:rPr>
                <w:color w:val="000000"/>
                <w:kern w:val="0"/>
                <w:sz w:val="18"/>
                <w:szCs w:val="18"/>
              </w:rPr>
              <w:t>1套</w:t>
            </w:r>
          </w:p>
        </w:tc>
      </w:tr>
      <w:tr w14:paraId="7491EC61">
        <w:tblPrEx>
          <w:tblCellMar>
            <w:top w:w="0" w:type="dxa"/>
            <w:left w:w="108" w:type="dxa"/>
            <w:bottom w:w="0" w:type="dxa"/>
            <w:right w:w="108" w:type="dxa"/>
          </w:tblCellMar>
        </w:tblPrEx>
        <w:trPr>
          <w:trHeight w:val="280" w:hRule="atLeast"/>
          <w:jc w:val="center"/>
        </w:trPr>
        <w:tc>
          <w:tcPr>
            <w:tcW w:w="634" w:type="pct"/>
            <w:vMerge w:val="continue"/>
            <w:tcBorders>
              <w:left w:val="single" w:color="auto" w:sz="4" w:space="0"/>
              <w:right w:val="single" w:color="auto" w:sz="4" w:space="0"/>
            </w:tcBorders>
            <w:noWrap/>
            <w:vAlign w:val="center"/>
          </w:tcPr>
          <w:p w14:paraId="1FAA7569">
            <w:pPr>
              <w:spacing w:line="276" w:lineRule="auto"/>
              <w:jc w:val="left"/>
              <w:rPr>
                <w:color w:val="000000"/>
                <w:kern w:val="0"/>
                <w:sz w:val="18"/>
                <w:szCs w:val="18"/>
              </w:rPr>
            </w:pPr>
          </w:p>
        </w:tc>
        <w:tc>
          <w:tcPr>
            <w:tcW w:w="1142" w:type="pct"/>
            <w:tcBorders>
              <w:top w:val="nil"/>
              <w:left w:val="nil"/>
              <w:bottom w:val="single" w:color="auto" w:sz="4" w:space="0"/>
              <w:right w:val="single" w:color="auto" w:sz="4" w:space="0"/>
            </w:tcBorders>
            <w:noWrap/>
            <w:vAlign w:val="center"/>
          </w:tcPr>
          <w:p w14:paraId="6966F2B7">
            <w:pPr>
              <w:widowControl/>
              <w:spacing w:line="276" w:lineRule="auto"/>
              <w:jc w:val="left"/>
              <w:rPr>
                <w:color w:val="000000"/>
                <w:kern w:val="0"/>
                <w:sz w:val="18"/>
                <w:szCs w:val="18"/>
              </w:rPr>
            </w:pPr>
            <w:r>
              <w:rPr>
                <w:rFonts w:hint="eastAsia"/>
                <w:color w:val="000000"/>
                <w:kern w:val="0"/>
                <w:sz w:val="18"/>
                <w:szCs w:val="18"/>
              </w:rPr>
              <w:t>内径</w:t>
            </w:r>
            <w:r>
              <w:rPr>
                <w:color w:val="000000"/>
                <w:kern w:val="0"/>
                <w:sz w:val="18"/>
                <w:szCs w:val="18"/>
              </w:rPr>
              <w:t>37mm</w:t>
            </w:r>
            <w:r>
              <w:rPr>
                <w:rFonts w:hint="eastAsia"/>
                <w:color w:val="000000"/>
                <w:kern w:val="0"/>
                <w:sz w:val="18"/>
                <w:szCs w:val="18"/>
              </w:rPr>
              <w:t>加速通道</w:t>
            </w:r>
          </w:p>
        </w:tc>
        <w:tc>
          <w:tcPr>
            <w:tcW w:w="2868" w:type="pct"/>
            <w:tcBorders>
              <w:top w:val="nil"/>
              <w:left w:val="nil"/>
              <w:bottom w:val="single" w:color="auto" w:sz="4" w:space="0"/>
              <w:right w:val="single" w:color="auto" w:sz="4" w:space="0"/>
            </w:tcBorders>
            <w:noWrap/>
            <w:vAlign w:val="center"/>
          </w:tcPr>
          <w:p w14:paraId="2D7A51D0">
            <w:pPr>
              <w:widowControl/>
              <w:spacing w:line="276" w:lineRule="auto"/>
              <w:jc w:val="left"/>
              <w:rPr>
                <w:color w:val="000000"/>
                <w:kern w:val="0"/>
                <w:sz w:val="18"/>
                <w:szCs w:val="18"/>
              </w:rPr>
            </w:pPr>
            <w:r>
              <w:rPr>
                <w:rFonts w:hint="eastAsia"/>
                <w:color w:val="000000"/>
                <w:kern w:val="0"/>
                <w:sz w:val="18"/>
                <w:szCs w:val="18"/>
              </w:rPr>
              <w:t>约束</w:t>
            </w:r>
            <w:r>
              <w:rPr>
                <w:color w:val="000000"/>
                <w:kern w:val="0"/>
                <w:sz w:val="18"/>
                <w:szCs w:val="18"/>
              </w:rPr>
              <w:t>大质量弹丸</w:t>
            </w:r>
            <w:r>
              <w:rPr>
                <w:rFonts w:hint="eastAsia"/>
                <w:color w:val="000000"/>
                <w:kern w:val="0"/>
                <w:sz w:val="18"/>
                <w:szCs w:val="18"/>
              </w:rPr>
              <w:t>飞行轨迹</w:t>
            </w:r>
          </w:p>
        </w:tc>
        <w:tc>
          <w:tcPr>
            <w:tcW w:w="354" w:type="pct"/>
            <w:tcBorders>
              <w:top w:val="nil"/>
              <w:left w:val="nil"/>
              <w:bottom w:val="single" w:color="auto" w:sz="4" w:space="0"/>
              <w:right w:val="single" w:color="auto" w:sz="4" w:space="0"/>
            </w:tcBorders>
            <w:noWrap/>
            <w:vAlign w:val="center"/>
          </w:tcPr>
          <w:p w14:paraId="48A171A7">
            <w:pPr>
              <w:widowControl/>
              <w:spacing w:line="276" w:lineRule="auto"/>
              <w:jc w:val="left"/>
              <w:rPr>
                <w:color w:val="000000"/>
                <w:kern w:val="0"/>
                <w:sz w:val="18"/>
                <w:szCs w:val="18"/>
              </w:rPr>
            </w:pPr>
            <w:r>
              <w:rPr>
                <w:rFonts w:hint="eastAsia"/>
                <w:color w:val="000000"/>
                <w:kern w:val="0"/>
                <w:sz w:val="18"/>
                <w:szCs w:val="18"/>
              </w:rPr>
              <w:t>4</w:t>
            </w:r>
            <w:r>
              <w:rPr>
                <w:color w:val="000000"/>
                <w:kern w:val="0"/>
                <w:sz w:val="18"/>
                <w:szCs w:val="18"/>
              </w:rPr>
              <w:t>套</w:t>
            </w:r>
          </w:p>
        </w:tc>
      </w:tr>
      <w:tr w14:paraId="288AB2F7">
        <w:tblPrEx>
          <w:tblCellMar>
            <w:top w:w="0" w:type="dxa"/>
            <w:left w:w="108" w:type="dxa"/>
            <w:bottom w:w="0" w:type="dxa"/>
            <w:right w:w="108" w:type="dxa"/>
          </w:tblCellMar>
        </w:tblPrEx>
        <w:trPr>
          <w:trHeight w:val="280" w:hRule="atLeast"/>
          <w:jc w:val="center"/>
        </w:trPr>
        <w:tc>
          <w:tcPr>
            <w:tcW w:w="634" w:type="pct"/>
            <w:vMerge w:val="continue"/>
            <w:tcBorders>
              <w:left w:val="single" w:color="auto" w:sz="4" w:space="0"/>
              <w:right w:val="single" w:color="auto" w:sz="4" w:space="0"/>
            </w:tcBorders>
            <w:noWrap/>
            <w:vAlign w:val="center"/>
          </w:tcPr>
          <w:p w14:paraId="1D2647D7">
            <w:pPr>
              <w:spacing w:line="276" w:lineRule="auto"/>
              <w:jc w:val="left"/>
              <w:rPr>
                <w:color w:val="000000"/>
                <w:kern w:val="0"/>
                <w:sz w:val="18"/>
                <w:szCs w:val="18"/>
              </w:rPr>
            </w:pPr>
          </w:p>
        </w:tc>
        <w:tc>
          <w:tcPr>
            <w:tcW w:w="1142" w:type="pct"/>
            <w:tcBorders>
              <w:top w:val="nil"/>
              <w:left w:val="nil"/>
              <w:bottom w:val="single" w:color="auto" w:sz="4" w:space="0"/>
              <w:right w:val="single" w:color="auto" w:sz="4" w:space="0"/>
            </w:tcBorders>
            <w:noWrap/>
            <w:vAlign w:val="center"/>
          </w:tcPr>
          <w:p w14:paraId="609ECDA8">
            <w:pPr>
              <w:widowControl/>
              <w:spacing w:line="276" w:lineRule="auto"/>
              <w:jc w:val="left"/>
              <w:rPr>
                <w:color w:val="000000"/>
                <w:kern w:val="0"/>
                <w:sz w:val="18"/>
                <w:szCs w:val="18"/>
              </w:rPr>
            </w:pPr>
            <w:r>
              <w:rPr>
                <w:rFonts w:hint="eastAsia"/>
                <w:color w:val="000000"/>
                <w:kern w:val="0"/>
                <w:sz w:val="18"/>
                <w:szCs w:val="18"/>
              </w:rPr>
              <w:t>内径</w:t>
            </w:r>
            <w:r>
              <w:rPr>
                <w:color w:val="000000"/>
                <w:kern w:val="0"/>
                <w:sz w:val="18"/>
                <w:szCs w:val="18"/>
              </w:rPr>
              <w:t>12.7mm</w:t>
            </w:r>
            <w:r>
              <w:rPr>
                <w:rFonts w:hint="eastAsia"/>
                <w:color w:val="000000"/>
                <w:kern w:val="0"/>
                <w:sz w:val="18"/>
                <w:szCs w:val="18"/>
              </w:rPr>
              <w:t>加速通道</w:t>
            </w:r>
          </w:p>
        </w:tc>
        <w:tc>
          <w:tcPr>
            <w:tcW w:w="2868" w:type="pct"/>
            <w:tcBorders>
              <w:top w:val="nil"/>
              <w:left w:val="nil"/>
              <w:bottom w:val="single" w:color="auto" w:sz="4" w:space="0"/>
              <w:right w:val="single" w:color="auto" w:sz="4" w:space="0"/>
            </w:tcBorders>
            <w:noWrap/>
            <w:vAlign w:val="center"/>
          </w:tcPr>
          <w:p w14:paraId="47449BF8">
            <w:pPr>
              <w:widowControl/>
              <w:spacing w:line="276" w:lineRule="auto"/>
              <w:jc w:val="left"/>
              <w:rPr>
                <w:rFonts w:hint="eastAsia" w:eastAsia="宋体"/>
                <w:color w:val="000000"/>
                <w:kern w:val="0"/>
                <w:sz w:val="18"/>
                <w:szCs w:val="18"/>
                <w:lang w:val="en-US" w:eastAsia="zh-CN"/>
              </w:rPr>
            </w:pPr>
            <w:r>
              <w:rPr>
                <w:rFonts w:hint="eastAsia"/>
                <w:color w:val="000000"/>
                <w:kern w:val="0"/>
                <w:sz w:val="18"/>
                <w:szCs w:val="18"/>
              </w:rPr>
              <w:t>约束小质量</w:t>
            </w:r>
            <w:r>
              <w:rPr>
                <w:color w:val="000000"/>
                <w:kern w:val="0"/>
                <w:sz w:val="18"/>
                <w:szCs w:val="18"/>
              </w:rPr>
              <w:t>弹丸</w:t>
            </w:r>
            <w:r>
              <w:rPr>
                <w:rFonts w:hint="eastAsia"/>
                <w:color w:val="000000"/>
                <w:kern w:val="0"/>
                <w:sz w:val="18"/>
                <w:szCs w:val="18"/>
              </w:rPr>
              <w:t>飞行</w:t>
            </w:r>
            <w:r>
              <w:rPr>
                <w:rFonts w:hint="eastAsia"/>
                <w:color w:val="000000"/>
                <w:kern w:val="0"/>
                <w:sz w:val="18"/>
                <w:szCs w:val="18"/>
                <w:lang w:val="en-US" w:eastAsia="zh-CN"/>
              </w:rPr>
              <w:t>轨迹</w:t>
            </w:r>
          </w:p>
        </w:tc>
        <w:tc>
          <w:tcPr>
            <w:tcW w:w="354" w:type="pct"/>
            <w:tcBorders>
              <w:top w:val="nil"/>
              <w:left w:val="nil"/>
              <w:bottom w:val="single" w:color="auto" w:sz="4" w:space="0"/>
              <w:right w:val="single" w:color="auto" w:sz="4" w:space="0"/>
            </w:tcBorders>
            <w:noWrap/>
            <w:vAlign w:val="center"/>
          </w:tcPr>
          <w:p w14:paraId="2E204F30">
            <w:pPr>
              <w:widowControl/>
              <w:spacing w:line="276" w:lineRule="auto"/>
              <w:jc w:val="left"/>
              <w:rPr>
                <w:color w:val="000000"/>
                <w:kern w:val="0"/>
                <w:sz w:val="18"/>
                <w:szCs w:val="18"/>
              </w:rPr>
            </w:pPr>
            <w:r>
              <w:rPr>
                <w:rFonts w:hint="eastAsia"/>
                <w:color w:val="000000"/>
                <w:kern w:val="0"/>
                <w:sz w:val="18"/>
                <w:szCs w:val="18"/>
              </w:rPr>
              <w:t>4</w:t>
            </w:r>
            <w:r>
              <w:rPr>
                <w:color w:val="000000"/>
                <w:kern w:val="0"/>
                <w:sz w:val="18"/>
                <w:szCs w:val="18"/>
              </w:rPr>
              <w:t>套</w:t>
            </w:r>
          </w:p>
        </w:tc>
      </w:tr>
      <w:tr w14:paraId="4D079DA5">
        <w:tblPrEx>
          <w:tblCellMar>
            <w:top w:w="0" w:type="dxa"/>
            <w:left w:w="108" w:type="dxa"/>
            <w:bottom w:w="0" w:type="dxa"/>
            <w:right w:w="108" w:type="dxa"/>
          </w:tblCellMar>
        </w:tblPrEx>
        <w:trPr>
          <w:trHeight w:val="280" w:hRule="atLeast"/>
          <w:jc w:val="center"/>
        </w:trPr>
        <w:tc>
          <w:tcPr>
            <w:tcW w:w="634" w:type="pct"/>
            <w:vMerge w:val="continue"/>
            <w:tcBorders>
              <w:left w:val="single" w:color="auto" w:sz="4" w:space="0"/>
              <w:right w:val="single" w:color="auto" w:sz="4" w:space="0"/>
            </w:tcBorders>
            <w:noWrap/>
            <w:vAlign w:val="center"/>
          </w:tcPr>
          <w:p w14:paraId="6C006EFE">
            <w:pPr>
              <w:spacing w:line="276" w:lineRule="auto"/>
              <w:jc w:val="left"/>
              <w:rPr>
                <w:color w:val="000000"/>
                <w:kern w:val="0"/>
                <w:sz w:val="18"/>
                <w:szCs w:val="18"/>
              </w:rPr>
            </w:pPr>
          </w:p>
        </w:tc>
        <w:tc>
          <w:tcPr>
            <w:tcW w:w="1142" w:type="pct"/>
            <w:tcBorders>
              <w:top w:val="nil"/>
              <w:left w:val="nil"/>
              <w:bottom w:val="single" w:color="auto" w:sz="4" w:space="0"/>
              <w:right w:val="single" w:color="auto" w:sz="4" w:space="0"/>
            </w:tcBorders>
            <w:noWrap/>
            <w:vAlign w:val="center"/>
          </w:tcPr>
          <w:p w14:paraId="67AEE821">
            <w:pPr>
              <w:widowControl/>
              <w:spacing w:line="276" w:lineRule="auto"/>
              <w:jc w:val="left"/>
              <w:rPr>
                <w:color w:val="000000"/>
                <w:kern w:val="0"/>
                <w:sz w:val="18"/>
                <w:szCs w:val="18"/>
              </w:rPr>
            </w:pPr>
            <w:r>
              <w:rPr>
                <w:rFonts w:hint="eastAsia"/>
                <w:color w:val="000000"/>
                <w:kern w:val="0"/>
                <w:sz w:val="18"/>
                <w:szCs w:val="18"/>
              </w:rPr>
              <w:t>转接</w:t>
            </w:r>
            <w:r>
              <w:rPr>
                <w:color w:val="000000"/>
                <w:kern w:val="0"/>
                <w:sz w:val="18"/>
                <w:szCs w:val="18"/>
              </w:rPr>
              <w:t>锥段</w:t>
            </w:r>
          </w:p>
        </w:tc>
        <w:tc>
          <w:tcPr>
            <w:tcW w:w="2868" w:type="pct"/>
            <w:tcBorders>
              <w:top w:val="nil"/>
              <w:left w:val="nil"/>
              <w:bottom w:val="single" w:color="auto" w:sz="4" w:space="0"/>
              <w:right w:val="single" w:color="auto" w:sz="4" w:space="0"/>
            </w:tcBorders>
            <w:noWrap/>
            <w:vAlign w:val="center"/>
          </w:tcPr>
          <w:p w14:paraId="3C0C1C85">
            <w:pPr>
              <w:widowControl/>
              <w:spacing w:line="276" w:lineRule="auto"/>
              <w:jc w:val="left"/>
              <w:rPr>
                <w:color w:val="000000"/>
                <w:kern w:val="0"/>
                <w:sz w:val="18"/>
                <w:szCs w:val="18"/>
              </w:rPr>
            </w:pPr>
            <w:r>
              <w:rPr>
                <w:rFonts w:hint="eastAsia"/>
                <w:color w:val="000000"/>
                <w:kern w:val="0"/>
                <w:sz w:val="18"/>
                <w:szCs w:val="18"/>
              </w:rPr>
              <w:t>转接两种内径加速通道</w:t>
            </w:r>
          </w:p>
        </w:tc>
        <w:tc>
          <w:tcPr>
            <w:tcW w:w="354" w:type="pct"/>
            <w:tcBorders>
              <w:top w:val="nil"/>
              <w:left w:val="nil"/>
              <w:bottom w:val="single" w:color="auto" w:sz="4" w:space="0"/>
              <w:right w:val="single" w:color="auto" w:sz="4" w:space="0"/>
            </w:tcBorders>
            <w:noWrap/>
            <w:vAlign w:val="center"/>
          </w:tcPr>
          <w:p w14:paraId="37AEEEB0">
            <w:pPr>
              <w:widowControl/>
              <w:spacing w:line="276" w:lineRule="auto"/>
              <w:jc w:val="left"/>
              <w:rPr>
                <w:color w:val="000000"/>
                <w:kern w:val="0"/>
                <w:sz w:val="18"/>
                <w:szCs w:val="18"/>
              </w:rPr>
            </w:pPr>
            <w:r>
              <w:rPr>
                <w:color w:val="000000"/>
                <w:kern w:val="0"/>
                <w:sz w:val="18"/>
                <w:szCs w:val="18"/>
              </w:rPr>
              <w:t>2套</w:t>
            </w:r>
          </w:p>
        </w:tc>
      </w:tr>
      <w:tr w14:paraId="622694F3">
        <w:tblPrEx>
          <w:tblCellMar>
            <w:top w:w="0" w:type="dxa"/>
            <w:left w:w="108" w:type="dxa"/>
            <w:bottom w:w="0" w:type="dxa"/>
            <w:right w:w="108" w:type="dxa"/>
          </w:tblCellMar>
        </w:tblPrEx>
        <w:trPr>
          <w:trHeight w:val="280" w:hRule="atLeast"/>
          <w:jc w:val="center"/>
        </w:trPr>
        <w:tc>
          <w:tcPr>
            <w:tcW w:w="634" w:type="pct"/>
            <w:vMerge w:val="continue"/>
            <w:tcBorders>
              <w:left w:val="single" w:color="auto" w:sz="4" w:space="0"/>
              <w:right w:val="single" w:color="auto" w:sz="4" w:space="0"/>
            </w:tcBorders>
            <w:noWrap/>
            <w:vAlign w:val="center"/>
          </w:tcPr>
          <w:p w14:paraId="38379643">
            <w:pPr>
              <w:spacing w:line="276" w:lineRule="auto"/>
              <w:jc w:val="left"/>
              <w:rPr>
                <w:color w:val="000000"/>
                <w:kern w:val="0"/>
                <w:sz w:val="18"/>
                <w:szCs w:val="18"/>
              </w:rPr>
            </w:pPr>
          </w:p>
        </w:tc>
        <w:tc>
          <w:tcPr>
            <w:tcW w:w="1142" w:type="pct"/>
            <w:tcBorders>
              <w:top w:val="nil"/>
              <w:left w:val="nil"/>
              <w:bottom w:val="single" w:color="auto" w:sz="4" w:space="0"/>
              <w:right w:val="single" w:color="auto" w:sz="4" w:space="0"/>
            </w:tcBorders>
            <w:noWrap/>
            <w:vAlign w:val="center"/>
          </w:tcPr>
          <w:p w14:paraId="478C6194">
            <w:pPr>
              <w:widowControl/>
              <w:spacing w:line="276" w:lineRule="auto"/>
              <w:jc w:val="left"/>
              <w:rPr>
                <w:color w:val="000000"/>
                <w:kern w:val="0"/>
                <w:sz w:val="18"/>
                <w:szCs w:val="18"/>
              </w:rPr>
            </w:pPr>
            <w:r>
              <w:rPr>
                <w:color w:val="000000"/>
                <w:kern w:val="0"/>
                <w:sz w:val="18"/>
                <w:szCs w:val="18"/>
              </w:rPr>
              <w:t>过渡腔室</w:t>
            </w:r>
          </w:p>
        </w:tc>
        <w:tc>
          <w:tcPr>
            <w:tcW w:w="2868" w:type="pct"/>
            <w:tcBorders>
              <w:top w:val="nil"/>
              <w:left w:val="nil"/>
              <w:bottom w:val="single" w:color="auto" w:sz="4" w:space="0"/>
              <w:right w:val="single" w:color="auto" w:sz="4" w:space="0"/>
            </w:tcBorders>
            <w:noWrap/>
            <w:vAlign w:val="center"/>
          </w:tcPr>
          <w:p w14:paraId="6F88516A">
            <w:pPr>
              <w:widowControl/>
              <w:spacing w:line="276" w:lineRule="auto"/>
              <w:jc w:val="left"/>
              <w:rPr>
                <w:color w:val="000000"/>
                <w:kern w:val="0"/>
                <w:sz w:val="18"/>
                <w:szCs w:val="18"/>
              </w:rPr>
            </w:pPr>
            <w:r>
              <w:rPr>
                <w:rFonts w:hint="eastAsia"/>
                <w:color w:val="000000"/>
                <w:kern w:val="0"/>
                <w:sz w:val="18"/>
                <w:szCs w:val="18"/>
              </w:rPr>
              <w:t>完成弹速测量、弹丸脱壳、飞行姿态控制</w:t>
            </w:r>
          </w:p>
        </w:tc>
        <w:tc>
          <w:tcPr>
            <w:tcW w:w="354" w:type="pct"/>
            <w:tcBorders>
              <w:top w:val="nil"/>
              <w:left w:val="nil"/>
              <w:bottom w:val="single" w:color="auto" w:sz="4" w:space="0"/>
              <w:right w:val="single" w:color="auto" w:sz="4" w:space="0"/>
            </w:tcBorders>
            <w:noWrap/>
            <w:vAlign w:val="center"/>
          </w:tcPr>
          <w:p w14:paraId="5BA849DD">
            <w:pPr>
              <w:widowControl/>
              <w:spacing w:line="276" w:lineRule="auto"/>
              <w:jc w:val="left"/>
              <w:rPr>
                <w:color w:val="000000"/>
                <w:kern w:val="0"/>
                <w:sz w:val="18"/>
                <w:szCs w:val="18"/>
              </w:rPr>
            </w:pPr>
            <w:r>
              <w:rPr>
                <w:color w:val="000000"/>
                <w:kern w:val="0"/>
                <w:sz w:val="18"/>
                <w:szCs w:val="18"/>
              </w:rPr>
              <w:t>1套</w:t>
            </w:r>
          </w:p>
        </w:tc>
      </w:tr>
      <w:tr w14:paraId="07EED1C6">
        <w:tblPrEx>
          <w:tblCellMar>
            <w:top w:w="0" w:type="dxa"/>
            <w:left w:w="108" w:type="dxa"/>
            <w:bottom w:w="0" w:type="dxa"/>
            <w:right w:w="108" w:type="dxa"/>
          </w:tblCellMar>
        </w:tblPrEx>
        <w:trPr>
          <w:trHeight w:val="280" w:hRule="atLeast"/>
          <w:jc w:val="center"/>
        </w:trPr>
        <w:tc>
          <w:tcPr>
            <w:tcW w:w="634" w:type="pct"/>
            <w:vMerge w:val="continue"/>
            <w:tcBorders>
              <w:left w:val="single" w:color="auto" w:sz="4" w:space="0"/>
              <w:right w:val="single" w:color="auto" w:sz="4" w:space="0"/>
            </w:tcBorders>
            <w:noWrap/>
            <w:vAlign w:val="center"/>
          </w:tcPr>
          <w:p w14:paraId="7D2D1D2B">
            <w:pPr>
              <w:spacing w:line="276" w:lineRule="auto"/>
              <w:jc w:val="left"/>
              <w:rPr>
                <w:color w:val="000000"/>
                <w:kern w:val="0"/>
                <w:sz w:val="18"/>
                <w:szCs w:val="18"/>
              </w:rPr>
            </w:pPr>
          </w:p>
        </w:tc>
        <w:tc>
          <w:tcPr>
            <w:tcW w:w="1142" w:type="pct"/>
            <w:tcBorders>
              <w:top w:val="nil"/>
              <w:left w:val="nil"/>
              <w:bottom w:val="single" w:color="auto" w:sz="4" w:space="0"/>
              <w:right w:val="single" w:color="auto" w:sz="4" w:space="0"/>
            </w:tcBorders>
            <w:noWrap/>
            <w:vAlign w:val="center"/>
          </w:tcPr>
          <w:p w14:paraId="46C4F43B">
            <w:pPr>
              <w:widowControl/>
              <w:spacing w:line="276" w:lineRule="auto"/>
              <w:jc w:val="left"/>
              <w:rPr>
                <w:color w:val="000000"/>
                <w:kern w:val="0"/>
                <w:sz w:val="18"/>
                <w:szCs w:val="18"/>
              </w:rPr>
            </w:pPr>
            <w:r>
              <w:rPr>
                <w:color w:val="000000"/>
                <w:kern w:val="0"/>
                <w:sz w:val="18"/>
                <w:szCs w:val="18"/>
              </w:rPr>
              <w:t>三路激光测速系统</w:t>
            </w:r>
          </w:p>
        </w:tc>
        <w:tc>
          <w:tcPr>
            <w:tcW w:w="2868" w:type="pct"/>
            <w:tcBorders>
              <w:top w:val="nil"/>
              <w:left w:val="nil"/>
              <w:bottom w:val="single" w:color="auto" w:sz="4" w:space="0"/>
              <w:right w:val="single" w:color="auto" w:sz="4" w:space="0"/>
            </w:tcBorders>
            <w:noWrap/>
            <w:vAlign w:val="center"/>
          </w:tcPr>
          <w:p w14:paraId="0CDA4DC9">
            <w:pPr>
              <w:widowControl/>
              <w:spacing w:line="276" w:lineRule="auto"/>
              <w:jc w:val="left"/>
              <w:rPr>
                <w:color w:val="000000"/>
                <w:kern w:val="0"/>
                <w:sz w:val="18"/>
                <w:szCs w:val="18"/>
              </w:rPr>
            </w:pPr>
            <w:r>
              <w:rPr>
                <w:color w:val="000000"/>
                <w:kern w:val="0"/>
                <w:sz w:val="18"/>
                <w:szCs w:val="18"/>
              </w:rPr>
              <w:t>测试弹丸出</w:t>
            </w:r>
            <w:r>
              <w:rPr>
                <w:rFonts w:hint="eastAsia"/>
                <w:color w:val="000000"/>
                <w:kern w:val="0"/>
                <w:sz w:val="18"/>
                <w:szCs w:val="18"/>
              </w:rPr>
              <w:t>加速通道</w:t>
            </w:r>
            <w:r>
              <w:rPr>
                <w:color w:val="000000"/>
                <w:kern w:val="0"/>
                <w:sz w:val="18"/>
                <w:szCs w:val="18"/>
              </w:rPr>
              <w:t>速度</w:t>
            </w:r>
          </w:p>
        </w:tc>
        <w:tc>
          <w:tcPr>
            <w:tcW w:w="354" w:type="pct"/>
            <w:tcBorders>
              <w:top w:val="nil"/>
              <w:left w:val="nil"/>
              <w:bottom w:val="single" w:color="auto" w:sz="4" w:space="0"/>
              <w:right w:val="single" w:color="auto" w:sz="4" w:space="0"/>
            </w:tcBorders>
            <w:noWrap/>
            <w:vAlign w:val="center"/>
          </w:tcPr>
          <w:p w14:paraId="2DE6BD09">
            <w:pPr>
              <w:widowControl/>
              <w:spacing w:line="276" w:lineRule="auto"/>
              <w:jc w:val="left"/>
              <w:rPr>
                <w:color w:val="000000"/>
                <w:kern w:val="0"/>
                <w:sz w:val="18"/>
                <w:szCs w:val="18"/>
              </w:rPr>
            </w:pPr>
            <w:r>
              <w:rPr>
                <w:color w:val="000000"/>
                <w:kern w:val="0"/>
                <w:sz w:val="18"/>
                <w:szCs w:val="18"/>
              </w:rPr>
              <w:t>2套</w:t>
            </w:r>
          </w:p>
        </w:tc>
      </w:tr>
      <w:tr w14:paraId="3D50A3BB">
        <w:tblPrEx>
          <w:tblCellMar>
            <w:top w:w="0" w:type="dxa"/>
            <w:left w:w="108" w:type="dxa"/>
            <w:bottom w:w="0" w:type="dxa"/>
            <w:right w:w="108" w:type="dxa"/>
          </w:tblCellMar>
        </w:tblPrEx>
        <w:trPr>
          <w:trHeight w:val="280" w:hRule="atLeast"/>
          <w:jc w:val="center"/>
        </w:trPr>
        <w:tc>
          <w:tcPr>
            <w:tcW w:w="634" w:type="pct"/>
            <w:vMerge w:val="continue"/>
            <w:tcBorders>
              <w:left w:val="single" w:color="auto" w:sz="4" w:space="0"/>
              <w:right w:val="single" w:color="auto" w:sz="4" w:space="0"/>
            </w:tcBorders>
            <w:noWrap/>
            <w:vAlign w:val="center"/>
          </w:tcPr>
          <w:p w14:paraId="6FF241B0">
            <w:pPr>
              <w:spacing w:line="276" w:lineRule="auto"/>
              <w:jc w:val="left"/>
              <w:rPr>
                <w:color w:val="000000"/>
                <w:kern w:val="0"/>
                <w:sz w:val="18"/>
                <w:szCs w:val="18"/>
              </w:rPr>
            </w:pPr>
          </w:p>
        </w:tc>
        <w:tc>
          <w:tcPr>
            <w:tcW w:w="1142" w:type="pct"/>
            <w:tcBorders>
              <w:top w:val="nil"/>
              <w:left w:val="nil"/>
              <w:bottom w:val="single" w:color="auto" w:sz="4" w:space="0"/>
              <w:right w:val="single" w:color="auto" w:sz="4" w:space="0"/>
            </w:tcBorders>
            <w:noWrap/>
            <w:vAlign w:val="center"/>
          </w:tcPr>
          <w:p w14:paraId="3BCEF5F3">
            <w:pPr>
              <w:widowControl/>
              <w:spacing w:line="276" w:lineRule="auto"/>
              <w:jc w:val="left"/>
              <w:rPr>
                <w:color w:val="000000"/>
                <w:kern w:val="0"/>
                <w:sz w:val="18"/>
                <w:szCs w:val="18"/>
              </w:rPr>
            </w:pPr>
            <w:r>
              <w:rPr>
                <w:color w:val="000000"/>
                <w:kern w:val="0"/>
                <w:sz w:val="18"/>
                <w:szCs w:val="18"/>
              </w:rPr>
              <w:t>三路磁测速系统</w:t>
            </w:r>
          </w:p>
        </w:tc>
        <w:tc>
          <w:tcPr>
            <w:tcW w:w="2868" w:type="pct"/>
            <w:tcBorders>
              <w:top w:val="nil"/>
              <w:left w:val="nil"/>
              <w:bottom w:val="single" w:color="auto" w:sz="4" w:space="0"/>
              <w:right w:val="single" w:color="auto" w:sz="4" w:space="0"/>
            </w:tcBorders>
            <w:noWrap/>
            <w:vAlign w:val="center"/>
          </w:tcPr>
          <w:p w14:paraId="0DBE2C3E">
            <w:pPr>
              <w:widowControl/>
              <w:spacing w:line="276" w:lineRule="auto"/>
              <w:jc w:val="left"/>
              <w:rPr>
                <w:color w:val="000000"/>
                <w:kern w:val="0"/>
                <w:sz w:val="18"/>
                <w:szCs w:val="18"/>
              </w:rPr>
            </w:pPr>
            <w:r>
              <w:rPr>
                <w:color w:val="000000"/>
                <w:kern w:val="0"/>
                <w:sz w:val="18"/>
                <w:szCs w:val="18"/>
              </w:rPr>
              <w:t>测试弹丸进入效应腔后的速度</w:t>
            </w:r>
          </w:p>
        </w:tc>
        <w:tc>
          <w:tcPr>
            <w:tcW w:w="354" w:type="pct"/>
            <w:tcBorders>
              <w:top w:val="nil"/>
              <w:left w:val="nil"/>
              <w:bottom w:val="single" w:color="auto" w:sz="4" w:space="0"/>
              <w:right w:val="single" w:color="auto" w:sz="4" w:space="0"/>
            </w:tcBorders>
            <w:noWrap/>
            <w:vAlign w:val="center"/>
          </w:tcPr>
          <w:p w14:paraId="53B40C81">
            <w:pPr>
              <w:widowControl/>
              <w:spacing w:line="276" w:lineRule="auto"/>
              <w:jc w:val="left"/>
              <w:rPr>
                <w:color w:val="000000"/>
                <w:kern w:val="0"/>
                <w:sz w:val="18"/>
                <w:szCs w:val="18"/>
              </w:rPr>
            </w:pPr>
            <w:r>
              <w:rPr>
                <w:color w:val="000000"/>
                <w:kern w:val="0"/>
                <w:sz w:val="18"/>
                <w:szCs w:val="18"/>
              </w:rPr>
              <w:t>2套</w:t>
            </w:r>
          </w:p>
        </w:tc>
      </w:tr>
      <w:tr w14:paraId="56629E58">
        <w:tblPrEx>
          <w:tblCellMar>
            <w:top w:w="0" w:type="dxa"/>
            <w:left w:w="108" w:type="dxa"/>
            <w:bottom w:w="0" w:type="dxa"/>
            <w:right w:w="108" w:type="dxa"/>
          </w:tblCellMar>
        </w:tblPrEx>
        <w:trPr>
          <w:trHeight w:val="280" w:hRule="atLeast"/>
          <w:jc w:val="center"/>
        </w:trPr>
        <w:tc>
          <w:tcPr>
            <w:tcW w:w="634" w:type="pct"/>
            <w:vMerge w:val="continue"/>
            <w:tcBorders>
              <w:left w:val="single" w:color="auto" w:sz="4" w:space="0"/>
              <w:right w:val="single" w:color="auto" w:sz="4" w:space="0"/>
            </w:tcBorders>
            <w:noWrap/>
            <w:vAlign w:val="center"/>
          </w:tcPr>
          <w:p w14:paraId="220B25D7">
            <w:pPr>
              <w:spacing w:line="276" w:lineRule="auto"/>
              <w:jc w:val="left"/>
              <w:rPr>
                <w:color w:val="000000"/>
                <w:kern w:val="0"/>
                <w:sz w:val="18"/>
                <w:szCs w:val="18"/>
              </w:rPr>
            </w:pPr>
          </w:p>
        </w:tc>
        <w:tc>
          <w:tcPr>
            <w:tcW w:w="1142" w:type="pct"/>
            <w:tcBorders>
              <w:top w:val="nil"/>
              <w:left w:val="nil"/>
              <w:bottom w:val="single" w:color="auto" w:sz="4" w:space="0"/>
              <w:right w:val="single" w:color="auto" w:sz="4" w:space="0"/>
            </w:tcBorders>
            <w:noWrap/>
            <w:vAlign w:val="center"/>
          </w:tcPr>
          <w:p w14:paraId="20B7789B">
            <w:pPr>
              <w:widowControl/>
              <w:spacing w:line="276" w:lineRule="auto"/>
              <w:jc w:val="left"/>
              <w:rPr>
                <w:color w:val="000000"/>
                <w:kern w:val="0"/>
                <w:sz w:val="18"/>
                <w:szCs w:val="18"/>
              </w:rPr>
            </w:pPr>
            <w:r>
              <w:rPr>
                <w:rFonts w:hint="eastAsia"/>
                <w:color w:val="000000"/>
                <w:kern w:val="0"/>
                <w:sz w:val="18"/>
                <w:szCs w:val="18"/>
              </w:rPr>
              <w:t>注气系统</w:t>
            </w:r>
          </w:p>
        </w:tc>
        <w:tc>
          <w:tcPr>
            <w:tcW w:w="2868" w:type="pct"/>
            <w:tcBorders>
              <w:top w:val="nil"/>
              <w:left w:val="nil"/>
              <w:bottom w:val="single" w:color="auto" w:sz="4" w:space="0"/>
              <w:right w:val="single" w:color="auto" w:sz="4" w:space="0"/>
            </w:tcBorders>
            <w:noWrap/>
            <w:vAlign w:val="center"/>
          </w:tcPr>
          <w:p w14:paraId="399AA16F">
            <w:pPr>
              <w:widowControl/>
              <w:spacing w:line="276" w:lineRule="auto"/>
              <w:jc w:val="left"/>
              <w:rPr>
                <w:color w:val="000000"/>
                <w:kern w:val="0"/>
                <w:sz w:val="18"/>
                <w:szCs w:val="18"/>
              </w:rPr>
            </w:pPr>
            <w:r>
              <w:rPr>
                <w:rFonts w:hint="eastAsia"/>
                <w:color w:val="000000"/>
                <w:kern w:val="0"/>
                <w:sz w:val="18"/>
                <w:szCs w:val="18"/>
              </w:rPr>
              <w:t>为电爆炸腔室、加速通道加注气体</w:t>
            </w:r>
          </w:p>
        </w:tc>
        <w:tc>
          <w:tcPr>
            <w:tcW w:w="354" w:type="pct"/>
            <w:tcBorders>
              <w:top w:val="nil"/>
              <w:left w:val="nil"/>
              <w:bottom w:val="single" w:color="auto" w:sz="4" w:space="0"/>
              <w:right w:val="single" w:color="auto" w:sz="4" w:space="0"/>
            </w:tcBorders>
            <w:noWrap/>
            <w:vAlign w:val="center"/>
          </w:tcPr>
          <w:p w14:paraId="7C2FF1F7">
            <w:pPr>
              <w:widowControl/>
              <w:spacing w:line="276" w:lineRule="auto"/>
              <w:jc w:val="left"/>
              <w:rPr>
                <w:color w:val="000000"/>
                <w:kern w:val="0"/>
                <w:sz w:val="18"/>
                <w:szCs w:val="18"/>
              </w:rPr>
            </w:pPr>
            <w:r>
              <w:rPr>
                <w:rFonts w:hint="eastAsia"/>
                <w:color w:val="000000"/>
                <w:kern w:val="0"/>
                <w:sz w:val="18"/>
                <w:szCs w:val="18"/>
              </w:rPr>
              <w:t>2套</w:t>
            </w:r>
          </w:p>
        </w:tc>
      </w:tr>
      <w:tr w14:paraId="368BD866">
        <w:tblPrEx>
          <w:tblCellMar>
            <w:top w:w="0" w:type="dxa"/>
            <w:left w:w="108" w:type="dxa"/>
            <w:bottom w:w="0" w:type="dxa"/>
            <w:right w:w="108" w:type="dxa"/>
          </w:tblCellMar>
        </w:tblPrEx>
        <w:trPr>
          <w:trHeight w:val="280" w:hRule="atLeast"/>
          <w:jc w:val="center"/>
        </w:trPr>
        <w:tc>
          <w:tcPr>
            <w:tcW w:w="634" w:type="pct"/>
            <w:vMerge w:val="continue"/>
            <w:tcBorders>
              <w:left w:val="single" w:color="auto" w:sz="4" w:space="0"/>
              <w:right w:val="single" w:color="auto" w:sz="4" w:space="0"/>
            </w:tcBorders>
            <w:noWrap/>
            <w:vAlign w:val="center"/>
          </w:tcPr>
          <w:p w14:paraId="59A601DE">
            <w:pPr>
              <w:spacing w:line="276" w:lineRule="auto"/>
              <w:jc w:val="left"/>
              <w:rPr>
                <w:color w:val="000000"/>
                <w:kern w:val="0"/>
                <w:sz w:val="18"/>
                <w:szCs w:val="18"/>
              </w:rPr>
            </w:pPr>
          </w:p>
        </w:tc>
        <w:tc>
          <w:tcPr>
            <w:tcW w:w="1142" w:type="pct"/>
            <w:tcBorders>
              <w:top w:val="nil"/>
              <w:left w:val="nil"/>
              <w:bottom w:val="single" w:color="auto" w:sz="4" w:space="0"/>
              <w:right w:val="single" w:color="auto" w:sz="4" w:space="0"/>
            </w:tcBorders>
            <w:noWrap/>
            <w:vAlign w:val="center"/>
          </w:tcPr>
          <w:p w14:paraId="50A27FAF">
            <w:pPr>
              <w:widowControl/>
              <w:spacing w:line="276" w:lineRule="auto"/>
              <w:jc w:val="left"/>
              <w:rPr>
                <w:color w:val="000000"/>
                <w:kern w:val="0"/>
                <w:sz w:val="18"/>
                <w:szCs w:val="18"/>
              </w:rPr>
            </w:pPr>
            <w:r>
              <w:rPr>
                <w:color w:val="000000"/>
                <w:kern w:val="0"/>
                <w:sz w:val="18"/>
                <w:szCs w:val="18"/>
              </w:rPr>
              <w:t>支撑平台</w:t>
            </w:r>
          </w:p>
        </w:tc>
        <w:tc>
          <w:tcPr>
            <w:tcW w:w="2868" w:type="pct"/>
            <w:tcBorders>
              <w:top w:val="nil"/>
              <w:left w:val="nil"/>
              <w:bottom w:val="single" w:color="auto" w:sz="4" w:space="0"/>
              <w:right w:val="single" w:color="auto" w:sz="4" w:space="0"/>
            </w:tcBorders>
            <w:noWrap/>
            <w:vAlign w:val="center"/>
          </w:tcPr>
          <w:p w14:paraId="050934D8">
            <w:pPr>
              <w:widowControl/>
              <w:spacing w:line="276" w:lineRule="auto"/>
              <w:jc w:val="left"/>
              <w:rPr>
                <w:color w:val="000000"/>
                <w:kern w:val="0"/>
                <w:sz w:val="18"/>
                <w:szCs w:val="18"/>
              </w:rPr>
            </w:pPr>
            <w:r>
              <w:rPr>
                <w:color w:val="000000"/>
                <w:kern w:val="0"/>
                <w:sz w:val="18"/>
                <w:szCs w:val="18"/>
              </w:rPr>
              <w:t>放电腔室、</w:t>
            </w:r>
            <w:r>
              <w:rPr>
                <w:rFonts w:hint="eastAsia"/>
                <w:color w:val="000000"/>
                <w:kern w:val="0"/>
                <w:sz w:val="18"/>
                <w:szCs w:val="18"/>
              </w:rPr>
              <w:t>加速通道</w:t>
            </w:r>
            <w:r>
              <w:rPr>
                <w:color w:val="000000"/>
                <w:kern w:val="0"/>
                <w:sz w:val="18"/>
                <w:szCs w:val="18"/>
              </w:rPr>
              <w:t>系统、</w:t>
            </w:r>
            <w:r>
              <w:rPr>
                <w:rFonts w:hint="eastAsia"/>
                <w:color w:val="000000"/>
                <w:kern w:val="0"/>
                <w:sz w:val="18"/>
                <w:szCs w:val="18"/>
              </w:rPr>
              <w:t>过渡腔室</w:t>
            </w:r>
            <w:r>
              <w:rPr>
                <w:color w:val="000000"/>
                <w:kern w:val="0"/>
                <w:sz w:val="18"/>
                <w:szCs w:val="18"/>
              </w:rPr>
              <w:t>的支撑系统</w:t>
            </w:r>
          </w:p>
        </w:tc>
        <w:tc>
          <w:tcPr>
            <w:tcW w:w="354" w:type="pct"/>
            <w:tcBorders>
              <w:top w:val="nil"/>
              <w:left w:val="nil"/>
              <w:bottom w:val="single" w:color="auto" w:sz="4" w:space="0"/>
              <w:right w:val="single" w:color="auto" w:sz="4" w:space="0"/>
            </w:tcBorders>
            <w:noWrap/>
            <w:vAlign w:val="center"/>
          </w:tcPr>
          <w:p w14:paraId="4D3CF4E5">
            <w:pPr>
              <w:widowControl/>
              <w:spacing w:line="276" w:lineRule="auto"/>
              <w:jc w:val="left"/>
              <w:rPr>
                <w:color w:val="000000"/>
                <w:kern w:val="0"/>
                <w:sz w:val="18"/>
                <w:szCs w:val="18"/>
              </w:rPr>
            </w:pPr>
            <w:r>
              <w:rPr>
                <w:color w:val="000000"/>
                <w:kern w:val="0"/>
                <w:sz w:val="18"/>
                <w:szCs w:val="18"/>
              </w:rPr>
              <w:t>1套</w:t>
            </w:r>
          </w:p>
        </w:tc>
      </w:tr>
      <w:tr w14:paraId="22332AB8">
        <w:tblPrEx>
          <w:tblCellMar>
            <w:top w:w="0" w:type="dxa"/>
            <w:left w:w="108" w:type="dxa"/>
            <w:bottom w:w="0" w:type="dxa"/>
            <w:right w:w="108" w:type="dxa"/>
          </w:tblCellMar>
        </w:tblPrEx>
        <w:trPr>
          <w:trHeight w:val="280" w:hRule="atLeast"/>
          <w:jc w:val="center"/>
        </w:trPr>
        <w:tc>
          <w:tcPr>
            <w:tcW w:w="634" w:type="pct"/>
            <w:vMerge w:val="continue"/>
            <w:tcBorders>
              <w:left w:val="single" w:color="auto" w:sz="4" w:space="0"/>
              <w:bottom w:val="single" w:color="auto" w:sz="4" w:space="0"/>
              <w:right w:val="single" w:color="auto" w:sz="4" w:space="0"/>
            </w:tcBorders>
            <w:noWrap/>
            <w:vAlign w:val="center"/>
          </w:tcPr>
          <w:p w14:paraId="2DF9876A">
            <w:pPr>
              <w:widowControl/>
              <w:spacing w:line="276" w:lineRule="auto"/>
              <w:jc w:val="left"/>
              <w:rPr>
                <w:color w:val="000000"/>
                <w:kern w:val="0"/>
                <w:sz w:val="18"/>
                <w:szCs w:val="18"/>
              </w:rPr>
            </w:pPr>
          </w:p>
        </w:tc>
        <w:tc>
          <w:tcPr>
            <w:tcW w:w="1142" w:type="pct"/>
            <w:tcBorders>
              <w:top w:val="nil"/>
              <w:left w:val="nil"/>
              <w:bottom w:val="single" w:color="auto" w:sz="4" w:space="0"/>
              <w:right w:val="single" w:color="auto" w:sz="4" w:space="0"/>
            </w:tcBorders>
            <w:noWrap/>
            <w:vAlign w:val="center"/>
          </w:tcPr>
          <w:p w14:paraId="58CCB67D">
            <w:pPr>
              <w:widowControl/>
              <w:spacing w:line="276" w:lineRule="auto"/>
              <w:jc w:val="left"/>
              <w:rPr>
                <w:color w:val="000000"/>
                <w:kern w:val="0"/>
                <w:sz w:val="18"/>
                <w:szCs w:val="18"/>
              </w:rPr>
            </w:pPr>
            <w:r>
              <w:rPr>
                <w:rFonts w:hint="eastAsia"/>
                <w:color w:val="000000"/>
                <w:kern w:val="0"/>
                <w:sz w:val="18"/>
                <w:szCs w:val="18"/>
              </w:rPr>
              <w:t>加速通道</w:t>
            </w:r>
            <w:r>
              <w:rPr>
                <w:color w:val="000000"/>
                <w:kern w:val="0"/>
                <w:sz w:val="18"/>
                <w:szCs w:val="18"/>
              </w:rPr>
              <w:t>用真空系统</w:t>
            </w:r>
          </w:p>
        </w:tc>
        <w:tc>
          <w:tcPr>
            <w:tcW w:w="2868" w:type="pct"/>
            <w:tcBorders>
              <w:top w:val="nil"/>
              <w:left w:val="nil"/>
              <w:bottom w:val="single" w:color="auto" w:sz="4" w:space="0"/>
              <w:right w:val="single" w:color="auto" w:sz="4" w:space="0"/>
            </w:tcBorders>
            <w:noWrap/>
            <w:vAlign w:val="center"/>
          </w:tcPr>
          <w:p w14:paraId="4081B01A">
            <w:pPr>
              <w:widowControl/>
              <w:spacing w:line="276" w:lineRule="auto"/>
              <w:jc w:val="left"/>
              <w:rPr>
                <w:color w:val="000000"/>
                <w:kern w:val="0"/>
                <w:sz w:val="18"/>
                <w:szCs w:val="18"/>
              </w:rPr>
            </w:pPr>
            <w:r>
              <w:rPr>
                <w:rFonts w:hint="eastAsia"/>
                <w:color w:val="000000"/>
                <w:kern w:val="0"/>
                <w:sz w:val="18"/>
                <w:szCs w:val="18"/>
              </w:rPr>
              <w:t>加速通道</w:t>
            </w:r>
            <w:r>
              <w:rPr>
                <w:color w:val="000000"/>
                <w:kern w:val="0"/>
                <w:sz w:val="18"/>
                <w:szCs w:val="18"/>
              </w:rPr>
              <w:t>抽真空</w:t>
            </w:r>
          </w:p>
        </w:tc>
        <w:tc>
          <w:tcPr>
            <w:tcW w:w="354" w:type="pct"/>
            <w:tcBorders>
              <w:top w:val="nil"/>
              <w:left w:val="nil"/>
              <w:bottom w:val="single" w:color="auto" w:sz="4" w:space="0"/>
              <w:right w:val="single" w:color="auto" w:sz="4" w:space="0"/>
            </w:tcBorders>
            <w:noWrap/>
            <w:vAlign w:val="center"/>
          </w:tcPr>
          <w:p w14:paraId="4A4DB55A">
            <w:pPr>
              <w:widowControl/>
              <w:spacing w:line="276" w:lineRule="auto"/>
              <w:jc w:val="left"/>
              <w:rPr>
                <w:color w:val="000000"/>
                <w:kern w:val="0"/>
                <w:sz w:val="18"/>
                <w:szCs w:val="18"/>
              </w:rPr>
            </w:pPr>
            <w:r>
              <w:rPr>
                <w:color w:val="000000"/>
                <w:kern w:val="0"/>
                <w:sz w:val="18"/>
                <w:szCs w:val="18"/>
              </w:rPr>
              <w:t>2套</w:t>
            </w:r>
          </w:p>
        </w:tc>
      </w:tr>
      <w:tr w14:paraId="3A5242E3">
        <w:tblPrEx>
          <w:tblCellMar>
            <w:top w:w="0" w:type="dxa"/>
            <w:left w:w="108" w:type="dxa"/>
            <w:bottom w:w="0" w:type="dxa"/>
            <w:right w:w="108" w:type="dxa"/>
          </w:tblCellMar>
        </w:tblPrEx>
        <w:trPr>
          <w:trHeight w:val="280" w:hRule="atLeast"/>
          <w:jc w:val="center"/>
        </w:trPr>
        <w:tc>
          <w:tcPr>
            <w:tcW w:w="634" w:type="pct"/>
            <w:vMerge w:val="restart"/>
            <w:tcBorders>
              <w:top w:val="nil"/>
              <w:left w:val="single" w:color="auto" w:sz="4" w:space="0"/>
              <w:right w:val="single" w:color="auto" w:sz="4" w:space="0"/>
            </w:tcBorders>
            <w:noWrap/>
            <w:vAlign w:val="center"/>
          </w:tcPr>
          <w:p w14:paraId="1FFA9356">
            <w:pPr>
              <w:widowControl/>
              <w:spacing w:line="276" w:lineRule="auto"/>
              <w:jc w:val="left"/>
              <w:rPr>
                <w:color w:val="000000"/>
                <w:kern w:val="0"/>
                <w:sz w:val="18"/>
                <w:szCs w:val="18"/>
              </w:rPr>
            </w:pPr>
            <w:r>
              <w:rPr>
                <w:color w:val="000000"/>
                <w:kern w:val="0"/>
                <w:sz w:val="18"/>
                <w:szCs w:val="18"/>
              </w:rPr>
              <w:t>效应腔体</w:t>
            </w:r>
          </w:p>
        </w:tc>
        <w:tc>
          <w:tcPr>
            <w:tcW w:w="1142" w:type="pct"/>
            <w:tcBorders>
              <w:top w:val="nil"/>
              <w:left w:val="nil"/>
              <w:bottom w:val="single" w:color="auto" w:sz="4" w:space="0"/>
              <w:right w:val="single" w:color="auto" w:sz="4" w:space="0"/>
            </w:tcBorders>
            <w:noWrap/>
            <w:vAlign w:val="center"/>
          </w:tcPr>
          <w:p w14:paraId="6AF31073">
            <w:pPr>
              <w:widowControl/>
              <w:spacing w:line="276" w:lineRule="auto"/>
              <w:jc w:val="left"/>
              <w:rPr>
                <w:color w:val="000000"/>
                <w:kern w:val="0"/>
                <w:sz w:val="18"/>
                <w:szCs w:val="18"/>
              </w:rPr>
            </w:pPr>
            <w:r>
              <w:rPr>
                <w:color w:val="000000"/>
                <w:kern w:val="0"/>
                <w:sz w:val="18"/>
                <w:szCs w:val="18"/>
              </w:rPr>
              <w:t>效应腔主体</w:t>
            </w:r>
          </w:p>
        </w:tc>
        <w:tc>
          <w:tcPr>
            <w:tcW w:w="2868" w:type="pct"/>
            <w:tcBorders>
              <w:top w:val="nil"/>
              <w:left w:val="nil"/>
              <w:bottom w:val="single" w:color="auto" w:sz="4" w:space="0"/>
              <w:right w:val="single" w:color="auto" w:sz="4" w:space="0"/>
            </w:tcBorders>
            <w:noWrap/>
            <w:vAlign w:val="center"/>
          </w:tcPr>
          <w:p w14:paraId="59E62156">
            <w:pPr>
              <w:widowControl/>
              <w:spacing w:line="276" w:lineRule="auto"/>
              <w:jc w:val="left"/>
              <w:rPr>
                <w:color w:val="000000"/>
                <w:kern w:val="0"/>
                <w:sz w:val="18"/>
                <w:szCs w:val="18"/>
              </w:rPr>
            </w:pPr>
            <w:r>
              <w:rPr>
                <w:color w:val="000000"/>
                <w:kern w:val="0"/>
                <w:sz w:val="18"/>
                <w:szCs w:val="18"/>
              </w:rPr>
              <w:t>超音速高能量弹丸与效应靶作用腔室，</w:t>
            </w:r>
          </w:p>
          <w:p w14:paraId="09CAED30">
            <w:pPr>
              <w:widowControl/>
              <w:spacing w:line="276" w:lineRule="auto"/>
              <w:jc w:val="left"/>
              <w:rPr>
                <w:color w:val="000000"/>
                <w:kern w:val="0"/>
                <w:sz w:val="18"/>
                <w:szCs w:val="18"/>
              </w:rPr>
            </w:pPr>
            <w:r>
              <w:rPr>
                <w:color w:val="000000"/>
                <w:kern w:val="0"/>
                <w:sz w:val="18"/>
                <w:szCs w:val="18"/>
              </w:rPr>
              <w:t>及闪光X相机测试测量平台</w:t>
            </w:r>
          </w:p>
        </w:tc>
        <w:tc>
          <w:tcPr>
            <w:tcW w:w="354" w:type="pct"/>
            <w:tcBorders>
              <w:top w:val="nil"/>
              <w:left w:val="nil"/>
              <w:bottom w:val="single" w:color="auto" w:sz="4" w:space="0"/>
              <w:right w:val="single" w:color="auto" w:sz="4" w:space="0"/>
            </w:tcBorders>
            <w:noWrap/>
            <w:vAlign w:val="center"/>
          </w:tcPr>
          <w:p w14:paraId="48FA0302">
            <w:pPr>
              <w:widowControl/>
              <w:spacing w:line="276" w:lineRule="auto"/>
              <w:jc w:val="left"/>
              <w:rPr>
                <w:color w:val="000000"/>
                <w:kern w:val="0"/>
                <w:sz w:val="18"/>
                <w:szCs w:val="18"/>
              </w:rPr>
            </w:pPr>
            <w:r>
              <w:rPr>
                <w:color w:val="000000"/>
                <w:kern w:val="0"/>
                <w:sz w:val="18"/>
                <w:szCs w:val="18"/>
              </w:rPr>
              <w:t>1套</w:t>
            </w:r>
          </w:p>
        </w:tc>
      </w:tr>
      <w:tr w14:paraId="00593AC1">
        <w:tblPrEx>
          <w:tblCellMar>
            <w:top w:w="0" w:type="dxa"/>
            <w:left w:w="108" w:type="dxa"/>
            <w:bottom w:w="0" w:type="dxa"/>
            <w:right w:w="108" w:type="dxa"/>
          </w:tblCellMar>
        </w:tblPrEx>
        <w:trPr>
          <w:trHeight w:val="280" w:hRule="atLeast"/>
          <w:jc w:val="center"/>
        </w:trPr>
        <w:tc>
          <w:tcPr>
            <w:tcW w:w="634" w:type="pct"/>
            <w:vMerge w:val="continue"/>
            <w:tcBorders>
              <w:left w:val="single" w:color="auto" w:sz="4" w:space="0"/>
              <w:right w:val="single" w:color="auto" w:sz="4" w:space="0"/>
            </w:tcBorders>
            <w:noWrap/>
            <w:vAlign w:val="center"/>
          </w:tcPr>
          <w:p w14:paraId="00DCCC2B">
            <w:pPr>
              <w:spacing w:line="276" w:lineRule="auto"/>
              <w:jc w:val="left"/>
              <w:rPr>
                <w:color w:val="000000"/>
                <w:kern w:val="0"/>
                <w:sz w:val="18"/>
                <w:szCs w:val="18"/>
              </w:rPr>
            </w:pPr>
          </w:p>
        </w:tc>
        <w:tc>
          <w:tcPr>
            <w:tcW w:w="1142" w:type="pct"/>
            <w:tcBorders>
              <w:top w:val="nil"/>
              <w:left w:val="nil"/>
              <w:bottom w:val="single" w:color="auto" w:sz="4" w:space="0"/>
              <w:right w:val="single" w:color="auto" w:sz="4" w:space="0"/>
            </w:tcBorders>
            <w:noWrap/>
            <w:vAlign w:val="center"/>
          </w:tcPr>
          <w:p w14:paraId="31914EF6">
            <w:pPr>
              <w:widowControl/>
              <w:spacing w:line="276" w:lineRule="auto"/>
              <w:jc w:val="left"/>
              <w:rPr>
                <w:color w:val="000000"/>
                <w:kern w:val="0"/>
                <w:sz w:val="18"/>
                <w:szCs w:val="18"/>
              </w:rPr>
            </w:pPr>
            <w:r>
              <w:rPr>
                <w:color w:val="000000"/>
                <w:kern w:val="0"/>
                <w:sz w:val="18"/>
                <w:szCs w:val="18"/>
              </w:rPr>
              <w:t>效应物支撑平台</w:t>
            </w:r>
          </w:p>
        </w:tc>
        <w:tc>
          <w:tcPr>
            <w:tcW w:w="2868" w:type="pct"/>
            <w:tcBorders>
              <w:top w:val="nil"/>
              <w:left w:val="nil"/>
              <w:bottom w:val="single" w:color="auto" w:sz="4" w:space="0"/>
              <w:right w:val="single" w:color="auto" w:sz="4" w:space="0"/>
            </w:tcBorders>
            <w:noWrap/>
            <w:vAlign w:val="center"/>
          </w:tcPr>
          <w:p w14:paraId="2E8EF5D5">
            <w:pPr>
              <w:widowControl/>
              <w:spacing w:line="276" w:lineRule="auto"/>
              <w:jc w:val="left"/>
              <w:rPr>
                <w:color w:val="000000"/>
                <w:kern w:val="0"/>
                <w:sz w:val="18"/>
                <w:szCs w:val="18"/>
              </w:rPr>
            </w:pPr>
            <w:r>
              <w:rPr>
                <w:color w:val="000000"/>
                <w:kern w:val="0"/>
                <w:sz w:val="18"/>
                <w:szCs w:val="18"/>
              </w:rPr>
              <w:t>调节效应物高低、前后用平台</w:t>
            </w:r>
          </w:p>
        </w:tc>
        <w:tc>
          <w:tcPr>
            <w:tcW w:w="354" w:type="pct"/>
            <w:tcBorders>
              <w:top w:val="nil"/>
              <w:left w:val="nil"/>
              <w:bottom w:val="single" w:color="auto" w:sz="4" w:space="0"/>
              <w:right w:val="single" w:color="auto" w:sz="4" w:space="0"/>
            </w:tcBorders>
            <w:noWrap/>
            <w:vAlign w:val="center"/>
          </w:tcPr>
          <w:p w14:paraId="3D79AFC7">
            <w:pPr>
              <w:widowControl/>
              <w:spacing w:line="276" w:lineRule="auto"/>
              <w:jc w:val="left"/>
              <w:rPr>
                <w:color w:val="000000"/>
                <w:kern w:val="0"/>
                <w:sz w:val="18"/>
                <w:szCs w:val="18"/>
              </w:rPr>
            </w:pPr>
            <w:r>
              <w:rPr>
                <w:color w:val="000000"/>
                <w:kern w:val="0"/>
                <w:sz w:val="18"/>
                <w:szCs w:val="18"/>
              </w:rPr>
              <w:t>1套</w:t>
            </w:r>
          </w:p>
        </w:tc>
      </w:tr>
      <w:tr w14:paraId="607C5609">
        <w:tblPrEx>
          <w:tblCellMar>
            <w:top w:w="0" w:type="dxa"/>
            <w:left w:w="108" w:type="dxa"/>
            <w:bottom w:w="0" w:type="dxa"/>
            <w:right w:w="108" w:type="dxa"/>
          </w:tblCellMar>
        </w:tblPrEx>
        <w:trPr>
          <w:trHeight w:val="280" w:hRule="atLeast"/>
          <w:jc w:val="center"/>
        </w:trPr>
        <w:tc>
          <w:tcPr>
            <w:tcW w:w="634" w:type="pct"/>
            <w:vMerge w:val="continue"/>
            <w:tcBorders>
              <w:left w:val="single" w:color="auto" w:sz="4" w:space="0"/>
              <w:right w:val="single" w:color="auto" w:sz="4" w:space="0"/>
            </w:tcBorders>
            <w:noWrap/>
            <w:vAlign w:val="center"/>
          </w:tcPr>
          <w:p w14:paraId="7A2FA4A0">
            <w:pPr>
              <w:spacing w:line="276" w:lineRule="auto"/>
              <w:jc w:val="left"/>
              <w:rPr>
                <w:color w:val="000000"/>
                <w:kern w:val="0"/>
                <w:sz w:val="18"/>
                <w:szCs w:val="18"/>
              </w:rPr>
            </w:pPr>
          </w:p>
        </w:tc>
        <w:tc>
          <w:tcPr>
            <w:tcW w:w="1142" w:type="pct"/>
            <w:tcBorders>
              <w:top w:val="nil"/>
              <w:left w:val="nil"/>
              <w:bottom w:val="single" w:color="auto" w:sz="4" w:space="0"/>
              <w:right w:val="single" w:color="auto" w:sz="4" w:space="0"/>
            </w:tcBorders>
            <w:noWrap/>
            <w:vAlign w:val="center"/>
          </w:tcPr>
          <w:p w14:paraId="10CB75E8">
            <w:pPr>
              <w:widowControl/>
              <w:spacing w:line="276" w:lineRule="auto"/>
              <w:jc w:val="left"/>
              <w:rPr>
                <w:color w:val="000000"/>
                <w:kern w:val="0"/>
                <w:sz w:val="18"/>
                <w:szCs w:val="18"/>
              </w:rPr>
            </w:pPr>
            <w:r>
              <w:rPr>
                <w:color w:val="000000"/>
                <w:kern w:val="0"/>
                <w:sz w:val="18"/>
                <w:szCs w:val="18"/>
              </w:rPr>
              <w:t>支撑平台</w:t>
            </w:r>
          </w:p>
        </w:tc>
        <w:tc>
          <w:tcPr>
            <w:tcW w:w="2868" w:type="pct"/>
            <w:tcBorders>
              <w:top w:val="nil"/>
              <w:left w:val="nil"/>
              <w:bottom w:val="single" w:color="auto" w:sz="4" w:space="0"/>
              <w:right w:val="single" w:color="auto" w:sz="4" w:space="0"/>
            </w:tcBorders>
            <w:noWrap/>
            <w:vAlign w:val="center"/>
          </w:tcPr>
          <w:p w14:paraId="6876F6CF">
            <w:pPr>
              <w:widowControl/>
              <w:spacing w:line="276" w:lineRule="auto"/>
              <w:jc w:val="left"/>
              <w:rPr>
                <w:color w:val="000000"/>
                <w:kern w:val="0"/>
                <w:sz w:val="18"/>
                <w:szCs w:val="18"/>
              </w:rPr>
            </w:pPr>
            <w:r>
              <w:rPr>
                <w:color w:val="000000"/>
                <w:kern w:val="0"/>
                <w:sz w:val="18"/>
                <w:szCs w:val="18"/>
              </w:rPr>
              <w:t>效应腔主体的支撑系统</w:t>
            </w:r>
          </w:p>
        </w:tc>
        <w:tc>
          <w:tcPr>
            <w:tcW w:w="354" w:type="pct"/>
            <w:tcBorders>
              <w:top w:val="nil"/>
              <w:left w:val="nil"/>
              <w:bottom w:val="single" w:color="auto" w:sz="4" w:space="0"/>
              <w:right w:val="single" w:color="auto" w:sz="4" w:space="0"/>
            </w:tcBorders>
            <w:noWrap/>
            <w:vAlign w:val="center"/>
          </w:tcPr>
          <w:p w14:paraId="36E73F83">
            <w:pPr>
              <w:widowControl/>
              <w:spacing w:line="276" w:lineRule="auto"/>
              <w:jc w:val="left"/>
              <w:rPr>
                <w:color w:val="000000"/>
                <w:kern w:val="0"/>
                <w:sz w:val="18"/>
                <w:szCs w:val="18"/>
              </w:rPr>
            </w:pPr>
            <w:r>
              <w:rPr>
                <w:color w:val="000000"/>
                <w:kern w:val="0"/>
                <w:sz w:val="18"/>
                <w:szCs w:val="18"/>
              </w:rPr>
              <w:t>1套</w:t>
            </w:r>
          </w:p>
        </w:tc>
      </w:tr>
      <w:tr w14:paraId="5C92DAE0">
        <w:tblPrEx>
          <w:tblCellMar>
            <w:top w:w="0" w:type="dxa"/>
            <w:left w:w="108" w:type="dxa"/>
            <w:bottom w:w="0" w:type="dxa"/>
            <w:right w:w="108" w:type="dxa"/>
          </w:tblCellMar>
        </w:tblPrEx>
        <w:trPr>
          <w:trHeight w:val="280" w:hRule="atLeast"/>
          <w:jc w:val="center"/>
        </w:trPr>
        <w:tc>
          <w:tcPr>
            <w:tcW w:w="634" w:type="pct"/>
            <w:vMerge w:val="continue"/>
            <w:tcBorders>
              <w:left w:val="single" w:color="auto" w:sz="4" w:space="0"/>
              <w:bottom w:val="single" w:color="auto" w:sz="4" w:space="0"/>
              <w:right w:val="single" w:color="auto" w:sz="4" w:space="0"/>
            </w:tcBorders>
            <w:noWrap/>
            <w:vAlign w:val="center"/>
          </w:tcPr>
          <w:p w14:paraId="02C66F90">
            <w:pPr>
              <w:widowControl/>
              <w:spacing w:line="276" w:lineRule="auto"/>
              <w:jc w:val="left"/>
              <w:rPr>
                <w:color w:val="000000"/>
                <w:kern w:val="0"/>
                <w:sz w:val="18"/>
                <w:szCs w:val="18"/>
              </w:rPr>
            </w:pPr>
          </w:p>
        </w:tc>
        <w:tc>
          <w:tcPr>
            <w:tcW w:w="1142" w:type="pct"/>
            <w:tcBorders>
              <w:top w:val="nil"/>
              <w:left w:val="nil"/>
              <w:bottom w:val="single" w:color="auto" w:sz="4" w:space="0"/>
              <w:right w:val="single" w:color="auto" w:sz="4" w:space="0"/>
            </w:tcBorders>
            <w:noWrap/>
            <w:vAlign w:val="center"/>
          </w:tcPr>
          <w:p w14:paraId="11B2A116">
            <w:pPr>
              <w:widowControl/>
              <w:spacing w:line="276" w:lineRule="auto"/>
              <w:jc w:val="left"/>
              <w:rPr>
                <w:color w:val="000000"/>
                <w:kern w:val="0"/>
                <w:sz w:val="18"/>
                <w:szCs w:val="18"/>
              </w:rPr>
            </w:pPr>
            <w:r>
              <w:rPr>
                <w:color w:val="000000"/>
                <w:kern w:val="0"/>
                <w:sz w:val="18"/>
                <w:szCs w:val="18"/>
              </w:rPr>
              <w:t>效应腔用真空系统</w:t>
            </w:r>
          </w:p>
        </w:tc>
        <w:tc>
          <w:tcPr>
            <w:tcW w:w="2868" w:type="pct"/>
            <w:tcBorders>
              <w:top w:val="nil"/>
              <w:left w:val="nil"/>
              <w:bottom w:val="single" w:color="auto" w:sz="4" w:space="0"/>
              <w:right w:val="single" w:color="auto" w:sz="4" w:space="0"/>
            </w:tcBorders>
            <w:noWrap/>
            <w:vAlign w:val="center"/>
          </w:tcPr>
          <w:p w14:paraId="0CDA7E32">
            <w:pPr>
              <w:widowControl/>
              <w:spacing w:line="276" w:lineRule="auto"/>
              <w:jc w:val="left"/>
              <w:rPr>
                <w:color w:val="000000"/>
                <w:kern w:val="0"/>
                <w:sz w:val="18"/>
                <w:szCs w:val="18"/>
              </w:rPr>
            </w:pPr>
            <w:r>
              <w:rPr>
                <w:color w:val="000000"/>
                <w:kern w:val="0"/>
                <w:sz w:val="18"/>
                <w:szCs w:val="18"/>
              </w:rPr>
              <w:t>效应腔主体内空间抽真空</w:t>
            </w:r>
          </w:p>
        </w:tc>
        <w:tc>
          <w:tcPr>
            <w:tcW w:w="354" w:type="pct"/>
            <w:tcBorders>
              <w:top w:val="nil"/>
              <w:left w:val="nil"/>
              <w:bottom w:val="single" w:color="auto" w:sz="4" w:space="0"/>
              <w:right w:val="single" w:color="auto" w:sz="4" w:space="0"/>
            </w:tcBorders>
            <w:noWrap/>
            <w:vAlign w:val="center"/>
          </w:tcPr>
          <w:p w14:paraId="35280D4C">
            <w:pPr>
              <w:widowControl/>
              <w:spacing w:line="276" w:lineRule="auto"/>
              <w:jc w:val="left"/>
              <w:rPr>
                <w:color w:val="000000"/>
                <w:kern w:val="0"/>
                <w:sz w:val="18"/>
                <w:szCs w:val="18"/>
              </w:rPr>
            </w:pPr>
            <w:r>
              <w:rPr>
                <w:color w:val="000000"/>
                <w:kern w:val="0"/>
                <w:sz w:val="18"/>
                <w:szCs w:val="18"/>
              </w:rPr>
              <w:t>1套</w:t>
            </w:r>
          </w:p>
        </w:tc>
      </w:tr>
      <w:tr w14:paraId="5E5550A2">
        <w:tblPrEx>
          <w:tblCellMar>
            <w:top w:w="0" w:type="dxa"/>
            <w:left w:w="108" w:type="dxa"/>
            <w:bottom w:w="0" w:type="dxa"/>
            <w:right w:w="108" w:type="dxa"/>
          </w:tblCellMar>
        </w:tblPrEx>
        <w:trPr>
          <w:trHeight w:val="280" w:hRule="atLeast"/>
          <w:jc w:val="center"/>
        </w:trPr>
        <w:tc>
          <w:tcPr>
            <w:tcW w:w="634" w:type="pct"/>
            <w:vMerge w:val="restart"/>
            <w:tcBorders>
              <w:top w:val="single" w:color="auto" w:sz="4" w:space="0"/>
              <w:left w:val="single" w:color="auto" w:sz="4" w:space="0"/>
              <w:bottom w:val="single" w:color="auto" w:sz="4" w:space="0"/>
              <w:right w:val="single" w:color="auto" w:sz="4" w:space="0"/>
            </w:tcBorders>
            <w:noWrap/>
            <w:vAlign w:val="center"/>
          </w:tcPr>
          <w:p w14:paraId="08E39B0B">
            <w:pPr>
              <w:widowControl/>
              <w:spacing w:line="276" w:lineRule="auto"/>
              <w:jc w:val="left"/>
              <w:rPr>
                <w:color w:val="000000"/>
                <w:kern w:val="0"/>
                <w:sz w:val="18"/>
                <w:szCs w:val="18"/>
              </w:rPr>
            </w:pPr>
            <w:r>
              <w:rPr>
                <w:color w:val="000000"/>
                <w:kern w:val="0"/>
                <w:sz w:val="18"/>
                <w:szCs w:val="18"/>
              </w:rPr>
              <w:t>配件及耗材</w:t>
            </w:r>
          </w:p>
          <w:p w14:paraId="1EBFBC68">
            <w:pPr>
              <w:spacing w:line="276" w:lineRule="auto"/>
              <w:jc w:val="left"/>
              <w:rPr>
                <w:color w:val="000000"/>
                <w:kern w:val="0"/>
                <w:sz w:val="18"/>
                <w:szCs w:val="18"/>
              </w:rPr>
            </w:pPr>
          </w:p>
        </w:tc>
        <w:tc>
          <w:tcPr>
            <w:tcW w:w="1142" w:type="pct"/>
            <w:tcBorders>
              <w:top w:val="single" w:color="auto" w:sz="4" w:space="0"/>
              <w:left w:val="single" w:color="auto" w:sz="4" w:space="0"/>
              <w:bottom w:val="single" w:color="auto" w:sz="4" w:space="0"/>
              <w:right w:val="single" w:color="auto" w:sz="4" w:space="0"/>
            </w:tcBorders>
            <w:noWrap/>
            <w:vAlign w:val="center"/>
          </w:tcPr>
          <w:p w14:paraId="3CAB993B">
            <w:pPr>
              <w:widowControl/>
              <w:spacing w:line="276" w:lineRule="auto"/>
              <w:jc w:val="left"/>
              <w:rPr>
                <w:color w:val="000000"/>
                <w:kern w:val="0"/>
                <w:sz w:val="18"/>
                <w:szCs w:val="18"/>
              </w:rPr>
            </w:pPr>
            <w:r>
              <w:rPr>
                <w:color w:val="000000"/>
                <w:kern w:val="0"/>
                <w:sz w:val="18"/>
                <w:szCs w:val="18"/>
              </w:rPr>
              <w:t>弹丸、弹托、效应靶</w:t>
            </w:r>
          </w:p>
        </w:tc>
        <w:tc>
          <w:tcPr>
            <w:tcW w:w="2868" w:type="pct"/>
            <w:tcBorders>
              <w:top w:val="single" w:color="auto" w:sz="4" w:space="0"/>
              <w:left w:val="single" w:color="auto" w:sz="4" w:space="0"/>
              <w:bottom w:val="single" w:color="auto" w:sz="4" w:space="0"/>
              <w:right w:val="single" w:color="auto" w:sz="4" w:space="0"/>
            </w:tcBorders>
            <w:noWrap/>
            <w:vAlign w:val="center"/>
          </w:tcPr>
          <w:p w14:paraId="1E222FCC">
            <w:pPr>
              <w:widowControl/>
              <w:spacing w:line="276" w:lineRule="auto"/>
              <w:jc w:val="left"/>
              <w:rPr>
                <w:color w:val="000000"/>
                <w:kern w:val="0"/>
                <w:sz w:val="18"/>
                <w:szCs w:val="18"/>
              </w:rPr>
            </w:pPr>
            <w:r>
              <w:rPr>
                <w:color w:val="000000"/>
                <w:kern w:val="0"/>
                <w:sz w:val="18"/>
                <w:szCs w:val="18"/>
              </w:rPr>
              <w:t>调试实验耗材</w:t>
            </w:r>
          </w:p>
        </w:tc>
        <w:tc>
          <w:tcPr>
            <w:tcW w:w="354" w:type="pct"/>
            <w:tcBorders>
              <w:top w:val="single" w:color="auto" w:sz="4" w:space="0"/>
              <w:left w:val="single" w:color="auto" w:sz="4" w:space="0"/>
              <w:bottom w:val="single" w:color="auto" w:sz="4" w:space="0"/>
              <w:right w:val="single" w:color="auto" w:sz="4" w:space="0"/>
            </w:tcBorders>
            <w:noWrap/>
            <w:vAlign w:val="center"/>
          </w:tcPr>
          <w:p w14:paraId="209063E7">
            <w:pPr>
              <w:widowControl/>
              <w:spacing w:line="276" w:lineRule="auto"/>
              <w:jc w:val="left"/>
              <w:rPr>
                <w:color w:val="000000"/>
                <w:kern w:val="0"/>
                <w:sz w:val="18"/>
                <w:szCs w:val="18"/>
              </w:rPr>
            </w:pPr>
            <w:r>
              <w:rPr>
                <w:color w:val="000000"/>
                <w:kern w:val="0"/>
                <w:sz w:val="18"/>
                <w:szCs w:val="18"/>
              </w:rPr>
              <w:t>30套</w:t>
            </w:r>
          </w:p>
        </w:tc>
      </w:tr>
      <w:tr w14:paraId="4910E637">
        <w:tblPrEx>
          <w:tblCellMar>
            <w:top w:w="0" w:type="dxa"/>
            <w:left w:w="108" w:type="dxa"/>
            <w:bottom w:w="0" w:type="dxa"/>
            <w:right w:w="108" w:type="dxa"/>
          </w:tblCellMar>
        </w:tblPrEx>
        <w:trPr>
          <w:trHeight w:val="280" w:hRule="atLeast"/>
          <w:jc w:val="center"/>
        </w:trPr>
        <w:tc>
          <w:tcPr>
            <w:tcW w:w="634" w:type="pct"/>
            <w:vMerge w:val="continue"/>
            <w:tcBorders>
              <w:top w:val="single" w:color="auto" w:sz="4" w:space="0"/>
              <w:left w:val="single" w:color="auto" w:sz="4" w:space="0"/>
              <w:right w:val="single" w:color="auto" w:sz="4" w:space="0"/>
            </w:tcBorders>
            <w:noWrap/>
            <w:vAlign w:val="center"/>
          </w:tcPr>
          <w:p w14:paraId="0A034E24">
            <w:pPr>
              <w:spacing w:line="276" w:lineRule="auto"/>
              <w:jc w:val="left"/>
              <w:rPr>
                <w:color w:val="000000"/>
                <w:kern w:val="0"/>
                <w:sz w:val="18"/>
                <w:szCs w:val="18"/>
              </w:rPr>
            </w:pPr>
          </w:p>
        </w:tc>
        <w:tc>
          <w:tcPr>
            <w:tcW w:w="1142" w:type="pct"/>
            <w:tcBorders>
              <w:top w:val="single" w:color="auto" w:sz="4" w:space="0"/>
              <w:left w:val="nil"/>
              <w:bottom w:val="single" w:color="auto" w:sz="4" w:space="0"/>
              <w:right w:val="single" w:color="auto" w:sz="4" w:space="0"/>
            </w:tcBorders>
            <w:noWrap/>
            <w:vAlign w:val="center"/>
          </w:tcPr>
          <w:p w14:paraId="3BD97526">
            <w:pPr>
              <w:widowControl/>
              <w:spacing w:line="276" w:lineRule="auto"/>
              <w:jc w:val="left"/>
              <w:rPr>
                <w:color w:val="000000"/>
                <w:kern w:val="0"/>
                <w:sz w:val="18"/>
                <w:szCs w:val="18"/>
              </w:rPr>
            </w:pPr>
            <w:r>
              <w:rPr>
                <w:color w:val="000000"/>
                <w:kern w:val="0"/>
                <w:sz w:val="18"/>
                <w:szCs w:val="18"/>
              </w:rPr>
              <w:t>测试防弹玻璃窗口</w:t>
            </w:r>
          </w:p>
        </w:tc>
        <w:tc>
          <w:tcPr>
            <w:tcW w:w="2868" w:type="pct"/>
            <w:tcBorders>
              <w:top w:val="single" w:color="auto" w:sz="4" w:space="0"/>
              <w:left w:val="nil"/>
              <w:bottom w:val="single" w:color="auto" w:sz="4" w:space="0"/>
              <w:right w:val="single" w:color="auto" w:sz="4" w:space="0"/>
            </w:tcBorders>
            <w:noWrap/>
            <w:vAlign w:val="center"/>
          </w:tcPr>
          <w:p w14:paraId="207003E1">
            <w:pPr>
              <w:widowControl/>
              <w:spacing w:line="276" w:lineRule="auto"/>
              <w:jc w:val="left"/>
              <w:rPr>
                <w:color w:val="000000"/>
                <w:kern w:val="0"/>
                <w:sz w:val="18"/>
                <w:szCs w:val="18"/>
              </w:rPr>
            </w:pPr>
            <w:r>
              <w:rPr>
                <w:color w:val="000000"/>
                <w:kern w:val="0"/>
                <w:sz w:val="18"/>
                <w:szCs w:val="18"/>
              </w:rPr>
              <w:t>调实验耗材</w:t>
            </w:r>
          </w:p>
        </w:tc>
        <w:tc>
          <w:tcPr>
            <w:tcW w:w="354" w:type="pct"/>
            <w:tcBorders>
              <w:top w:val="single" w:color="auto" w:sz="4" w:space="0"/>
              <w:left w:val="nil"/>
              <w:bottom w:val="single" w:color="auto" w:sz="4" w:space="0"/>
              <w:right w:val="single" w:color="auto" w:sz="4" w:space="0"/>
            </w:tcBorders>
            <w:noWrap/>
            <w:vAlign w:val="center"/>
          </w:tcPr>
          <w:p w14:paraId="045196C0">
            <w:pPr>
              <w:widowControl/>
              <w:spacing w:line="276" w:lineRule="auto"/>
              <w:jc w:val="left"/>
              <w:rPr>
                <w:color w:val="000000"/>
                <w:kern w:val="0"/>
                <w:sz w:val="18"/>
                <w:szCs w:val="18"/>
              </w:rPr>
            </w:pPr>
            <w:r>
              <w:rPr>
                <w:rFonts w:hint="eastAsia"/>
                <w:color w:val="000000"/>
                <w:kern w:val="0"/>
                <w:sz w:val="18"/>
                <w:szCs w:val="18"/>
              </w:rPr>
              <w:t>10</w:t>
            </w:r>
            <w:r>
              <w:rPr>
                <w:color w:val="000000"/>
                <w:kern w:val="0"/>
                <w:sz w:val="18"/>
                <w:szCs w:val="18"/>
              </w:rPr>
              <w:t>套</w:t>
            </w:r>
          </w:p>
        </w:tc>
      </w:tr>
      <w:tr w14:paraId="085E19F1">
        <w:tblPrEx>
          <w:tblCellMar>
            <w:top w:w="0" w:type="dxa"/>
            <w:left w:w="108" w:type="dxa"/>
            <w:bottom w:w="0" w:type="dxa"/>
            <w:right w:w="108" w:type="dxa"/>
          </w:tblCellMar>
        </w:tblPrEx>
        <w:trPr>
          <w:trHeight w:val="280" w:hRule="atLeast"/>
          <w:jc w:val="center"/>
        </w:trPr>
        <w:tc>
          <w:tcPr>
            <w:tcW w:w="634" w:type="pct"/>
            <w:vMerge w:val="continue"/>
            <w:tcBorders>
              <w:left w:val="single" w:color="auto" w:sz="4" w:space="0"/>
              <w:right w:val="single" w:color="auto" w:sz="4" w:space="0"/>
            </w:tcBorders>
            <w:noWrap/>
            <w:vAlign w:val="center"/>
          </w:tcPr>
          <w:p w14:paraId="285CBB1A">
            <w:pPr>
              <w:spacing w:line="276" w:lineRule="auto"/>
              <w:jc w:val="left"/>
              <w:rPr>
                <w:color w:val="000000"/>
                <w:kern w:val="0"/>
                <w:sz w:val="18"/>
                <w:szCs w:val="18"/>
              </w:rPr>
            </w:pPr>
          </w:p>
        </w:tc>
        <w:tc>
          <w:tcPr>
            <w:tcW w:w="1142" w:type="pct"/>
            <w:tcBorders>
              <w:top w:val="nil"/>
              <w:left w:val="nil"/>
              <w:bottom w:val="single" w:color="auto" w:sz="4" w:space="0"/>
              <w:right w:val="single" w:color="auto" w:sz="4" w:space="0"/>
            </w:tcBorders>
            <w:noWrap/>
            <w:vAlign w:val="center"/>
          </w:tcPr>
          <w:p w14:paraId="0882963C">
            <w:pPr>
              <w:widowControl/>
              <w:spacing w:line="276" w:lineRule="auto"/>
              <w:jc w:val="left"/>
              <w:rPr>
                <w:color w:val="000000"/>
                <w:kern w:val="0"/>
                <w:sz w:val="18"/>
                <w:szCs w:val="18"/>
              </w:rPr>
            </w:pPr>
            <w:r>
              <w:rPr>
                <w:color w:val="000000"/>
                <w:kern w:val="0"/>
                <w:sz w:val="18"/>
                <w:szCs w:val="18"/>
              </w:rPr>
              <w:t>测试防弹薄铝板窗口</w:t>
            </w:r>
          </w:p>
        </w:tc>
        <w:tc>
          <w:tcPr>
            <w:tcW w:w="2868" w:type="pct"/>
            <w:tcBorders>
              <w:top w:val="nil"/>
              <w:left w:val="nil"/>
              <w:bottom w:val="single" w:color="auto" w:sz="4" w:space="0"/>
              <w:right w:val="single" w:color="auto" w:sz="4" w:space="0"/>
            </w:tcBorders>
            <w:noWrap/>
            <w:vAlign w:val="center"/>
          </w:tcPr>
          <w:p w14:paraId="14CA41B5">
            <w:pPr>
              <w:widowControl/>
              <w:spacing w:line="276" w:lineRule="auto"/>
              <w:jc w:val="left"/>
              <w:rPr>
                <w:color w:val="000000"/>
                <w:kern w:val="0"/>
                <w:sz w:val="18"/>
                <w:szCs w:val="18"/>
              </w:rPr>
            </w:pPr>
            <w:r>
              <w:rPr>
                <w:color w:val="000000"/>
                <w:kern w:val="0"/>
                <w:sz w:val="18"/>
                <w:szCs w:val="18"/>
              </w:rPr>
              <w:t>调试实验耗材</w:t>
            </w:r>
            <w:bookmarkStart w:id="32" w:name="_GoBack"/>
            <w:bookmarkEnd w:id="32"/>
          </w:p>
        </w:tc>
        <w:tc>
          <w:tcPr>
            <w:tcW w:w="354" w:type="pct"/>
            <w:tcBorders>
              <w:top w:val="nil"/>
              <w:left w:val="nil"/>
              <w:bottom w:val="single" w:color="auto" w:sz="4" w:space="0"/>
              <w:right w:val="single" w:color="auto" w:sz="4" w:space="0"/>
            </w:tcBorders>
            <w:noWrap/>
            <w:vAlign w:val="center"/>
          </w:tcPr>
          <w:p w14:paraId="2E47824A">
            <w:pPr>
              <w:widowControl/>
              <w:spacing w:line="276" w:lineRule="auto"/>
              <w:jc w:val="left"/>
              <w:rPr>
                <w:color w:val="000000"/>
                <w:kern w:val="0"/>
                <w:sz w:val="18"/>
                <w:szCs w:val="18"/>
              </w:rPr>
            </w:pPr>
            <w:r>
              <w:rPr>
                <w:rFonts w:hint="eastAsia"/>
                <w:color w:val="000000"/>
                <w:kern w:val="0"/>
                <w:sz w:val="18"/>
                <w:szCs w:val="18"/>
              </w:rPr>
              <w:t>10</w:t>
            </w:r>
            <w:r>
              <w:rPr>
                <w:color w:val="000000"/>
                <w:kern w:val="0"/>
                <w:sz w:val="18"/>
                <w:szCs w:val="18"/>
              </w:rPr>
              <w:t>套</w:t>
            </w:r>
          </w:p>
        </w:tc>
      </w:tr>
      <w:tr w14:paraId="4BE7E15F">
        <w:tblPrEx>
          <w:tblCellMar>
            <w:top w:w="0" w:type="dxa"/>
            <w:left w:w="108" w:type="dxa"/>
            <w:bottom w:w="0" w:type="dxa"/>
            <w:right w:w="108" w:type="dxa"/>
          </w:tblCellMar>
        </w:tblPrEx>
        <w:trPr>
          <w:trHeight w:val="280" w:hRule="atLeast"/>
          <w:jc w:val="center"/>
        </w:trPr>
        <w:tc>
          <w:tcPr>
            <w:tcW w:w="634" w:type="pct"/>
            <w:vMerge w:val="continue"/>
            <w:tcBorders>
              <w:left w:val="single" w:color="auto" w:sz="4" w:space="0"/>
              <w:right w:val="single" w:color="auto" w:sz="4" w:space="0"/>
            </w:tcBorders>
            <w:noWrap/>
            <w:vAlign w:val="center"/>
          </w:tcPr>
          <w:p w14:paraId="27DF2819">
            <w:pPr>
              <w:spacing w:line="276" w:lineRule="auto"/>
              <w:jc w:val="left"/>
              <w:rPr>
                <w:color w:val="000000"/>
                <w:kern w:val="0"/>
                <w:sz w:val="18"/>
                <w:szCs w:val="18"/>
              </w:rPr>
            </w:pPr>
          </w:p>
        </w:tc>
        <w:tc>
          <w:tcPr>
            <w:tcW w:w="1142" w:type="pct"/>
            <w:tcBorders>
              <w:top w:val="nil"/>
              <w:left w:val="nil"/>
              <w:bottom w:val="single" w:color="auto" w:sz="4" w:space="0"/>
              <w:right w:val="single" w:color="auto" w:sz="4" w:space="0"/>
            </w:tcBorders>
            <w:noWrap/>
            <w:vAlign w:val="center"/>
          </w:tcPr>
          <w:p w14:paraId="37120F9D">
            <w:pPr>
              <w:widowControl/>
              <w:spacing w:line="276" w:lineRule="auto"/>
              <w:jc w:val="left"/>
              <w:rPr>
                <w:color w:val="000000"/>
                <w:kern w:val="0"/>
                <w:sz w:val="18"/>
                <w:szCs w:val="18"/>
              </w:rPr>
            </w:pPr>
            <w:r>
              <w:rPr>
                <w:rFonts w:hint="eastAsia"/>
                <w:color w:val="000000"/>
                <w:kern w:val="0"/>
                <w:sz w:val="18"/>
                <w:szCs w:val="18"/>
              </w:rPr>
              <w:t>加速通道</w:t>
            </w:r>
            <w:r>
              <w:rPr>
                <w:color w:val="000000"/>
                <w:kern w:val="0"/>
                <w:sz w:val="18"/>
                <w:szCs w:val="18"/>
              </w:rPr>
              <w:t>清洁配件</w:t>
            </w:r>
          </w:p>
        </w:tc>
        <w:tc>
          <w:tcPr>
            <w:tcW w:w="2868" w:type="pct"/>
            <w:tcBorders>
              <w:top w:val="nil"/>
              <w:left w:val="nil"/>
              <w:bottom w:val="single" w:color="auto" w:sz="4" w:space="0"/>
              <w:right w:val="single" w:color="auto" w:sz="4" w:space="0"/>
            </w:tcBorders>
            <w:noWrap/>
            <w:vAlign w:val="center"/>
          </w:tcPr>
          <w:p w14:paraId="4AEDCD48">
            <w:pPr>
              <w:widowControl/>
              <w:spacing w:line="276" w:lineRule="auto"/>
              <w:jc w:val="left"/>
              <w:rPr>
                <w:color w:val="000000"/>
                <w:kern w:val="0"/>
                <w:sz w:val="18"/>
                <w:szCs w:val="18"/>
              </w:rPr>
            </w:pPr>
            <w:r>
              <w:rPr>
                <w:color w:val="000000"/>
                <w:kern w:val="0"/>
                <w:sz w:val="18"/>
                <w:szCs w:val="18"/>
              </w:rPr>
              <w:t>放电腔室、</w:t>
            </w:r>
            <w:r>
              <w:rPr>
                <w:rFonts w:hint="eastAsia"/>
                <w:color w:val="000000"/>
                <w:kern w:val="0"/>
                <w:sz w:val="18"/>
                <w:szCs w:val="18"/>
              </w:rPr>
              <w:t>加速通道</w:t>
            </w:r>
            <w:r>
              <w:rPr>
                <w:color w:val="000000"/>
                <w:kern w:val="0"/>
                <w:sz w:val="18"/>
                <w:szCs w:val="18"/>
              </w:rPr>
              <w:t>内壁清洁</w:t>
            </w:r>
          </w:p>
        </w:tc>
        <w:tc>
          <w:tcPr>
            <w:tcW w:w="354" w:type="pct"/>
            <w:tcBorders>
              <w:top w:val="nil"/>
              <w:left w:val="nil"/>
              <w:bottom w:val="single" w:color="auto" w:sz="4" w:space="0"/>
              <w:right w:val="single" w:color="auto" w:sz="4" w:space="0"/>
            </w:tcBorders>
            <w:noWrap/>
            <w:vAlign w:val="center"/>
          </w:tcPr>
          <w:p w14:paraId="1FE9156E">
            <w:pPr>
              <w:widowControl/>
              <w:spacing w:line="276" w:lineRule="auto"/>
              <w:jc w:val="left"/>
              <w:rPr>
                <w:color w:val="000000"/>
                <w:kern w:val="0"/>
                <w:sz w:val="18"/>
                <w:szCs w:val="18"/>
              </w:rPr>
            </w:pPr>
            <w:r>
              <w:rPr>
                <w:color w:val="000000"/>
                <w:kern w:val="0"/>
                <w:sz w:val="18"/>
                <w:szCs w:val="18"/>
              </w:rPr>
              <w:t>2套</w:t>
            </w:r>
          </w:p>
        </w:tc>
      </w:tr>
    </w:tbl>
    <w:p w14:paraId="7EBCAA37">
      <w:pPr>
        <w:spacing w:before="156" w:beforeLines="50" w:line="276" w:lineRule="auto"/>
        <w:rPr>
          <w:szCs w:val="21"/>
        </w:rPr>
      </w:pPr>
      <w:r>
        <w:rPr>
          <w:szCs w:val="21"/>
        </w:rPr>
        <w:t>（三）最高限价：人民币</w:t>
      </w:r>
      <w:r>
        <w:rPr>
          <w:szCs w:val="21"/>
          <w:u w:val="single"/>
        </w:rPr>
        <w:t>520万</w:t>
      </w:r>
      <w:r>
        <w:rPr>
          <w:szCs w:val="21"/>
        </w:rPr>
        <w:t>元。</w:t>
      </w:r>
    </w:p>
    <w:p w14:paraId="26DB079A">
      <w:pPr>
        <w:spacing w:before="156" w:beforeLines="50" w:line="276" w:lineRule="auto"/>
        <w:rPr>
          <w:szCs w:val="21"/>
        </w:rPr>
      </w:pPr>
      <w:r>
        <w:rPr>
          <w:szCs w:val="21"/>
        </w:rPr>
        <w:t>（四）交付时间：合同签订后</w:t>
      </w:r>
      <w:r>
        <w:rPr>
          <w:szCs w:val="21"/>
          <w:u w:val="single"/>
        </w:rPr>
        <w:t xml:space="preserve"> 300 </w:t>
      </w:r>
      <w:r>
        <w:rPr>
          <w:szCs w:val="21"/>
        </w:rPr>
        <w:t>天内。</w:t>
      </w:r>
    </w:p>
    <w:p w14:paraId="3BBF7018">
      <w:pPr>
        <w:tabs>
          <w:tab w:val="left" w:pos="900"/>
        </w:tabs>
        <w:spacing w:before="156" w:beforeLines="50" w:line="276" w:lineRule="auto"/>
        <w:rPr>
          <w:szCs w:val="21"/>
          <w:u w:val="single"/>
        </w:rPr>
      </w:pPr>
      <w:r>
        <w:rPr>
          <w:szCs w:val="21"/>
        </w:rPr>
        <w:t>（五）交付地点：</w:t>
      </w:r>
      <w:r>
        <w:rPr>
          <w:szCs w:val="21"/>
          <w:u w:val="single"/>
        </w:rPr>
        <w:t>西安交通大学指定地点。</w:t>
      </w:r>
    </w:p>
    <w:p w14:paraId="3A3C17B2">
      <w:pPr>
        <w:tabs>
          <w:tab w:val="left" w:pos="900"/>
        </w:tabs>
        <w:spacing w:before="156" w:beforeLines="50" w:line="276" w:lineRule="auto"/>
        <w:rPr>
          <w:color w:val="FF0000"/>
          <w:szCs w:val="21"/>
        </w:rPr>
      </w:pPr>
      <w:r>
        <w:rPr>
          <w:szCs w:val="21"/>
        </w:rPr>
        <w:t>（六）付款进度安排：</w:t>
      </w:r>
      <w:r>
        <w:rPr>
          <w:rFonts w:hint="eastAsia"/>
          <w:szCs w:val="21"/>
          <w:u w:val="single"/>
        </w:rPr>
        <w:t>货到验收合格后一次性付款95% ；一年后无质量问题无息付剩余5% 。</w:t>
      </w:r>
    </w:p>
    <w:p w14:paraId="2E65CC60">
      <w:pPr>
        <w:tabs>
          <w:tab w:val="left" w:pos="900"/>
        </w:tabs>
        <w:spacing w:before="156" w:beforeLines="50" w:line="276" w:lineRule="auto"/>
        <w:rPr>
          <w:b/>
          <w:szCs w:val="21"/>
        </w:rPr>
      </w:pPr>
      <w:r>
        <w:rPr>
          <w:b/>
          <w:szCs w:val="21"/>
        </w:rPr>
        <w:t>四、采购标的需满足的质量、安全、技术规格、物理特性等要求：</w:t>
      </w:r>
    </w:p>
    <w:p w14:paraId="125E4802">
      <w:pPr>
        <w:numPr>
          <w:ilvl w:val="0"/>
          <w:numId w:val="1"/>
        </w:numPr>
        <w:tabs>
          <w:tab w:val="left" w:pos="900"/>
        </w:tabs>
        <w:spacing w:before="156" w:beforeLines="50" w:line="276" w:lineRule="auto"/>
        <w:rPr>
          <w:szCs w:val="21"/>
        </w:rPr>
      </w:pPr>
      <w:r>
        <w:rPr>
          <w:color w:val="000000"/>
          <w:szCs w:val="21"/>
        </w:rPr>
        <w:t>定向能量转换器：其主要功能是把电爆释放出的电能，转变为弹丸的动能，主要由定向换能器、耐冲击</w:t>
      </w:r>
      <w:r>
        <w:rPr>
          <w:color w:val="000000"/>
          <w:szCs w:val="21"/>
          <w:shd w:val="clear" w:color="auto" w:fill="FFFFFF"/>
        </w:rPr>
        <w:t>放电腔室、</w:t>
      </w:r>
      <w:r>
        <w:rPr>
          <w:rFonts w:hint="eastAsia"/>
          <w:color w:val="000000"/>
          <w:szCs w:val="21"/>
          <w:shd w:val="clear" w:color="auto" w:fill="FFFFFF"/>
        </w:rPr>
        <w:t>加速通道</w:t>
      </w:r>
      <w:r>
        <w:rPr>
          <w:color w:val="000000"/>
          <w:szCs w:val="21"/>
          <w:shd w:val="clear" w:color="auto" w:fill="FFFFFF"/>
        </w:rPr>
        <w:t>、</w:t>
      </w:r>
      <w:r>
        <w:rPr>
          <w:rFonts w:hint="eastAsia"/>
          <w:color w:val="000000"/>
          <w:szCs w:val="21"/>
          <w:shd w:val="clear" w:color="auto" w:fill="FFFFFF"/>
        </w:rPr>
        <w:t>过渡腔室</w:t>
      </w:r>
      <w:r>
        <w:rPr>
          <w:color w:val="000000"/>
          <w:szCs w:val="21"/>
          <w:shd w:val="clear" w:color="auto" w:fill="FFFFFF"/>
        </w:rPr>
        <w:t>，以及支撑系统等组成</w:t>
      </w:r>
      <w:r>
        <w:rPr>
          <w:color w:val="000000"/>
          <w:szCs w:val="21"/>
        </w:rPr>
        <w:t>，其技术与功能性指标如下：</w:t>
      </w:r>
    </w:p>
    <w:p w14:paraId="45FD32FE">
      <w:pPr>
        <w:tabs>
          <w:tab w:val="left" w:pos="900"/>
        </w:tabs>
        <w:spacing w:before="156" w:beforeLines="50" w:line="276" w:lineRule="auto"/>
        <w:ind w:firstLine="210" w:firstLineChars="100"/>
        <w:rPr>
          <w:color w:val="000000"/>
          <w:szCs w:val="21"/>
        </w:rPr>
      </w:pPr>
      <w:r>
        <w:rPr>
          <w:szCs w:val="21"/>
        </w:rPr>
        <w:t>1、功能</w:t>
      </w:r>
      <w:r>
        <w:rPr>
          <w:color w:val="000000"/>
          <w:szCs w:val="21"/>
        </w:rPr>
        <w:t>性指标如下：</w:t>
      </w:r>
    </w:p>
    <w:p w14:paraId="1D9A11F1">
      <w:pPr>
        <w:numPr>
          <w:ilvl w:val="0"/>
          <w:numId w:val="2"/>
        </w:numPr>
        <w:tabs>
          <w:tab w:val="left" w:pos="900"/>
        </w:tabs>
        <w:spacing w:before="156" w:beforeLines="50" w:line="276" w:lineRule="auto"/>
        <w:rPr>
          <w:color w:val="000000"/>
          <w:szCs w:val="21"/>
        </w:rPr>
      </w:pPr>
      <w:r>
        <w:rPr>
          <w:color w:val="000000"/>
          <w:szCs w:val="21"/>
        </w:rPr>
        <w:t>脉冲放电功能：当注入脉冲电流时，能够实现正常的高压脉冲放电功能，无异常放电情况。</w:t>
      </w:r>
    </w:p>
    <w:p w14:paraId="3AAF11F5">
      <w:pPr>
        <w:numPr>
          <w:ilvl w:val="0"/>
          <w:numId w:val="2"/>
        </w:numPr>
        <w:tabs>
          <w:tab w:val="left" w:pos="900"/>
        </w:tabs>
        <w:spacing w:before="156" w:beforeLines="50" w:line="276" w:lineRule="auto"/>
        <w:rPr>
          <w:color w:val="000000"/>
          <w:szCs w:val="21"/>
        </w:rPr>
      </w:pPr>
      <w:r>
        <w:rPr>
          <w:color w:val="000000"/>
          <w:szCs w:val="21"/>
        </w:rPr>
        <w:t>定向聚能功能：当进行金属丝电爆炸时，能量转换器应具备将电爆炸产生的柱面波反射定向汇聚产生定向冲击波的功能。</w:t>
      </w:r>
    </w:p>
    <w:p w14:paraId="6950C1D0">
      <w:pPr>
        <w:numPr>
          <w:ilvl w:val="0"/>
          <w:numId w:val="2"/>
        </w:numPr>
        <w:tabs>
          <w:tab w:val="left" w:pos="900"/>
        </w:tabs>
        <w:spacing w:before="156" w:beforeLines="50" w:line="276" w:lineRule="auto"/>
        <w:rPr>
          <w:color w:val="000000"/>
          <w:szCs w:val="21"/>
        </w:rPr>
      </w:pPr>
      <w:r>
        <w:rPr>
          <w:color w:val="000000"/>
          <w:szCs w:val="21"/>
        </w:rPr>
        <w:t>关键</w:t>
      </w:r>
      <w:r>
        <w:rPr>
          <w:color w:val="000000"/>
          <w:szCs w:val="21"/>
          <w:shd w:val="clear" w:color="auto" w:fill="FFFFFF"/>
        </w:rPr>
        <w:t>磨损部件更替</w:t>
      </w:r>
      <w:r>
        <w:rPr>
          <w:color w:val="000000"/>
          <w:szCs w:val="21"/>
        </w:rPr>
        <w:t>功能：</w:t>
      </w:r>
      <w:r>
        <w:rPr>
          <w:color w:val="000000"/>
          <w:szCs w:val="21"/>
          <w:shd w:val="clear" w:color="auto" w:fill="FFFFFF"/>
        </w:rPr>
        <w:t>设备内的电极、金属丝负载、高压引线的绝缘部件易组装拆卸和更替。</w:t>
      </w:r>
    </w:p>
    <w:p w14:paraId="5A283249">
      <w:pPr>
        <w:numPr>
          <w:ilvl w:val="0"/>
          <w:numId w:val="2"/>
        </w:numPr>
        <w:tabs>
          <w:tab w:val="left" w:pos="900"/>
        </w:tabs>
        <w:spacing w:before="156" w:beforeLines="50" w:line="276" w:lineRule="auto"/>
        <w:ind w:left="1264"/>
        <w:rPr>
          <w:color w:val="000000"/>
          <w:szCs w:val="21"/>
        </w:rPr>
      </w:pPr>
      <w:r>
        <w:rPr>
          <w:color w:val="000000"/>
          <w:szCs w:val="21"/>
        </w:rPr>
        <w:t>放电窗口抗强冲击功能：放电窗口在具备较高的能量转换效率的同时，应具备较高的抗冲击性能，保证设备结构在金属丝电爆炸工况下的完整性与功能性不受影响。</w:t>
      </w:r>
    </w:p>
    <w:p w14:paraId="531DFFAC">
      <w:pPr>
        <w:numPr>
          <w:ilvl w:val="0"/>
          <w:numId w:val="2"/>
        </w:numPr>
        <w:tabs>
          <w:tab w:val="left" w:pos="900"/>
        </w:tabs>
        <w:spacing w:before="156" w:beforeLines="50" w:line="276" w:lineRule="auto"/>
        <w:rPr>
          <w:color w:val="000000"/>
          <w:szCs w:val="21"/>
        </w:rPr>
      </w:pPr>
      <w:r>
        <w:rPr>
          <w:color w:val="000000"/>
          <w:szCs w:val="21"/>
        </w:rPr>
        <w:t>放电负载参数可调功能：放电电极形状及间隙参数可调，以适配不同应用场景。</w:t>
      </w:r>
    </w:p>
    <w:p w14:paraId="40E64B91">
      <w:pPr>
        <w:numPr>
          <w:ilvl w:val="0"/>
          <w:numId w:val="2"/>
        </w:numPr>
        <w:tabs>
          <w:tab w:val="left" w:pos="900"/>
        </w:tabs>
        <w:spacing w:before="156" w:beforeLines="50" w:line="276" w:lineRule="auto"/>
        <w:rPr>
          <w:color w:val="000000"/>
          <w:szCs w:val="21"/>
        </w:rPr>
      </w:pPr>
      <w:r>
        <w:rPr>
          <w:color w:val="000000"/>
          <w:szCs w:val="21"/>
        </w:rPr>
        <w:t>聚能曲面可调功能：能量转换器定向聚能面参数可调，根据冲击波参数调节曲面参数，使得输出直达波与反射波在时间上连续</w:t>
      </w:r>
      <w:r>
        <w:rPr>
          <w:rFonts w:hint="eastAsia"/>
          <w:color w:val="000000"/>
          <w:szCs w:val="21"/>
          <w:lang w:val="en-US" w:eastAsia="zh-CN"/>
        </w:rPr>
        <w:t>叠加</w:t>
      </w:r>
      <w:r>
        <w:rPr>
          <w:color w:val="000000"/>
          <w:szCs w:val="21"/>
        </w:rPr>
        <w:t>形成低峰值、长脉宽压力波形。</w:t>
      </w:r>
    </w:p>
    <w:p w14:paraId="56E17DB3">
      <w:pPr>
        <w:numPr>
          <w:ilvl w:val="0"/>
          <w:numId w:val="2"/>
        </w:numPr>
        <w:tabs>
          <w:tab w:val="left" w:pos="900"/>
        </w:tabs>
        <w:spacing w:before="156" w:beforeLines="50" w:line="276" w:lineRule="auto"/>
        <w:rPr>
          <w:color w:val="000000"/>
          <w:szCs w:val="21"/>
        </w:rPr>
      </w:pPr>
      <w:r>
        <w:rPr>
          <w:color w:val="000000"/>
          <w:szCs w:val="21"/>
        </w:rPr>
        <w:t>定向换能器4套。</w:t>
      </w:r>
    </w:p>
    <w:p w14:paraId="4C2A4327">
      <w:pPr>
        <w:numPr>
          <w:ilvl w:val="0"/>
          <w:numId w:val="2"/>
        </w:numPr>
        <w:tabs>
          <w:tab w:val="left" w:pos="900"/>
        </w:tabs>
        <w:spacing w:before="156" w:beforeLines="50" w:line="276" w:lineRule="auto"/>
        <w:rPr>
          <w:color w:val="000000"/>
          <w:szCs w:val="21"/>
        </w:rPr>
      </w:pPr>
      <w:r>
        <w:rPr>
          <w:color w:val="000000"/>
          <w:szCs w:val="21"/>
        </w:rPr>
        <w:t>水中放电腔室1套，空气中放电腔室1套。</w:t>
      </w:r>
    </w:p>
    <w:p w14:paraId="5DEDCA99">
      <w:pPr>
        <w:numPr>
          <w:ilvl w:val="0"/>
          <w:numId w:val="2"/>
        </w:numPr>
        <w:tabs>
          <w:tab w:val="left" w:pos="900"/>
        </w:tabs>
        <w:spacing w:before="156" w:beforeLines="50" w:line="276" w:lineRule="auto"/>
        <w:rPr>
          <w:color w:val="000000"/>
          <w:szCs w:val="21"/>
        </w:rPr>
      </w:pPr>
      <w:r>
        <w:rPr>
          <w:color w:val="000000"/>
          <w:szCs w:val="21"/>
        </w:rPr>
        <w:t>为</w:t>
      </w:r>
      <w:r>
        <w:rPr>
          <w:rFonts w:hint="eastAsia"/>
          <w:color w:val="000000"/>
          <w:szCs w:val="21"/>
        </w:rPr>
        <w:t>每套</w:t>
      </w:r>
      <w:r>
        <w:rPr>
          <w:color w:val="000000"/>
          <w:szCs w:val="21"/>
        </w:rPr>
        <w:t>放电腔室配</w:t>
      </w:r>
      <w:r>
        <w:rPr>
          <w:rFonts w:hint="eastAsia"/>
          <w:color w:val="000000"/>
          <w:szCs w:val="21"/>
        </w:rPr>
        <w:t>加速通道4</w:t>
      </w:r>
      <w:r>
        <w:rPr>
          <w:rFonts w:hint="eastAsia"/>
          <w:color w:val="000000"/>
          <w:szCs w:val="21"/>
          <w:lang w:val="en-US" w:eastAsia="zh-CN"/>
        </w:rPr>
        <w:t>套</w:t>
      </w:r>
      <w:r>
        <w:rPr>
          <w:color w:val="000000"/>
          <w:szCs w:val="21"/>
        </w:rPr>
        <w:t>，共计</w:t>
      </w:r>
      <w:r>
        <w:rPr>
          <w:rFonts w:hint="eastAsia"/>
          <w:color w:val="000000"/>
          <w:szCs w:val="21"/>
        </w:rPr>
        <w:t>8</w:t>
      </w:r>
      <w:r>
        <w:rPr>
          <w:rFonts w:hint="eastAsia"/>
          <w:color w:val="000000"/>
          <w:szCs w:val="21"/>
          <w:lang w:val="en-US" w:eastAsia="zh-CN"/>
        </w:rPr>
        <w:t>套</w:t>
      </w:r>
      <w:r>
        <w:rPr>
          <w:color w:val="000000"/>
          <w:szCs w:val="21"/>
        </w:rPr>
        <w:t>。</w:t>
      </w:r>
    </w:p>
    <w:p w14:paraId="06823005">
      <w:pPr>
        <w:numPr>
          <w:ilvl w:val="0"/>
          <w:numId w:val="2"/>
        </w:numPr>
        <w:tabs>
          <w:tab w:val="left" w:pos="900"/>
        </w:tabs>
        <w:spacing w:before="156" w:beforeLines="50" w:line="276" w:lineRule="auto"/>
        <w:rPr>
          <w:color w:val="000000"/>
          <w:szCs w:val="21"/>
        </w:rPr>
      </w:pPr>
      <w:r>
        <w:rPr>
          <w:color w:val="000000"/>
          <w:szCs w:val="21"/>
        </w:rPr>
        <w:t>过渡腔室1套。</w:t>
      </w:r>
    </w:p>
    <w:p w14:paraId="4B78DA86">
      <w:pPr>
        <w:numPr>
          <w:ilvl w:val="0"/>
          <w:numId w:val="2"/>
        </w:numPr>
        <w:tabs>
          <w:tab w:val="left" w:pos="900"/>
        </w:tabs>
        <w:spacing w:before="156" w:beforeLines="50" w:line="276" w:lineRule="auto"/>
        <w:rPr>
          <w:color w:val="000000"/>
          <w:szCs w:val="21"/>
        </w:rPr>
      </w:pPr>
      <w:r>
        <w:rPr>
          <w:color w:val="000000"/>
          <w:szCs w:val="21"/>
        </w:rPr>
        <w:t>为放电腔室、</w:t>
      </w:r>
      <w:r>
        <w:rPr>
          <w:rFonts w:hint="eastAsia"/>
          <w:color w:val="000000"/>
          <w:szCs w:val="21"/>
        </w:rPr>
        <w:t>加速通道</w:t>
      </w:r>
      <w:r>
        <w:rPr>
          <w:color w:val="000000"/>
          <w:szCs w:val="21"/>
        </w:rPr>
        <w:t>、过渡腔室配套支撑系统1套。</w:t>
      </w:r>
    </w:p>
    <w:p w14:paraId="7664350C">
      <w:pPr>
        <w:numPr>
          <w:ilvl w:val="0"/>
          <w:numId w:val="2"/>
        </w:numPr>
        <w:tabs>
          <w:tab w:val="left" w:pos="900"/>
        </w:tabs>
        <w:spacing w:before="156" w:beforeLines="50" w:line="276" w:lineRule="auto"/>
        <w:rPr>
          <w:color w:val="000000"/>
          <w:szCs w:val="21"/>
        </w:rPr>
      </w:pPr>
      <w:r>
        <w:rPr>
          <w:color w:val="000000"/>
          <w:szCs w:val="21"/>
        </w:rPr>
        <w:t>配套遮断式激光弹速测试系统2套，磁测速系统2套。</w:t>
      </w:r>
      <w:r>
        <w:rPr>
          <w:rFonts w:hint="eastAsia"/>
          <w:color w:val="000000"/>
          <w:szCs w:val="21"/>
        </w:rPr>
        <w:t xml:space="preserve"> </w:t>
      </w:r>
    </w:p>
    <w:p w14:paraId="7D53FC8D">
      <w:pPr>
        <w:tabs>
          <w:tab w:val="left" w:pos="900"/>
        </w:tabs>
        <w:spacing w:before="156" w:beforeLines="50" w:line="276" w:lineRule="auto"/>
        <w:ind w:firstLine="210" w:firstLineChars="100"/>
        <w:rPr>
          <w:szCs w:val="21"/>
        </w:rPr>
      </w:pPr>
      <w:r>
        <w:rPr>
          <w:szCs w:val="21"/>
        </w:rPr>
        <w:t>2、技术指标如下：</w:t>
      </w:r>
    </w:p>
    <w:p w14:paraId="4EFCF23D">
      <w:pPr>
        <w:numPr>
          <w:ilvl w:val="0"/>
          <w:numId w:val="3"/>
        </w:numPr>
        <w:tabs>
          <w:tab w:val="left" w:pos="900"/>
        </w:tabs>
        <w:spacing w:before="156" w:beforeLines="50" w:line="276" w:lineRule="auto"/>
        <w:rPr>
          <w:color w:val="000000"/>
          <w:szCs w:val="21"/>
        </w:rPr>
      </w:pPr>
      <w:r>
        <w:rPr>
          <w:color w:val="000000"/>
          <w:szCs w:val="21"/>
        </w:rPr>
        <w:t>优化</w:t>
      </w:r>
      <w:r>
        <w:rPr>
          <w:rFonts w:hint="eastAsia"/>
          <w:color w:val="000000"/>
          <w:szCs w:val="21"/>
        </w:rPr>
        <w:t>加速通道</w:t>
      </w:r>
      <w:r>
        <w:rPr>
          <w:color w:val="000000"/>
          <w:szCs w:val="21"/>
        </w:rPr>
        <w:t>系统，克级弹丸弹速≥1km/s。</w:t>
      </w:r>
    </w:p>
    <w:p w14:paraId="1A0C9C58">
      <w:pPr>
        <w:numPr>
          <w:ilvl w:val="0"/>
          <w:numId w:val="3"/>
        </w:numPr>
        <w:tabs>
          <w:tab w:val="left" w:pos="900"/>
        </w:tabs>
        <w:spacing w:before="156" w:beforeLines="50" w:line="276" w:lineRule="auto"/>
        <w:rPr>
          <w:color w:val="000000"/>
          <w:szCs w:val="21"/>
        </w:rPr>
      </w:pPr>
      <w:r>
        <w:rPr>
          <w:color w:val="000000"/>
          <w:szCs w:val="21"/>
          <w:shd w:val="clear" w:color="auto" w:fill="FFFFFF"/>
        </w:rPr>
        <w:t>绝缘性能：高压区域与外壳的绝缘电阻不低于10</w:t>
      </w:r>
      <w:r>
        <w:rPr>
          <w:color w:val="000000"/>
          <w:szCs w:val="21"/>
          <w:shd w:val="clear" w:color="auto" w:fill="FFFFFF"/>
          <w:vertAlign w:val="superscript"/>
        </w:rPr>
        <w:t>12</w:t>
      </w:r>
      <w:r>
        <w:rPr>
          <w:color w:val="000000"/>
          <w:szCs w:val="21"/>
          <w:shd w:val="clear" w:color="auto" w:fill="FFFFFF"/>
        </w:rPr>
        <w:t>Ω、冲击电压耐受（脉宽300μs）不低于60 kV。</w:t>
      </w:r>
    </w:p>
    <w:p w14:paraId="70D69DD4">
      <w:pPr>
        <w:numPr>
          <w:ilvl w:val="0"/>
          <w:numId w:val="3"/>
        </w:numPr>
        <w:tabs>
          <w:tab w:val="left" w:pos="900"/>
        </w:tabs>
        <w:spacing w:before="156" w:beforeLines="50" w:line="276" w:lineRule="auto"/>
        <w:rPr>
          <w:color w:val="000000"/>
          <w:szCs w:val="21"/>
        </w:rPr>
      </w:pPr>
      <w:r>
        <w:rPr>
          <w:color w:val="000000"/>
          <w:szCs w:val="21"/>
          <w:shd w:val="clear" w:color="auto" w:fill="FFFFFF"/>
        </w:rPr>
        <w:t>电极通流能力：不低于150 kA。</w:t>
      </w:r>
      <w:bookmarkStart w:id="5" w:name="_Toc71800782"/>
      <w:bookmarkStart w:id="6" w:name="_Toc71802221"/>
      <w:bookmarkStart w:id="7" w:name="_Toc3357"/>
      <w:bookmarkStart w:id="8" w:name="_Toc487891896"/>
      <w:bookmarkStart w:id="9" w:name="_Toc487895845"/>
      <w:bookmarkStart w:id="10" w:name="_Toc61875294"/>
      <w:bookmarkStart w:id="11" w:name="_Toc5893"/>
      <w:bookmarkStart w:id="12" w:name="_Toc63244593"/>
      <w:bookmarkStart w:id="13" w:name="_Toc487891900"/>
      <w:bookmarkStart w:id="14" w:name="_Toc61875293"/>
      <w:bookmarkStart w:id="15" w:name="_Toc71787363"/>
      <w:bookmarkStart w:id="16" w:name="_Toc487895849"/>
      <w:bookmarkStart w:id="17" w:name="_Toc63244596"/>
      <w:bookmarkStart w:id="18" w:name="_Toc71802220"/>
      <w:bookmarkStart w:id="19" w:name="_Toc3666"/>
      <w:bookmarkStart w:id="20" w:name="_Toc71800781"/>
      <w:bookmarkStart w:id="21" w:name="_Toc71787364"/>
      <w:bookmarkStart w:id="22" w:name="_Toc487895848"/>
      <w:bookmarkStart w:id="23" w:name="_Toc61875290"/>
      <w:bookmarkStart w:id="24" w:name="_Toc71802217"/>
      <w:bookmarkStart w:id="25" w:name="_Toc487891899"/>
      <w:bookmarkStart w:id="26" w:name="_Toc63244597"/>
      <w:bookmarkStart w:id="27" w:name="_Toc9977"/>
      <w:bookmarkStart w:id="28" w:name="_Toc22282"/>
      <w:bookmarkStart w:id="29" w:name="_Toc30282"/>
      <w:bookmarkStart w:id="30" w:name="_Toc71787360"/>
      <w:bookmarkStart w:id="31" w:name="_Toc71800778"/>
    </w:p>
    <w:p w14:paraId="7471C141">
      <w:pPr>
        <w:numPr>
          <w:ilvl w:val="0"/>
          <w:numId w:val="3"/>
        </w:numPr>
        <w:tabs>
          <w:tab w:val="left" w:pos="900"/>
        </w:tabs>
        <w:spacing w:before="156" w:beforeLines="50" w:line="276" w:lineRule="auto"/>
        <w:ind w:left="1264"/>
        <w:rPr>
          <w:color w:val="000000"/>
          <w:szCs w:val="21"/>
        </w:rPr>
      </w:pPr>
      <w:r>
        <w:rPr>
          <w:color w:val="000000"/>
          <w:szCs w:val="21"/>
          <w:shd w:val="clear" w:color="auto" w:fill="FFFFFF"/>
        </w:rPr>
        <w:t>能量转换器配套放电腔耐受爆炸冲击，</w:t>
      </w:r>
      <w:r>
        <w:rPr>
          <w:szCs w:val="21"/>
        </w:rPr>
        <w:t>水中电爆炸</w:t>
      </w:r>
      <w:r>
        <w:rPr>
          <w:color w:val="000000"/>
          <w:szCs w:val="21"/>
          <w:shd w:val="clear" w:color="auto" w:fill="FFFFFF"/>
        </w:rPr>
        <w:t>放电腔能够耐受</w:t>
      </w:r>
      <w:r>
        <w:rPr>
          <w:szCs w:val="21"/>
        </w:rPr>
        <w:t>不低于120gTNT当量爆炸冲击，空气中电爆炸</w:t>
      </w:r>
      <w:r>
        <w:rPr>
          <w:color w:val="000000"/>
          <w:szCs w:val="21"/>
          <w:shd w:val="clear" w:color="auto" w:fill="FFFFFF"/>
        </w:rPr>
        <w:t>放电腔能够耐受</w:t>
      </w:r>
      <w:r>
        <w:rPr>
          <w:szCs w:val="21"/>
        </w:rPr>
        <w:t>不低于80gTNT当量爆炸冲击。</w:t>
      </w:r>
      <w:bookmarkEnd w:id="5"/>
      <w:bookmarkEnd w:id="6"/>
    </w:p>
    <w:p w14:paraId="4B0FC28A">
      <w:pPr>
        <w:numPr>
          <w:ilvl w:val="0"/>
          <w:numId w:val="3"/>
        </w:numPr>
        <w:tabs>
          <w:tab w:val="left" w:pos="900"/>
        </w:tabs>
        <w:spacing w:before="156" w:beforeLines="50" w:line="276" w:lineRule="auto"/>
        <w:rPr>
          <w:szCs w:val="21"/>
        </w:rPr>
      </w:pPr>
      <w:r>
        <w:rPr>
          <w:szCs w:val="21"/>
        </w:rPr>
        <w:t>能量转换器选材：</w:t>
      </w:r>
      <w:r>
        <w:rPr>
          <w:szCs w:val="21"/>
          <w:shd w:val="clear" w:color="auto" w:fill="FFFFFF"/>
        </w:rPr>
        <w:t>42CrMo，锻造成锭，经调质处理，30～35HRC，表面磷化处理</w:t>
      </w:r>
      <w:r>
        <w:rPr>
          <w:szCs w:val="21"/>
        </w:rPr>
        <w:t>。</w:t>
      </w:r>
    </w:p>
    <w:p w14:paraId="286484BF">
      <w:pPr>
        <w:numPr>
          <w:ilvl w:val="0"/>
          <w:numId w:val="3"/>
        </w:numPr>
        <w:tabs>
          <w:tab w:val="left" w:pos="900"/>
        </w:tabs>
        <w:spacing w:before="156" w:beforeLines="50" w:line="276" w:lineRule="auto"/>
        <w:rPr>
          <w:szCs w:val="21"/>
        </w:rPr>
      </w:pPr>
      <w:r>
        <w:rPr>
          <w:szCs w:val="21"/>
          <w:shd w:val="clear" w:color="auto" w:fill="FFFFFF"/>
        </w:rPr>
        <w:t>聚能曲面调节角度</w:t>
      </w:r>
      <w:r>
        <w:rPr>
          <w:color w:val="000000"/>
          <w:szCs w:val="21"/>
          <w:shd w:val="clear" w:color="auto" w:fill="FFFFFF"/>
        </w:rPr>
        <w:t>在0° ~ 20°内任选。</w:t>
      </w:r>
    </w:p>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p w14:paraId="3FA78345">
      <w:pPr>
        <w:numPr>
          <w:ilvl w:val="0"/>
          <w:numId w:val="3"/>
        </w:numPr>
        <w:tabs>
          <w:tab w:val="left" w:pos="900"/>
        </w:tabs>
        <w:spacing w:before="156" w:beforeLines="50" w:line="276" w:lineRule="auto"/>
        <w:rPr>
          <w:color w:val="000000"/>
          <w:szCs w:val="21"/>
        </w:rPr>
      </w:pPr>
      <w:r>
        <w:rPr>
          <w:color w:val="000000"/>
          <w:szCs w:val="21"/>
        </w:rPr>
        <w:t>重复工作频率：支持单次放电电流峰值150 kA、频率5分钟一次的连续脉冲放电。</w:t>
      </w:r>
    </w:p>
    <w:p w14:paraId="1863B1E1">
      <w:pPr>
        <w:numPr>
          <w:ilvl w:val="0"/>
          <w:numId w:val="3"/>
        </w:numPr>
        <w:tabs>
          <w:tab w:val="left" w:pos="900"/>
        </w:tabs>
        <w:spacing w:before="156" w:beforeLines="50" w:line="276" w:lineRule="auto"/>
        <w:rPr>
          <w:color w:val="000000"/>
          <w:szCs w:val="21"/>
        </w:rPr>
      </w:pPr>
      <w:r>
        <w:rPr>
          <w:rFonts w:hint="eastAsia"/>
          <w:color w:val="000000"/>
          <w:szCs w:val="21"/>
        </w:rPr>
        <w:t>内径</w:t>
      </w:r>
      <w:r>
        <w:rPr>
          <w:color w:val="000000"/>
          <w:szCs w:val="21"/>
        </w:rPr>
        <w:t>37mm</w:t>
      </w:r>
      <w:r>
        <w:rPr>
          <w:rFonts w:hint="eastAsia"/>
          <w:color w:val="000000"/>
          <w:szCs w:val="21"/>
        </w:rPr>
        <w:t>加速通道</w:t>
      </w:r>
      <w:r>
        <w:rPr>
          <w:color w:val="000000"/>
          <w:szCs w:val="21"/>
        </w:rPr>
        <w:t>，长度≥4.5m，4根，承受内压≥250MPa。</w:t>
      </w:r>
    </w:p>
    <w:p w14:paraId="43ABC6FA">
      <w:pPr>
        <w:numPr>
          <w:ilvl w:val="0"/>
          <w:numId w:val="3"/>
        </w:numPr>
        <w:tabs>
          <w:tab w:val="left" w:pos="900"/>
        </w:tabs>
        <w:spacing w:before="156" w:beforeLines="50" w:line="276" w:lineRule="auto"/>
        <w:rPr>
          <w:color w:val="000000"/>
          <w:szCs w:val="21"/>
        </w:rPr>
      </w:pPr>
      <w:r>
        <w:rPr>
          <w:rFonts w:hint="eastAsia"/>
          <w:color w:val="000000"/>
          <w:szCs w:val="21"/>
        </w:rPr>
        <w:t>内径</w:t>
      </w:r>
      <w:r>
        <w:rPr>
          <w:color w:val="000000"/>
          <w:szCs w:val="21"/>
        </w:rPr>
        <w:t>12.7mm</w:t>
      </w:r>
      <w:r>
        <w:rPr>
          <w:rFonts w:hint="eastAsia"/>
          <w:color w:val="000000"/>
          <w:szCs w:val="21"/>
        </w:rPr>
        <w:t>加速通道</w:t>
      </w:r>
      <w:r>
        <w:rPr>
          <w:color w:val="000000"/>
          <w:szCs w:val="21"/>
        </w:rPr>
        <w:t>，长度≥2.5m，4根，承受内压≥500MPa。</w:t>
      </w:r>
    </w:p>
    <w:p w14:paraId="1C0F1B34">
      <w:pPr>
        <w:numPr>
          <w:ilvl w:val="0"/>
          <w:numId w:val="3"/>
        </w:numPr>
        <w:tabs>
          <w:tab w:val="left" w:pos="900"/>
        </w:tabs>
        <w:spacing w:before="156" w:beforeLines="50" w:line="276" w:lineRule="auto"/>
        <w:rPr>
          <w:color w:val="000000"/>
          <w:szCs w:val="21"/>
        </w:rPr>
      </w:pPr>
      <w:r>
        <w:rPr>
          <w:rFonts w:hint="eastAsia"/>
          <w:color w:val="000000"/>
          <w:szCs w:val="21"/>
        </w:rPr>
        <w:t>加速通道</w:t>
      </w:r>
      <w:r>
        <w:rPr>
          <w:color w:val="000000"/>
          <w:szCs w:val="21"/>
        </w:rPr>
        <w:t>选材：</w:t>
      </w:r>
      <w:r>
        <w:rPr>
          <w:rFonts w:hint="eastAsia"/>
          <w:color w:val="000000"/>
          <w:szCs w:val="21"/>
        </w:rPr>
        <w:t>材料机械性能等于或者优于PCrNi3MoV。材料的冶炼、锻造、热处理、机械性能试验按YB475-93执行（要求炮钢冲击功大于30 J），并附有合格证。</w:t>
      </w:r>
    </w:p>
    <w:p w14:paraId="2FFD2E2D">
      <w:pPr>
        <w:numPr>
          <w:ilvl w:val="0"/>
          <w:numId w:val="3"/>
        </w:numPr>
        <w:tabs>
          <w:tab w:val="left" w:pos="900"/>
        </w:tabs>
        <w:spacing w:before="156" w:beforeLines="50" w:line="276" w:lineRule="auto"/>
        <w:rPr>
          <w:color w:val="000000"/>
          <w:szCs w:val="21"/>
        </w:rPr>
      </w:pPr>
      <w:r>
        <w:rPr>
          <w:rFonts w:hint="eastAsia"/>
          <w:color w:val="000000"/>
          <w:szCs w:val="21"/>
        </w:rPr>
        <w:t>磁力探伤检验不得有裂纹、缩孔等缺陷。超声波探伤，当量直径 Φ2 以下的缺陷不计，允许小于当量直径Φ3 以下的零星缺陷存在。</w:t>
      </w:r>
    </w:p>
    <w:p w14:paraId="1EE14785">
      <w:pPr>
        <w:numPr>
          <w:ilvl w:val="0"/>
          <w:numId w:val="3"/>
        </w:numPr>
        <w:tabs>
          <w:tab w:val="left" w:pos="900"/>
        </w:tabs>
        <w:spacing w:before="156" w:beforeLines="50" w:line="276" w:lineRule="auto"/>
        <w:rPr>
          <w:color w:val="000000"/>
          <w:szCs w:val="21"/>
        </w:rPr>
      </w:pPr>
      <w:r>
        <w:rPr>
          <w:rFonts w:hint="eastAsia"/>
          <w:color w:val="000000"/>
          <w:szCs w:val="21"/>
        </w:rPr>
        <w:t>过渡腔室</w:t>
      </w:r>
      <w:r>
        <w:rPr>
          <w:color w:val="000000"/>
          <w:szCs w:val="21"/>
        </w:rPr>
        <w:t>长度≥1.5m，内径≥40mm，壁厚≥12mm，配备三组激光测速窗口、一个测试电缆转接接口、一组超高速摄像弹丸分离效果诊断窗口。</w:t>
      </w:r>
    </w:p>
    <w:p w14:paraId="4381849F">
      <w:pPr>
        <w:numPr>
          <w:ilvl w:val="0"/>
          <w:numId w:val="3"/>
        </w:numPr>
        <w:tabs>
          <w:tab w:val="left" w:pos="900"/>
        </w:tabs>
        <w:spacing w:before="156" w:beforeLines="50" w:line="276" w:lineRule="auto"/>
        <w:rPr>
          <w:color w:val="000000"/>
          <w:szCs w:val="21"/>
        </w:rPr>
      </w:pPr>
      <w:r>
        <w:rPr>
          <w:color w:val="000000"/>
          <w:szCs w:val="21"/>
        </w:rPr>
        <w:t>定向能量转换器、</w:t>
      </w:r>
      <w:r>
        <w:rPr>
          <w:rFonts w:hint="eastAsia"/>
          <w:color w:val="000000"/>
          <w:szCs w:val="21"/>
        </w:rPr>
        <w:t>加速通道</w:t>
      </w:r>
      <w:r>
        <w:rPr>
          <w:color w:val="000000"/>
          <w:szCs w:val="21"/>
        </w:rPr>
        <w:t>、</w:t>
      </w:r>
      <w:r>
        <w:rPr>
          <w:rFonts w:hint="eastAsia"/>
          <w:color w:val="000000"/>
          <w:szCs w:val="21"/>
        </w:rPr>
        <w:t>过渡腔室</w:t>
      </w:r>
      <w:r>
        <w:rPr>
          <w:color w:val="000000"/>
          <w:szCs w:val="21"/>
        </w:rPr>
        <w:t>配套支撑系统，采用型钢配合支撑底座制成，</w:t>
      </w:r>
      <w:r>
        <w:rPr>
          <w:rFonts w:hint="eastAsia"/>
          <w:color w:val="000000"/>
          <w:szCs w:val="21"/>
        </w:rPr>
        <w:t>加速通道</w:t>
      </w:r>
      <w:r>
        <w:rPr>
          <w:color w:val="000000"/>
          <w:szCs w:val="21"/>
        </w:rPr>
        <w:t>固定在支撑底梁上，能量换能器、</w:t>
      </w:r>
      <w:r>
        <w:rPr>
          <w:rFonts w:hint="eastAsia"/>
          <w:color w:val="000000"/>
          <w:szCs w:val="21"/>
        </w:rPr>
        <w:t>过</w:t>
      </w:r>
      <w:r>
        <w:rPr>
          <w:rFonts w:hint="eastAsia"/>
          <w:color w:val="000000"/>
          <w:szCs w:val="21"/>
          <w:lang w:val="en-US" w:eastAsia="zh-CN"/>
        </w:rPr>
        <w:t>渡</w:t>
      </w:r>
      <w:r>
        <w:rPr>
          <w:rFonts w:hint="eastAsia"/>
          <w:color w:val="000000"/>
          <w:szCs w:val="21"/>
        </w:rPr>
        <w:t>腔室</w:t>
      </w:r>
      <w:r>
        <w:rPr>
          <w:color w:val="000000"/>
          <w:szCs w:val="21"/>
        </w:rPr>
        <w:t>，在支撑底座上前后移动</w:t>
      </w:r>
      <w:r>
        <w:rPr>
          <w:rFonts w:hint="eastAsia"/>
          <w:color w:val="000000"/>
          <w:szCs w:val="21"/>
        </w:rPr>
        <w:t>，重复定位误差≤0.5 mm</w:t>
      </w:r>
      <w:r>
        <w:rPr>
          <w:color w:val="000000"/>
          <w:szCs w:val="21"/>
        </w:rPr>
        <w:t>。</w:t>
      </w:r>
    </w:p>
    <w:p w14:paraId="5AC9904A">
      <w:pPr>
        <w:numPr>
          <w:ilvl w:val="0"/>
          <w:numId w:val="3"/>
        </w:numPr>
        <w:tabs>
          <w:tab w:val="left" w:pos="900"/>
        </w:tabs>
        <w:spacing w:before="156" w:beforeLines="50" w:line="276" w:lineRule="auto"/>
        <w:rPr>
          <w:color w:val="000000"/>
          <w:szCs w:val="21"/>
        </w:rPr>
      </w:pPr>
      <w:r>
        <w:rPr>
          <w:color w:val="000000"/>
          <w:szCs w:val="21"/>
        </w:rPr>
        <w:t>能量转化器、</w:t>
      </w:r>
      <w:r>
        <w:rPr>
          <w:rFonts w:hint="eastAsia"/>
          <w:color w:val="000000"/>
          <w:szCs w:val="21"/>
        </w:rPr>
        <w:t>加速通道</w:t>
      </w:r>
      <w:r>
        <w:rPr>
          <w:color w:val="000000"/>
          <w:szCs w:val="21"/>
        </w:rPr>
        <w:t>及气动弹丸脱壳腔室的轴心距地面≥700mm，</w:t>
      </w:r>
      <w:r>
        <w:rPr>
          <w:rFonts w:hint="eastAsia"/>
          <w:color w:val="000000"/>
          <w:szCs w:val="21"/>
        </w:rPr>
        <w:t>电爆炸发生时</w:t>
      </w:r>
      <w:r>
        <w:rPr>
          <w:color w:val="000000"/>
          <w:szCs w:val="21"/>
        </w:rPr>
        <w:t>，支撑系统无晃动现象。</w:t>
      </w:r>
    </w:p>
    <w:p w14:paraId="01B1607F">
      <w:pPr>
        <w:numPr>
          <w:ilvl w:val="0"/>
          <w:numId w:val="3"/>
        </w:numPr>
        <w:tabs>
          <w:tab w:val="left" w:pos="900"/>
        </w:tabs>
        <w:spacing w:before="156" w:beforeLines="50" w:line="276" w:lineRule="auto"/>
        <w:rPr>
          <w:color w:val="000000"/>
          <w:szCs w:val="21"/>
        </w:rPr>
      </w:pPr>
      <w:r>
        <w:rPr>
          <w:color w:val="000000"/>
          <w:szCs w:val="21"/>
        </w:rPr>
        <w:t>遮断式激光测速系统，三通道，测速误差≤0.1%。</w:t>
      </w:r>
    </w:p>
    <w:p w14:paraId="0CCF940C">
      <w:pPr>
        <w:numPr>
          <w:ilvl w:val="0"/>
          <w:numId w:val="3"/>
        </w:numPr>
        <w:tabs>
          <w:tab w:val="left" w:pos="900"/>
        </w:tabs>
        <w:spacing w:before="156" w:beforeLines="50" w:line="276" w:lineRule="auto"/>
        <w:rPr>
          <w:color w:val="000000"/>
          <w:szCs w:val="21"/>
        </w:rPr>
      </w:pPr>
      <w:r>
        <w:rPr>
          <w:color w:val="000000"/>
          <w:szCs w:val="21"/>
        </w:rPr>
        <w:t>磁测速系统，三通道，测速误差≤0.1%。</w:t>
      </w:r>
    </w:p>
    <w:p w14:paraId="126F54C6">
      <w:pPr>
        <w:numPr>
          <w:ilvl w:val="0"/>
          <w:numId w:val="3"/>
        </w:numPr>
        <w:tabs>
          <w:tab w:val="left" w:pos="900"/>
        </w:tabs>
        <w:spacing w:before="156" w:beforeLines="50" w:line="276" w:lineRule="auto"/>
        <w:rPr>
          <w:color w:val="000000"/>
          <w:szCs w:val="21"/>
        </w:rPr>
      </w:pPr>
      <w:r>
        <w:rPr>
          <w:color w:val="000000"/>
          <w:szCs w:val="21"/>
        </w:rPr>
        <w:t>配套30发调试实验用弹托、弹丸、效应靶等耗材。</w:t>
      </w:r>
    </w:p>
    <w:p w14:paraId="44DB5A5C">
      <w:pPr>
        <w:numPr>
          <w:ilvl w:val="0"/>
          <w:numId w:val="3"/>
        </w:numPr>
        <w:tabs>
          <w:tab w:val="left" w:pos="900"/>
        </w:tabs>
        <w:spacing w:before="156" w:beforeLines="50" w:line="276" w:lineRule="auto"/>
        <w:rPr>
          <w:color w:val="000000"/>
          <w:szCs w:val="21"/>
        </w:rPr>
      </w:pPr>
      <w:r>
        <w:rPr>
          <w:color w:val="000000"/>
          <w:szCs w:val="21"/>
        </w:rPr>
        <w:t>为调试实验提供易损件：电爆炸室清洁、</w:t>
      </w:r>
      <w:r>
        <w:rPr>
          <w:rFonts w:hint="eastAsia"/>
          <w:szCs w:val="21"/>
        </w:rPr>
        <w:t>加速通道</w:t>
      </w:r>
      <w:r>
        <w:rPr>
          <w:color w:val="000000"/>
          <w:szCs w:val="21"/>
        </w:rPr>
        <w:t>清洁配件，易损玻璃或薄铝板观察窗的更换。</w:t>
      </w:r>
    </w:p>
    <w:p w14:paraId="51FECA05">
      <w:pPr>
        <w:numPr>
          <w:ilvl w:val="0"/>
          <w:numId w:val="3"/>
        </w:numPr>
        <w:tabs>
          <w:tab w:val="left" w:pos="900"/>
        </w:tabs>
        <w:spacing w:before="156" w:beforeLines="50" w:line="276" w:lineRule="auto"/>
        <w:rPr>
          <w:color w:val="000000"/>
          <w:szCs w:val="21"/>
        </w:rPr>
      </w:pPr>
      <w:r>
        <w:rPr>
          <w:color w:val="000000"/>
          <w:szCs w:val="21"/>
        </w:rPr>
        <w:t>出厂前完成调试实验，厂家提供洁净厂房，</w:t>
      </w:r>
      <w:r>
        <w:rPr>
          <w:rFonts w:hint="eastAsia"/>
          <w:color w:val="000000"/>
          <w:szCs w:val="21"/>
        </w:rPr>
        <w:t>厂房面积≥1000 ㎡；洁净</w:t>
      </w:r>
      <w:r>
        <w:rPr>
          <w:color w:val="000000"/>
          <w:szCs w:val="21"/>
        </w:rPr>
        <w:t>级别达到十万级</w:t>
      </w:r>
      <w:r>
        <w:rPr>
          <w:rFonts w:hint="eastAsia"/>
          <w:color w:val="000000"/>
          <w:szCs w:val="21"/>
        </w:rPr>
        <w:t>，厂家应具备</w:t>
      </w:r>
      <w:r>
        <w:rPr>
          <w:color w:val="000000"/>
          <w:szCs w:val="21"/>
        </w:rPr>
        <w:t>环境管理体系认证证书GB/T 24001-2016</w:t>
      </w:r>
      <w:r>
        <w:rPr>
          <w:rFonts w:hint="eastAsia"/>
          <w:color w:val="000000"/>
          <w:szCs w:val="21"/>
        </w:rPr>
        <w:t>、</w:t>
      </w:r>
      <w:r>
        <w:rPr>
          <w:color w:val="000000"/>
          <w:szCs w:val="21"/>
        </w:rPr>
        <w:t xml:space="preserve"> IS</w:t>
      </w:r>
      <w:r>
        <w:rPr>
          <w:rFonts w:hint="eastAsia"/>
          <w:color w:val="000000"/>
          <w:szCs w:val="21"/>
          <w:lang w:val="en-US" w:eastAsia="zh-CN"/>
        </w:rPr>
        <w:t>O</w:t>
      </w:r>
      <w:r>
        <w:rPr>
          <w:color w:val="000000"/>
          <w:szCs w:val="21"/>
        </w:rPr>
        <w:t>14001:2015标准</w:t>
      </w:r>
      <w:r>
        <w:rPr>
          <w:rFonts w:hint="eastAsia"/>
          <w:color w:val="000000"/>
          <w:szCs w:val="21"/>
        </w:rPr>
        <w:t>的相关</w:t>
      </w:r>
      <w:r>
        <w:rPr>
          <w:color w:val="000000"/>
          <w:szCs w:val="21"/>
        </w:rPr>
        <w:t>要求</w:t>
      </w:r>
      <w:r>
        <w:rPr>
          <w:rFonts w:hint="eastAsia"/>
          <w:color w:val="000000"/>
          <w:szCs w:val="21"/>
        </w:rPr>
        <w:t>。</w:t>
      </w:r>
    </w:p>
    <w:p w14:paraId="348C8D79">
      <w:pPr>
        <w:numPr>
          <w:ilvl w:val="0"/>
          <w:numId w:val="3"/>
        </w:numPr>
        <w:tabs>
          <w:tab w:val="left" w:pos="900"/>
        </w:tabs>
        <w:spacing w:before="156" w:beforeLines="50" w:line="276" w:lineRule="auto"/>
        <w:rPr>
          <w:color w:val="000000"/>
          <w:szCs w:val="21"/>
        </w:rPr>
      </w:pPr>
      <w:r>
        <w:rPr>
          <w:color w:val="000000"/>
          <w:szCs w:val="21"/>
        </w:rPr>
        <w:t>出具爆炸腔室、</w:t>
      </w:r>
      <w:r>
        <w:rPr>
          <w:rFonts w:hint="eastAsia"/>
          <w:color w:val="000000"/>
          <w:szCs w:val="21"/>
        </w:rPr>
        <w:t>加速通道</w:t>
      </w:r>
      <w:r>
        <w:rPr>
          <w:color w:val="000000"/>
          <w:szCs w:val="21"/>
        </w:rPr>
        <w:t>等关键部件设计计算书，安全系数满足爆炸容器相关规范。</w:t>
      </w:r>
    </w:p>
    <w:p w14:paraId="5413F42E">
      <w:pPr>
        <w:numPr>
          <w:ilvl w:val="0"/>
          <w:numId w:val="1"/>
        </w:numPr>
        <w:tabs>
          <w:tab w:val="left" w:pos="900"/>
        </w:tabs>
        <w:spacing w:before="156" w:beforeLines="50" w:line="276" w:lineRule="auto"/>
        <w:rPr>
          <w:color w:val="000000"/>
          <w:szCs w:val="21"/>
        </w:rPr>
      </w:pPr>
      <w:r>
        <w:rPr>
          <w:color w:val="000000"/>
          <w:szCs w:val="21"/>
        </w:rPr>
        <w:t>效应腔体：效应腔体主要用于</w:t>
      </w:r>
      <w:r>
        <w:rPr>
          <w:szCs w:val="21"/>
          <w:shd w:val="clear" w:color="auto" w:fill="FFFFFF"/>
        </w:rPr>
        <w:t>测试和评估定向能量转换器性能以及弹丸打靶效果</w:t>
      </w:r>
      <w:r>
        <w:rPr>
          <w:color w:val="000000"/>
          <w:szCs w:val="21"/>
        </w:rPr>
        <w:t>，其技术与功能性指标如下：</w:t>
      </w:r>
    </w:p>
    <w:p w14:paraId="1C8B6583">
      <w:pPr>
        <w:tabs>
          <w:tab w:val="left" w:pos="900"/>
        </w:tabs>
        <w:spacing w:before="156" w:beforeLines="50" w:line="276" w:lineRule="auto"/>
        <w:ind w:firstLine="210" w:firstLineChars="100"/>
        <w:rPr>
          <w:szCs w:val="21"/>
        </w:rPr>
      </w:pPr>
      <w:r>
        <w:rPr>
          <w:szCs w:val="21"/>
        </w:rPr>
        <w:t>1、功能性指标如下：</w:t>
      </w:r>
    </w:p>
    <w:p w14:paraId="2AC217D3">
      <w:pPr>
        <w:pStyle w:val="17"/>
        <w:widowControl/>
        <w:numPr>
          <w:ilvl w:val="0"/>
          <w:numId w:val="4"/>
        </w:numPr>
        <w:spacing w:line="276" w:lineRule="auto"/>
        <w:ind w:left="1265" w:firstLineChars="0"/>
        <w:jc w:val="left"/>
        <w:textAlignment w:val="baseline"/>
        <w:rPr>
          <w:color w:val="000000"/>
          <w:szCs w:val="21"/>
        </w:rPr>
      </w:pPr>
      <w:r>
        <w:rPr>
          <w:color w:val="000000"/>
          <w:szCs w:val="21"/>
        </w:rPr>
        <w:t>效应腔室与</w:t>
      </w:r>
      <w:r>
        <w:rPr>
          <w:rFonts w:hint="eastAsia"/>
          <w:color w:val="000000"/>
          <w:szCs w:val="21"/>
        </w:rPr>
        <w:t>过</w:t>
      </w:r>
      <w:r>
        <w:rPr>
          <w:rFonts w:hint="eastAsia"/>
          <w:color w:val="000000"/>
          <w:szCs w:val="21"/>
          <w:lang w:val="en-US" w:eastAsia="zh-CN"/>
        </w:rPr>
        <w:t>渡</w:t>
      </w:r>
      <w:r>
        <w:rPr>
          <w:rFonts w:hint="eastAsia"/>
          <w:color w:val="000000"/>
          <w:szCs w:val="21"/>
        </w:rPr>
        <w:t>腔室</w:t>
      </w:r>
      <w:r>
        <w:rPr>
          <w:color w:val="000000"/>
          <w:szCs w:val="21"/>
        </w:rPr>
        <w:t>通过法兰连接，弹丸进入效应腔室后，与靶标碰撞，完成相关测试、测量等研究工作。</w:t>
      </w:r>
    </w:p>
    <w:p w14:paraId="7318CD32">
      <w:pPr>
        <w:pStyle w:val="17"/>
        <w:widowControl/>
        <w:numPr>
          <w:ilvl w:val="0"/>
          <w:numId w:val="4"/>
        </w:numPr>
        <w:spacing w:line="276" w:lineRule="auto"/>
        <w:ind w:left="1265" w:firstLineChars="0"/>
        <w:jc w:val="left"/>
        <w:textAlignment w:val="baseline"/>
        <w:rPr>
          <w:color w:val="000000"/>
          <w:szCs w:val="21"/>
        </w:rPr>
      </w:pPr>
      <w:r>
        <w:rPr>
          <w:color w:val="000000"/>
          <w:szCs w:val="21"/>
        </w:rPr>
        <w:t>效应腔体：由前盖板、中段腔体、后盖板及支撑装置组成。</w:t>
      </w:r>
    </w:p>
    <w:p w14:paraId="1984E550">
      <w:pPr>
        <w:pStyle w:val="17"/>
        <w:widowControl/>
        <w:numPr>
          <w:ilvl w:val="0"/>
          <w:numId w:val="4"/>
        </w:numPr>
        <w:spacing w:line="276" w:lineRule="auto"/>
        <w:ind w:left="1265" w:firstLineChars="0"/>
        <w:jc w:val="left"/>
        <w:textAlignment w:val="baseline"/>
        <w:rPr>
          <w:color w:val="000000"/>
          <w:szCs w:val="21"/>
        </w:rPr>
      </w:pPr>
      <w:r>
        <w:rPr>
          <w:color w:val="000000"/>
          <w:szCs w:val="21"/>
        </w:rPr>
        <w:t>效应腔体应具备较高的抗冲击性能，保证在</w:t>
      </w:r>
      <w:r>
        <w:rPr>
          <w:szCs w:val="21"/>
          <w:shd w:val="clear" w:color="auto" w:fill="FFFFFF"/>
        </w:rPr>
        <w:t>承载弹丸与靶材相互作用产生的应力和飞溅的碎片时设备结构的完整性与功能性不受影响</w:t>
      </w:r>
      <w:r>
        <w:rPr>
          <w:color w:val="000000"/>
          <w:szCs w:val="21"/>
        </w:rPr>
        <w:t>。</w:t>
      </w:r>
    </w:p>
    <w:p w14:paraId="1A5DE224">
      <w:pPr>
        <w:pStyle w:val="17"/>
        <w:widowControl/>
        <w:numPr>
          <w:ilvl w:val="0"/>
          <w:numId w:val="4"/>
        </w:numPr>
        <w:spacing w:line="276" w:lineRule="auto"/>
        <w:ind w:left="1265" w:firstLineChars="0"/>
        <w:jc w:val="left"/>
        <w:textAlignment w:val="baseline"/>
        <w:rPr>
          <w:color w:val="000000"/>
          <w:szCs w:val="21"/>
        </w:rPr>
      </w:pPr>
      <w:r>
        <w:rPr>
          <w:color w:val="000000"/>
          <w:szCs w:val="21"/>
        </w:rPr>
        <w:t>在效应腔体的中段两侧壁面开设系列测试观察窗，利用超高速摄像系统、</w:t>
      </w:r>
      <w:r>
        <w:rPr>
          <w:szCs w:val="21"/>
          <w:shd w:val="clear" w:color="auto" w:fill="FFFFFF"/>
        </w:rPr>
        <w:t>中低能闪光照相分系统，以及常规弹道终点效应测试系统，</w:t>
      </w:r>
      <w:r>
        <w:rPr>
          <w:color w:val="000000"/>
          <w:szCs w:val="21"/>
        </w:rPr>
        <w:t>测试弹丸的飞行姿态、着靶攻角，弹靶作用过程等。</w:t>
      </w:r>
    </w:p>
    <w:p w14:paraId="1EB93BC6">
      <w:pPr>
        <w:pStyle w:val="17"/>
        <w:widowControl/>
        <w:numPr>
          <w:ilvl w:val="0"/>
          <w:numId w:val="4"/>
        </w:numPr>
        <w:spacing w:line="276" w:lineRule="auto"/>
        <w:ind w:left="1265" w:firstLineChars="0"/>
        <w:jc w:val="left"/>
        <w:textAlignment w:val="baseline"/>
        <w:rPr>
          <w:color w:val="000000"/>
          <w:szCs w:val="21"/>
        </w:rPr>
      </w:pPr>
      <w:r>
        <w:rPr>
          <w:color w:val="000000"/>
          <w:szCs w:val="21"/>
        </w:rPr>
        <w:t>腔室内部配备效应靶支撑平台，该平台高低可调节，前后可推动。</w:t>
      </w:r>
    </w:p>
    <w:p w14:paraId="2956F4EB">
      <w:pPr>
        <w:tabs>
          <w:tab w:val="left" w:pos="900"/>
        </w:tabs>
        <w:spacing w:before="156" w:beforeLines="50" w:line="276" w:lineRule="auto"/>
        <w:ind w:firstLine="210" w:firstLineChars="100"/>
        <w:rPr>
          <w:szCs w:val="21"/>
        </w:rPr>
      </w:pPr>
      <w:r>
        <w:rPr>
          <w:szCs w:val="21"/>
        </w:rPr>
        <w:t>2、技术指标如下：</w:t>
      </w:r>
    </w:p>
    <w:p w14:paraId="07FEB151">
      <w:pPr>
        <w:pStyle w:val="17"/>
        <w:widowControl/>
        <w:numPr>
          <w:ilvl w:val="0"/>
          <w:numId w:val="5"/>
        </w:numPr>
        <w:spacing w:line="276" w:lineRule="auto"/>
        <w:ind w:left="1265" w:firstLineChars="0"/>
        <w:jc w:val="left"/>
        <w:textAlignment w:val="baseline"/>
        <w:rPr>
          <w:color w:val="EE0000"/>
          <w:szCs w:val="21"/>
        </w:rPr>
      </w:pPr>
      <w:r>
        <w:rPr>
          <w:color w:val="000000"/>
          <w:szCs w:val="21"/>
        </w:rPr>
        <w:t>腔体内径≥1.2m、</w:t>
      </w:r>
      <w:r>
        <w:rPr>
          <w:szCs w:val="21"/>
          <w:shd w:val="clear" w:color="auto" w:fill="FFFFFF"/>
        </w:rPr>
        <w:t>长度≥2.5m，设备除应满足本项目规定工况下的使用要求外，还应兼顾后续拓展使用需求，具备对腔体内部中心位置</w:t>
      </w:r>
      <w:r>
        <w:rPr>
          <w:rFonts w:hint="eastAsia"/>
          <w:szCs w:val="21"/>
          <w:shd w:val="clear" w:color="auto" w:fill="FFFFFF"/>
        </w:rPr>
        <w:t>200 g</w:t>
      </w:r>
      <w:r>
        <w:rPr>
          <w:szCs w:val="21"/>
          <w:shd w:val="clear" w:color="auto" w:fill="FFFFFF"/>
        </w:rPr>
        <w:t>典型含能材料完全激发所产生冲击载荷的安全防护能力。腔体壁厚及相关承载、防护结构尺寸不作固定数值限定，应由投标方/供货方根据上述载荷条件、设备结构形式、材料性能及安全裕量进行强度、稳定性和防护能力计算确定，并提供相应的设计计算书、必要的数值分析或验证依据。设备在上述设计载荷作用下不应发生贯穿破坏、整体失稳、连接失效或危及外部人员及周边设备安全的结构性破坏。</w:t>
      </w:r>
    </w:p>
    <w:p w14:paraId="50E53103">
      <w:pPr>
        <w:pStyle w:val="17"/>
        <w:widowControl/>
        <w:numPr>
          <w:ilvl w:val="0"/>
          <w:numId w:val="5"/>
        </w:numPr>
        <w:spacing w:line="276" w:lineRule="auto"/>
        <w:ind w:left="1265" w:firstLineChars="0"/>
        <w:jc w:val="left"/>
        <w:textAlignment w:val="baseline"/>
        <w:rPr>
          <w:szCs w:val="21"/>
          <w:shd w:val="clear" w:color="auto" w:fill="FFFFFF"/>
        </w:rPr>
      </w:pPr>
      <w:r>
        <w:rPr>
          <w:szCs w:val="21"/>
          <w:shd w:val="clear" w:color="auto" w:fill="FFFFFF"/>
        </w:rPr>
        <w:t>腔体选材：筒体主体拟采用</w:t>
      </w:r>
      <w:r>
        <w:rPr>
          <w:rFonts w:hint="eastAsia"/>
          <w:szCs w:val="21"/>
          <w:shd w:val="clear" w:color="auto" w:fill="FFFFFF"/>
        </w:rPr>
        <w:t>Q345R/16MnⅣ</w:t>
      </w:r>
      <w:r>
        <w:rPr>
          <w:szCs w:val="21"/>
          <w:shd w:val="clear" w:color="auto" w:fill="FFFFFF"/>
        </w:rPr>
        <w:t>，筒体和平盖锻件应符合NB/</w:t>
      </w:r>
      <w:r>
        <w:rPr>
          <w:rFonts w:hint="eastAsia"/>
          <w:szCs w:val="21"/>
          <w:shd w:val="clear" w:color="auto" w:fill="FFFFFF"/>
        </w:rPr>
        <w:t xml:space="preserve">T </w:t>
      </w:r>
      <w:r>
        <w:rPr>
          <w:szCs w:val="21"/>
          <w:shd w:val="clear" w:color="auto" w:fill="FFFFFF"/>
        </w:rPr>
        <w:t>47008-20</w:t>
      </w:r>
      <w:r>
        <w:rPr>
          <w:rFonts w:hint="eastAsia"/>
          <w:szCs w:val="21"/>
          <w:shd w:val="clear" w:color="auto" w:fill="FFFFFF"/>
        </w:rPr>
        <w:t>17</w:t>
      </w:r>
      <w:r>
        <w:rPr>
          <w:szCs w:val="21"/>
          <w:shd w:val="clear" w:color="auto" w:fill="FFFFFF"/>
        </w:rPr>
        <w:t>标准中Ⅳ级锻件规定。</w:t>
      </w:r>
    </w:p>
    <w:p w14:paraId="03962FF6">
      <w:pPr>
        <w:pStyle w:val="17"/>
        <w:widowControl/>
        <w:numPr>
          <w:ilvl w:val="0"/>
          <w:numId w:val="5"/>
        </w:numPr>
        <w:spacing w:line="276" w:lineRule="auto"/>
        <w:ind w:left="1265" w:firstLineChars="0"/>
        <w:jc w:val="left"/>
        <w:textAlignment w:val="baseline"/>
        <w:rPr>
          <w:color w:val="000000"/>
          <w:szCs w:val="21"/>
        </w:rPr>
      </w:pPr>
      <w:r>
        <w:rPr>
          <w:color w:val="000000"/>
          <w:szCs w:val="21"/>
        </w:rPr>
        <w:t>腔室内效应靶支撑平台，平台支撑面1m×0.5m，高度调节范围不小于0.2m，且配备轨道，能够在腔室内前后移动。</w:t>
      </w:r>
    </w:p>
    <w:p w14:paraId="33BAAB1D">
      <w:pPr>
        <w:pStyle w:val="17"/>
        <w:widowControl/>
        <w:numPr>
          <w:ilvl w:val="0"/>
          <w:numId w:val="5"/>
        </w:numPr>
        <w:spacing w:line="276" w:lineRule="auto"/>
        <w:ind w:left="1265" w:firstLineChars="0"/>
        <w:jc w:val="left"/>
        <w:textAlignment w:val="baseline"/>
        <w:rPr>
          <w:szCs w:val="21"/>
        </w:rPr>
      </w:pPr>
      <w:r>
        <w:rPr>
          <w:szCs w:val="21"/>
        </w:rPr>
        <w:t>腔室两侧开测试观察窗口：闪光X相机拍摄窗口1组，超高速摄像测试窗口1组</w:t>
      </w:r>
      <w:r>
        <w:rPr>
          <w:rFonts w:hint="eastAsia"/>
          <w:szCs w:val="21"/>
        </w:rPr>
        <w:t>；</w:t>
      </w:r>
      <w:r>
        <w:rPr>
          <w:szCs w:val="21"/>
        </w:rPr>
        <w:t>弹丸飞行姿态检测测试窗口1组，并配备电缆转接接口1个。</w:t>
      </w:r>
    </w:p>
    <w:p w14:paraId="1B433A99">
      <w:pPr>
        <w:pStyle w:val="17"/>
        <w:widowControl/>
        <w:numPr>
          <w:ilvl w:val="0"/>
          <w:numId w:val="5"/>
        </w:numPr>
        <w:spacing w:line="276" w:lineRule="auto"/>
        <w:ind w:left="1265" w:firstLineChars="0"/>
        <w:jc w:val="left"/>
        <w:textAlignment w:val="baseline"/>
        <w:rPr>
          <w:color w:val="000000"/>
          <w:szCs w:val="21"/>
        </w:rPr>
      </w:pPr>
      <w:r>
        <w:rPr>
          <w:color w:val="000000"/>
          <w:szCs w:val="21"/>
        </w:rPr>
        <w:t>腔体真空度：不大于1Pa。</w:t>
      </w:r>
    </w:p>
    <w:p w14:paraId="13C5927E">
      <w:pPr>
        <w:pStyle w:val="17"/>
        <w:widowControl/>
        <w:numPr>
          <w:ilvl w:val="0"/>
          <w:numId w:val="5"/>
        </w:numPr>
        <w:spacing w:line="276" w:lineRule="auto"/>
        <w:ind w:left="1265" w:firstLineChars="0"/>
        <w:jc w:val="left"/>
        <w:textAlignment w:val="baseline"/>
        <w:rPr>
          <w:color w:val="000000"/>
          <w:szCs w:val="21"/>
        </w:rPr>
      </w:pPr>
      <w:r>
        <w:rPr>
          <w:color w:val="000000"/>
          <w:szCs w:val="21"/>
        </w:rPr>
        <w:t>涂装、防腐按NB/T 10558-2021相关规定执行。</w:t>
      </w:r>
    </w:p>
    <w:p w14:paraId="1D9194E9">
      <w:pPr>
        <w:pStyle w:val="17"/>
        <w:widowControl/>
        <w:numPr>
          <w:ilvl w:val="0"/>
          <w:numId w:val="5"/>
        </w:numPr>
        <w:spacing w:line="276" w:lineRule="auto"/>
        <w:ind w:left="1265" w:firstLineChars="0"/>
        <w:jc w:val="left"/>
        <w:textAlignment w:val="baseline"/>
        <w:rPr>
          <w:szCs w:val="21"/>
        </w:rPr>
      </w:pPr>
      <w:r>
        <w:rPr>
          <w:szCs w:val="21"/>
        </w:rPr>
        <w:t>支撑系统需确保效应腔室轴心与</w:t>
      </w:r>
      <w:r>
        <w:rPr>
          <w:color w:val="000000"/>
          <w:szCs w:val="21"/>
        </w:rPr>
        <w:t>放电腔轴心高度相同，并在地面配备轨道，前后推动距离大于1m</w:t>
      </w:r>
      <w:r>
        <w:rPr>
          <w:szCs w:val="21"/>
        </w:rPr>
        <w:t>。</w:t>
      </w:r>
    </w:p>
    <w:p w14:paraId="34F14052">
      <w:pPr>
        <w:pStyle w:val="17"/>
        <w:widowControl/>
        <w:numPr>
          <w:ilvl w:val="0"/>
          <w:numId w:val="5"/>
        </w:numPr>
        <w:spacing w:line="276" w:lineRule="auto"/>
        <w:ind w:left="1265" w:firstLineChars="0"/>
        <w:jc w:val="left"/>
        <w:textAlignment w:val="baseline"/>
        <w:rPr>
          <w:szCs w:val="21"/>
        </w:rPr>
      </w:pPr>
      <w:r>
        <w:rPr>
          <w:szCs w:val="21"/>
        </w:rPr>
        <w:t>出具效应腔体主体使用安全计算书，</w:t>
      </w:r>
      <w:r>
        <w:rPr>
          <w:color w:val="000000"/>
          <w:szCs w:val="21"/>
        </w:rPr>
        <w:t>安全系数满足爆炸容器相关规范。</w:t>
      </w:r>
    </w:p>
    <w:p w14:paraId="750A7DC4">
      <w:pPr>
        <w:tabs>
          <w:tab w:val="left" w:pos="900"/>
        </w:tabs>
        <w:spacing w:before="156" w:beforeLines="50" w:line="276" w:lineRule="auto"/>
        <w:rPr>
          <w:b/>
          <w:szCs w:val="21"/>
        </w:rPr>
      </w:pPr>
      <w:r>
        <w:rPr>
          <w:b/>
          <w:szCs w:val="21"/>
        </w:rPr>
        <w:t>五、采购标的需满足的服务标准、期限、效率等要求</w:t>
      </w:r>
    </w:p>
    <w:p w14:paraId="2E87C137">
      <w:pPr>
        <w:numPr>
          <w:ilvl w:val="0"/>
          <w:numId w:val="6"/>
        </w:numPr>
        <w:tabs>
          <w:tab w:val="left" w:pos="900"/>
        </w:tabs>
        <w:spacing w:before="156" w:beforeLines="50" w:line="276" w:lineRule="auto"/>
        <w:rPr>
          <w:szCs w:val="21"/>
        </w:rPr>
      </w:pPr>
      <w:r>
        <w:rPr>
          <w:szCs w:val="21"/>
        </w:rPr>
        <w:t>质保期：</w:t>
      </w:r>
      <w:r>
        <w:rPr>
          <w:szCs w:val="21"/>
          <w:u w:val="single"/>
        </w:rPr>
        <w:t>3</w:t>
      </w:r>
      <w:r>
        <w:rPr>
          <w:szCs w:val="21"/>
        </w:rPr>
        <w:t>年，质保期内免费维保≥5次/年，免人工服务费。质保期满后，仍需提供专业维修服务，投标人在投标文件中需注明维修服务单项报价。</w:t>
      </w:r>
    </w:p>
    <w:p w14:paraId="290C1BF2">
      <w:pPr>
        <w:numPr>
          <w:ilvl w:val="0"/>
          <w:numId w:val="6"/>
        </w:numPr>
        <w:tabs>
          <w:tab w:val="left" w:pos="900"/>
        </w:tabs>
        <w:spacing w:before="156" w:beforeLines="50" w:line="276" w:lineRule="auto"/>
        <w:rPr>
          <w:szCs w:val="21"/>
        </w:rPr>
      </w:pPr>
      <w:r>
        <w:rPr>
          <w:szCs w:val="21"/>
        </w:rPr>
        <w:t>服务响应时间：接到维修电话后4小时内给予明确答复，8小时内到达现场维修。维修人员到现场后若问题特殊无法现场修复的，供货方需在24小时内给出合理解决方案。</w:t>
      </w:r>
    </w:p>
    <w:p w14:paraId="5098D8E5">
      <w:pPr>
        <w:pStyle w:val="17"/>
        <w:numPr>
          <w:ilvl w:val="0"/>
          <w:numId w:val="6"/>
        </w:numPr>
        <w:tabs>
          <w:tab w:val="left" w:pos="709"/>
        </w:tabs>
        <w:spacing w:line="276" w:lineRule="auto"/>
        <w:ind w:firstLineChars="0"/>
        <w:rPr>
          <w:b/>
          <w:szCs w:val="21"/>
        </w:rPr>
      </w:pPr>
      <w:r>
        <w:rPr>
          <w:szCs w:val="21"/>
        </w:rPr>
        <w:t>培训要求：提供培训电子资料及视频；供方免费为用户培训至少2名操作人员进行为期至少1天的现场操作培训以及应用培训，保证用户掌握有关设备的使用、维护、管理和应用等工作要求。不定期的免费提供相关设备应用方面的技术咨询等。</w:t>
      </w:r>
    </w:p>
    <w:p w14:paraId="12C5BC0F">
      <w:pPr>
        <w:tabs>
          <w:tab w:val="left" w:pos="420"/>
          <w:tab w:val="left" w:pos="900"/>
        </w:tabs>
        <w:spacing w:before="156" w:beforeLines="50" w:line="276" w:lineRule="auto"/>
        <w:rPr>
          <w:b/>
          <w:szCs w:val="21"/>
        </w:rPr>
      </w:pPr>
      <w:r>
        <w:rPr>
          <w:b/>
          <w:szCs w:val="21"/>
        </w:rPr>
        <w:t>六、采购标的的履约验收标准</w:t>
      </w:r>
    </w:p>
    <w:bookmarkEnd w:id="1"/>
    <w:bookmarkEnd w:id="2"/>
    <w:bookmarkEnd w:id="3"/>
    <w:tbl>
      <w:tblPr>
        <w:tblStyle w:val="8"/>
        <w:tblW w:w="860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6"/>
        <w:gridCol w:w="3507"/>
        <w:gridCol w:w="2254"/>
        <w:gridCol w:w="2114"/>
      </w:tblGrid>
      <w:tr w14:paraId="27349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8601" w:type="dxa"/>
            <w:gridSpan w:val="4"/>
            <w:vAlign w:val="center"/>
          </w:tcPr>
          <w:p w14:paraId="46CC5062">
            <w:pPr>
              <w:widowControl/>
              <w:spacing w:line="276" w:lineRule="auto"/>
              <w:jc w:val="center"/>
              <w:textAlignment w:val="baseline"/>
              <w:rPr>
                <w:color w:val="000000"/>
                <w:kern w:val="0"/>
                <w:szCs w:val="21"/>
              </w:rPr>
            </w:pPr>
            <w:r>
              <w:rPr>
                <w:color w:val="000000"/>
                <w:kern w:val="0"/>
                <w:szCs w:val="21"/>
              </w:rPr>
              <w:t>现场的检验指标及方法</w:t>
            </w:r>
          </w:p>
        </w:tc>
      </w:tr>
      <w:tr w14:paraId="3DD12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726" w:type="dxa"/>
            <w:vAlign w:val="center"/>
          </w:tcPr>
          <w:p w14:paraId="28904E7B">
            <w:pPr>
              <w:widowControl/>
              <w:spacing w:line="276" w:lineRule="auto"/>
              <w:jc w:val="center"/>
              <w:textAlignment w:val="baseline"/>
              <w:rPr>
                <w:color w:val="000000"/>
                <w:kern w:val="0"/>
                <w:szCs w:val="21"/>
              </w:rPr>
            </w:pPr>
            <w:r>
              <w:rPr>
                <w:color w:val="000000"/>
                <w:kern w:val="0"/>
                <w:szCs w:val="21"/>
              </w:rPr>
              <w:t>序号</w:t>
            </w:r>
          </w:p>
        </w:tc>
        <w:tc>
          <w:tcPr>
            <w:tcW w:w="3507" w:type="dxa"/>
            <w:vAlign w:val="center"/>
          </w:tcPr>
          <w:p w14:paraId="431F9D79">
            <w:pPr>
              <w:widowControl/>
              <w:spacing w:line="276" w:lineRule="auto"/>
              <w:jc w:val="center"/>
              <w:textAlignment w:val="baseline"/>
              <w:rPr>
                <w:color w:val="000000"/>
                <w:kern w:val="0"/>
                <w:szCs w:val="21"/>
              </w:rPr>
            </w:pPr>
            <w:r>
              <w:rPr>
                <w:color w:val="000000"/>
                <w:kern w:val="0"/>
                <w:szCs w:val="21"/>
              </w:rPr>
              <w:t>功能或指标</w:t>
            </w:r>
          </w:p>
        </w:tc>
        <w:tc>
          <w:tcPr>
            <w:tcW w:w="4368" w:type="dxa"/>
            <w:gridSpan w:val="2"/>
            <w:vAlign w:val="center"/>
          </w:tcPr>
          <w:p w14:paraId="2EE90E2A">
            <w:pPr>
              <w:widowControl/>
              <w:spacing w:line="276" w:lineRule="auto"/>
              <w:jc w:val="center"/>
              <w:textAlignment w:val="baseline"/>
              <w:rPr>
                <w:color w:val="000000"/>
                <w:kern w:val="0"/>
                <w:szCs w:val="21"/>
              </w:rPr>
            </w:pPr>
            <w:r>
              <w:rPr>
                <w:color w:val="000000"/>
                <w:kern w:val="0"/>
                <w:szCs w:val="21"/>
              </w:rPr>
              <w:t>验收或测试方法</w:t>
            </w:r>
          </w:p>
        </w:tc>
      </w:tr>
      <w:tr w14:paraId="6CE0D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01" w:type="dxa"/>
            <w:gridSpan w:val="4"/>
          </w:tcPr>
          <w:p w14:paraId="1BE9A162">
            <w:pPr>
              <w:widowControl/>
              <w:spacing w:line="276" w:lineRule="auto"/>
              <w:jc w:val="left"/>
              <w:textAlignment w:val="baseline"/>
              <w:rPr>
                <w:b/>
                <w:color w:val="000000"/>
                <w:kern w:val="0"/>
                <w:szCs w:val="21"/>
              </w:rPr>
            </w:pPr>
            <w:r>
              <w:rPr>
                <w:b/>
                <w:color w:val="000000"/>
                <w:kern w:val="0"/>
                <w:szCs w:val="21"/>
              </w:rPr>
              <w:t>项目建设单位验收要求：</w:t>
            </w:r>
          </w:p>
        </w:tc>
      </w:tr>
      <w:tr w14:paraId="542FF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tcPr>
          <w:p w14:paraId="0988765F">
            <w:pPr>
              <w:widowControl/>
              <w:spacing w:line="276" w:lineRule="auto"/>
              <w:jc w:val="center"/>
              <w:textAlignment w:val="baseline"/>
              <w:rPr>
                <w:color w:val="000000"/>
                <w:kern w:val="0"/>
                <w:szCs w:val="21"/>
              </w:rPr>
            </w:pPr>
            <w:r>
              <w:rPr>
                <w:color w:val="000000"/>
                <w:kern w:val="0"/>
                <w:szCs w:val="21"/>
              </w:rPr>
              <w:t>1</w:t>
            </w:r>
          </w:p>
        </w:tc>
        <w:tc>
          <w:tcPr>
            <w:tcW w:w="3507" w:type="dxa"/>
            <w:vAlign w:val="center"/>
          </w:tcPr>
          <w:p w14:paraId="5331E12B">
            <w:pPr>
              <w:widowControl/>
              <w:spacing w:line="276" w:lineRule="auto"/>
              <w:textAlignment w:val="baseline"/>
              <w:rPr>
                <w:color w:val="000000"/>
                <w:kern w:val="0"/>
                <w:szCs w:val="21"/>
              </w:rPr>
            </w:pPr>
            <w:r>
              <w:rPr>
                <w:color w:val="000000"/>
                <w:kern w:val="0"/>
                <w:szCs w:val="21"/>
              </w:rPr>
              <w:t>货物外包装与外观无损伤</w:t>
            </w:r>
          </w:p>
        </w:tc>
        <w:tc>
          <w:tcPr>
            <w:tcW w:w="4368" w:type="dxa"/>
            <w:gridSpan w:val="2"/>
            <w:vAlign w:val="center"/>
          </w:tcPr>
          <w:p w14:paraId="3B98137A">
            <w:pPr>
              <w:widowControl/>
              <w:spacing w:line="276" w:lineRule="auto"/>
              <w:jc w:val="left"/>
              <w:textAlignment w:val="baseline"/>
              <w:rPr>
                <w:color w:val="000000"/>
                <w:kern w:val="0"/>
                <w:szCs w:val="21"/>
              </w:rPr>
            </w:pPr>
            <w:r>
              <w:rPr>
                <w:color w:val="000000"/>
                <w:kern w:val="0"/>
                <w:szCs w:val="21"/>
              </w:rPr>
              <w:t>现场核查</w:t>
            </w:r>
          </w:p>
        </w:tc>
      </w:tr>
      <w:tr w14:paraId="783EDD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tcPr>
          <w:p w14:paraId="4EEB1D73">
            <w:pPr>
              <w:widowControl/>
              <w:spacing w:line="276" w:lineRule="auto"/>
              <w:jc w:val="center"/>
              <w:textAlignment w:val="baseline"/>
              <w:rPr>
                <w:color w:val="000000"/>
                <w:kern w:val="0"/>
                <w:szCs w:val="21"/>
              </w:rPr>
            </w:pPr>
            <w:r>
              <w:rPr>
                <w:color w:val="000000"/>
                <w:kern w:val="0"/>
                <w:szCs w:val="21"/>
              </w:rPr>
              <w:t>2</w:t>
            </w:r>
          </w:p>
        </w:tc>
        <w:tc>
          <w:tcPr>
            <w:tcW w:w="3507" w:type="dxa"/>
            <w:vAlign w:val="center"/>
          </w:tcPr>
          <w:p w14:paraId="2CD5A3B7">
            <w:pPr>
              <w:widowControl/>
              <w:spacing w:line="276" w:lineRule="auto"/>
              <w:textAlignment w:val="baseline"/>
              <w:rPr>
                <w:color w:val="000000"/>
                <w:kern w:val="0"/>
                <w:szCs w:val="21"/>
              </w:rPr>
            </w:pPr>
            <w:r>
              <w:rPr>
                <w:color w:val="000000"/>
                <w:kern w:val="0"/>
                <w:szCs w:val="21"/>
              </w:rPr>
              <w:t>货物配置、包括备品备件、耗品耗材等提供齐全，货物实物品牌、规格、型号、配置数量与采购结果、合同约定相符。</w:t>
            </w:r>
          </w:p>
        </w:tc>
        <w:tc>
          <w:tcPr>
            <w:tcW w:w="4368" w:type="dxa"/>
            <w:gridSpan w:val="2"/>
            <w:vAlign w:val="center"/>
          </w:tcPr>
          <w:p w14:paraId="1AF65C47">
            <w:pPr>
              <w:widowControl/>
              <w:spacing w:line="276" w:lineRule="auto"/>
              <w:textAlignment w:val="baseline"/>
              <w:rPr>
                <w:color w:val="000000"/>
                <w:kern w:val="0"/>
                <w:szCs w:val="21"/>
              </w:rPr>
            </w:pPr>
            <w:r>
              <w:rPr>
                <w:color w:val="000000"/>
                <w:kern w:val="0"/>
                <w:szCs w:val="21"/>
              </w:rPr>
              <w:t>依据《合同》及其附件（包括但不限于《采购需求》《供应商投标（响应）文件》《投标澄清函》《技术协议》等）约定，现场核查。</w:t>
            </w:r>
          </w:p>
        </w:tc>
      </w:tr>
      <w:tr w14:paraId="1F28F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tcPr>
          <w:p w14:paraId="1EC4127A">
            <w:pPr>
              <w:widowControl/>
              <w:spacing w:line="276" w:lineRule="auto"/>
              <w:jc w:val="center"/>
              <w:textAlignment w:val="baseline"/>
              <w:rPr>
                <w:color w:val="000000"/>
                <w:kern w:val="0"/>
                <w:szCs w:val="21"/>
              </w:rPr>
            </w:pPr>
            <w:r>
              <w:rPr>
                <w:color w:val="000000"/>
                <w:kern w:val="0"/>
                <w:szCs w:val="21"/>
              </w:rPr>
              <w:t>3</w:t>
            </w:r>
          </w:p>
        </w:tc>
        <w:tc>
          <w:tcPr>
            <w:tcW w:w="3507" w:type="dxa"/>
            <w:vAlign w:val="center"/>
          </w:tcPr>
          <w:p w14:paraId="630594C8">
            <w:pPr>
              <w:widowControl/>
              <w:spacing w:line="276" w:lineRule="auto"/>
              <w:textAlignment w:val="baseline"/>
              <w:rPr>
                <w:color w:val="000000" w:themeColor="text1"/>
                <w:kern w:val="0"/>
                <w:szCs w:val="21"/>
                <w14:textFill>
                  <w14:solidFill>
                    <w14:schemeClr w14:val="tx1"/>
                  </w14:solidFill>
                </w14:textFill>
              </w:rPr>
            </w:pPr>
            <w:r>
              <w:rPr>
                <w:color w:val="000000"/>
                <w:kern w:val="0"/>
                <w:szCs w:val="21"/>
              </w:rPr>
              <w:t>所有功能和指标参数（包括边界极限值）达到采购结果合同约定要求。</w:t>
            </w:r>
          </w:p>
        </w:tc>
        <w:tc>
          <w:tcPr>
            <w:tcW w:w="4368" w:type="dxa"/>
            <w:gridSpan w:val="2"/>
            <w:vAlign w:val="center"/>
          </w:tcPr>
          <w:p w14:paraId="68299AEA">
            <w:pPr>
              <w:spacing w:line="276" w:lineRule="auto"/>
              <w:rPr>
                <w:kern w:val="0"/>
                <w:szCs w:val="21"/>
              </w:rPr>
            </w:pPr>
            <w:r>
              <w:rPr>
                <w:color w:val="000000"/>
                <w:kern w:val="0"/>
                <w:szCs w:val="21"/>
              </w:rPr>
              <w:t>依据《合同》及其附件（包括但不限于《采购需求》《供应商投标（响应）文件》《投标澄清函》《技术协议》等）约定，现场测试，供应商应提供《产品出厂检测报告》《产品合格证书》和根据合同约定提供《第三方检测报告》。</w:t>
            </w:r>
          </w:p>
        </w:tc>
      </w:tr>
      <w:tr w14:paraId="0F450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tcPr>
          <w:p w14:paraId="0092E124">
            <w:pPr>
              <w:widowControl/>
              <w:spacing w:line="276" w:lineRule="auto"/>
              <w:jc w:val="center"/>
              <w:textAlignment w:val="baseline"/>
              <w:rPr>
                <w:color w:val="000000"/>
                <w:kern w:val="0"/>
                <w:szCs w:val="21"/>
              </w:rPr>
            </w:pPr>
            <w:r>
              <w:rPr>
                <w:color w:val="000000"/>
                <w:kern w:val="0"/>
                <w:szCs w:val="21"/>
              </w:rPr>
              <w:t>4</w:t>
            </w:r>
          </w:p>
        </w:tc>
        <w:tc>
          <w:tcPr>
            <w:tcW w:w="3507" w:type="dxa"/>
            <w:vAlign w:val="center"/>
          </w:tcPr>
          <w:p w14:paraId="1DD3E00C">
            <w:pPr>
              <w:widowControl/>
              <w:spacing w:line="276" w:lineRule="auto"/>
              <w:textAlignment w:val="baseline"/>
              <w:rPr>
                <w:color w:val="000000"/>
                <w:kern w:val="0"/>
                <w:szCs w:val="21"/>
              </w:rPr>
            </w:pPr>
            <w:r>
              <w:rPr>
                <w:color w:val="000000"/>
                <w:kern w:val="0"/>
                <w:szCs w:val="21"/>
              </w:rPr>
              <w:t>提供《培训视频》影像资料</w:t>
            </w:r>
          </w:p>
        </w:tc>
        <w:tc>
          <w:tcPr>
            <w:tcW w:w="4368" w:type="dxa"/>
            <w:gridSpan w:val="2"/>
            <w:vAlign w:val="center"/>
          </w:tcPr>
          <w:p w14:paraId="6446E827">
            <w:pPr>
              <w:widowControl/>
              <w:spacing w:line="276" w:lineRule="auto"/>
              <w:textAlignment w:val="baseline"/>
              <w:rPr>
                <w:color w:val="000000"/>
                <w:kern w:val="0"/>
                <w:szCs w:val="21"/>
              </w:rPr>
            </w:pPr>
            <w:r>
              <w:rPr>
                <w:color w:val="000000"/>
                <w:kern w:val="0"/>
                <w:szCs w:val="21"/>
              </w:rPr>
              <w:t>现场核查</w:t>
            </w:r>
          </w:p>
        </w:tc>
      </w:tr>
      <w:tr w14:paraId="583CA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tcPr>
          <w:p w14:paraId="65A66FF2">
            <w:pPr>
              <w:widowControl/>
              <w:spacing w:line="276" w:lineRule="auto"/>
              <w:jc w:val="center"/>
              <w:textAlignment w:val="baseline"/>
              <w:rPr>
                <w:color w:val="000000"/>
                <w:kern w:val="0"/>
                <w:szCs w:val="21"/>
              </w:rPr>
            </w:pPr>
            <w:r>
              <w:rPr>
                <w:color w:val="000000"/>
                <w:kern w:val="0"/>
                <w:szCs w:val="21"/>
              </w:rPr>
              <w:t>5</w:t>
            </w:r>
          </w:p>
        </w:tc>
        <w:tc>
          <w:tcPr>
            <w:tcW w:w="3507" w:type="dxa"/>
            <w:vAlign w:val="center"/>
          </w:tcPr>
          <w:p w14:paraId="3D217F71">
            <w:pPr>
              <w:widowControl/>
              <w:spacing w:line="276" w:lineRule="auto"/>
              <w:textAlignment w:val="baseline"/>
              <w:rPr>
                <w:color w:val="000000" w:themeColor="text1"/>
                <w:kern w:val="0"/>
                <w:szCs w:val="21"/>
                <w14:textFill>
                  <w14:solidFill>
                    <w14:schemeClr w14:val="tx1"/>
                  </w14:solidFill>
                </w14:textFill>
              </w:rPr>
            </w:pPr>
            <w:r>
              <w:rPr>
                <w:color w:val="000000"/>
                <w:kern w:val="0"/>
                <w:szCs w:val="21"/>
              </w:rPr>
              <w:t>验证测试设备的运行稳定性</w:t>
            </w:r>
          </w:p>
        </w:tc>
        <w:tc>
          <w:tcPr>
            <w:tcW w:w="4368" w:type="dxa"/>
            <w:gridSpan w:val="2"/>
            <w:vAlign w:val="center"/>
          </w:tcPr>
          <w:p w14:paraId="4922D470">
            <w:pPr>
              <w:widowControl/>
              <w:spacing w:line="276" w:lineRule="auto"/>
              <w:textAlignment w:val="baseline"/>
              <w:rPr>
                <w:color w:val="000000"/>
                <w:kern w:val="0"/>
                <w:szCs w:val="21"/>
              </w:rPr>
            </w:pPr>
            <w:r>
              <w:rPr>
                <w:color w:val="000000"/>
                <w:kern w:val="0"/>
                <w:szCs w:val="21"/>
              </w:rPr>
              <w:t>试运行验证测试设备运行稳定达标</w:t>
            </w:r>
          </w:p>
        </w:tc>
      </w:tr>
      <w:tr w14:paraId="16984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tcPr>
          <w:p w14:paraId="296B9F1D">
            <w:pPr>
              <w:widowControl/>
              <w:spacing w:line="276" w:lineRule="auto"/>
              <w:jc w:val="center"/>
              <w:textAlignment w:val="baseline"/>
              <w:rPr>
                <w:color w:val="000000"/>
                <w:kern w:val="0"/>
                <w:szCs w:val="21"/>
              </w:rPr>
            </w:pPr>
            <w:r>
              <w:rPr>
                <w:color w:val="000000"/>
                <w:kern w:val="0"/>
                <w:szCs w:val="21"/>
              </w:rPr>
              <w:t>6</w:t>
            </w:r>
          </w:p>
        </w:tc>
        <w:tc>
          <w:tcPr>
            <w:tcW w:w="7875" w:type="dxa"/>
            <w:gridSpan w:val="3"/>
            <w:vAlign w:val="center"/>
          </w:tcPr>
          <w:p w14:paraId="20C3E797">
            <w:pPr>
              <w:widowControl/>
              <w:spacing w:line="276" w:lineRule="auto"/>
              <w:textAlignment w:val="baseline"/>
              <w:rPr>
                <w:color w:val="000000"/>
                <w:kern w:val="0"/>
                <w:szCs w:val="21"/>
              </w:rPr>
            </w:pPr>
            <w:r>
              <w:rPr>
                <w:color w:val="000000"/>
                <w:kern w:val="0"/>
                <w:szCs w:val="21"/>
              </w:rPr>
              <w:t>《供应商货物类项目完工报告》《项目建设单位货物类项目完工自验收报告》《项目建设单位货物类项目完工自验收报告》《第三方检测报告》等与验收相关的材料由项目建设单位妥善保管存档。</w:t>
            </w:r>
          </w:p>
        </w:tc>
      </w:tr>
      <w:tr w14:paraId="70FA6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01" w:type="dxa"/>
            <w:gridSpan w:val="4"/>
          </w:tcPr>
          <w:p w14:paraId="6BDBF95D">
            <w:pPr>
              <w:widowControl/>
              <w:spacing w:line="276" w:lineRule="auto"/>
              <w:jc w:val="left"/>
              <w:textAlignment w:val="baseline"/>
              <w:rPr>
                <w:color w:val="000000"/>
                <w:kern w:val="0"/>
                <w:szCs w:val="21"/>
              </w:rPr>
            </w:pPr>
            <w:r>
              <w:rPr>
                <w:b/>
                <w:color w:val="000000"/>
                <w:kern w:val="0"/>
                <w:szCs w:val="21"/>
              </w:rPr>
              <w:t>学校验收复核要求：</w:t>
            </w:r>
          </w:p>
        </w:tc>
      </w:tr>
      <w:tr w14:paraId="1A4CC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tcPr>
          <w:p w14:paraId="506E762D">
            <w:pPr>
              <w:widowControl/>
              <w:spacing w:line="276" w:lineRule="auto"/>
              <w:jc w:val="center"/>
              <w:textAlignment w:val="baseline"/>
              <w:rPr>
                <w:color w:val="000000"/>
                <w:kern w:val="0"/>
                <w:szCs w:val="21"/>
              </w:rPr>
            </w:pPr>
            <w:r>
              <w:rPr>
                <w:color w:val="000000"/>
                <w:kern w:val="0"/>
                <w:szCs w:val="21"/>
              </w:rPr>
              <w:t>1</w:t>
            </w:r>
          </w:p>
        </w:tc>
        <w:tc>
          <w:tcPr>
            <w:tcW w:w="7875" w:type="dxa"/>
            <w:gridSpan w:val="3"/>
            <w:vAlign w:val="center"/>
          </w:tcPr>
          <w:p w14:paraId="38B8882C">
            <w:pPr>
              <w:widowControl/>
              <w:spacing w:line="276" w:lineRule="auto"/>
              <w:textAlignment w:val="baseline"/>
              <w:rPr>
                <w:color w:val="000000"/>
                <w:kern w:val="0"/>
                <w:szCs w:val="21"/>
              </w:rPr>
            </w:pPr>
            <w:r>
              <w:rPr>
                <w:color w:val="000000"/>
                <w:kern w:val="0"/>
                <w:szCs w:val="21"/>
              </w:rPr>
              <w:t>项目建设单位填写《学校采购货物类项目验收复核申请表》</w:t>
            </w:r>
          </w:p>
        </w:tc>
      </w:tr>
      <w:tr w14:paraId="3B4404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tcPr>
          <w:p w14:paraId="0DBE0E53">
            <w:pPr>
              <w:widowControl/>
              <w:spacing w:line="276" w:lineRule="auto"/>
              <w:jc w:val="center"/>
              <w:textAlignment w:val="baseline"/>
              <w:rPr>
                <w:color w:val="000000"/>
                <w:kern w:val="0"/>
                <w:szCs w:val="21"/>
              </w:rPr>
            </w:pPr>
            <w:r>
              <w:rPr>
                <w:color w:val="000000"/>
                <w:kern w:val="0"/>
                <w:szCs w:val="21"/>
              </w:rPr>
              <w:t>2</w:t>
            </w:r>
          </w:p>
        </w:tc>
        <w:tc>
          <w:tcPr>
            <w:tcW w:w="7875" w:type="dxa"/>
            <w:gridSpan w:val="3"/>
            <w:vAlign w:val="center"/>
          </w:tcPr>
          <w:p w14:paraId="4F383B33">
            <w:pPr>
              <w:widowControl/>
              <w:spacing w:line="276" w:lineRule="auto"/>
              <w:textAlignment w:val="baseline"/>
              <w:rPr>
                <w:color w:val="000000"/>
                <w:kern w:val="0"/>
                <w:szCs w:val="21"/>
              </w:rPr>
            </w:pPr>
            <w:r>
              <w:rPr>
                <w:color w:val="000000"/>
                <w:kern w:val="0"/>
                <w:szCs w:val="21"/>
              </w:rPr>
              <w:t>提供《供应商货物类项目完工报告》</w:t>
            </w:r>
          </w:p>
        </w:tc>
      </w:tr>
      <w:tr w14:paraId="143CC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tcPr>
          <w:p w14:paraId="3B6B58FD">
            <w:pPr>
              <w:widowControl/>
              <w:spacing w:line="276" w:lineRule="auto"/>
              <w:jc w:val="center"/>
              <w:textAlignment w:val="baseline"/>
              <w:rPr>
                <w:color w:val="000000"/>
                <w:kern w:val="0"/>
                <w:szCs w:val="21"/>
              </w:rPr>
            </w:pPr>
            <w:r>
              <w:rPr>
                <w:color w:val="000000"/>
                <w:kern w:val="0"/>
                <w:szCs w:val="21"/>
              </w:rPr>
              <w:t>3</w:t>
            </w:r>
          </w:p>
        </w:tc>
        <w:tc>
          <w:tcPr>
            <w:tcW w:w="7875" w:type="dxa"/>
            <w:gridSpan w:val="3"/>
            <w:vAlign w:val="center"/>
          </w:tcPr>
          <w:p w14:paraId="2041B801">
            <w:pPr>
              <w:widowControl/>
              <w:spacing w:line="276" w:lineRule="auto"/>
              <w:textAlignment w:val="baseline"/>
              <w:rPr>
                <w:color w:val="000000"/>
                <w:kern w:val="0"/>
                <w:szCs w:val="21"/>
              </w:rPr>
            </w:pPr>
            <w:r>
              <w:rPr>
                <w:color w:val="000000"/>
                <w:kern w:val="0"/>
                <w:szCs w:val="21"/>
              </w:rPr>
              <w:t>提供《项目建设单位货物类项目完工自验收报告》</w:t>
            </w:r>
          </w:p>
        </w:tc>
      </w:tr>
      <w:tr w14:paraId="751EC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tcPr>
          <w:p w14:paraId="7B8D0816">
            <w:pPr>
              <w:widowControl/>
              <w:spacing w:line="276" w:lineRule="auto"/>
              <w:jc w:val="center"/>
              <w:textAlignment w:val="baseline"/>
              <w:rPr>
                <w:color w:val="000000"/>
                <w:kern w:val="0"/>
                <w:szCs w:val="21"/>
              </w:rPr>
            </w:pPr>
            <w:r>
              <w:rPr>
                <w:color w:val="000000"/>
                <w:kern w:val="0"/>
                <w:szCs w:val="21"/>
              </w:rPr>
              <w:t>4</w:t>
            </w:r>
          </w:p>
        </w:tc>
        <w:tc>
          <w:tcPr>
            <w:tcW w:w="7875" w:type="dxa"/>
            <w:gridSpan w:val="3"/>
            <w:vAlign w:val="center"/>
          </w:tcPr>
          <w:p w14:paraId="6C7C3C36">
            <w:pPr>
              <w:widowControl/>
              <w:spacing w:line="276" w:lineRule="auto"/>
              <w:textAlignment w:val="baseline"/>
              <w:rPr>
                <w:color w:val="000000"/>
                <w:kern w:val="0"/>
                <w:szCs w:val="21"/>
              </w:rPr>
            </w:pPr>
            <w:r>
              <w:rPr>
                <w:color w:val="000000"/>
                <w:kern w:val="0"/>
                <w:szCs w:val="21"/>
              </w:rPr>
              <w:t>学校组织验收专家组现场复核供应商与项目建设单位货物到货完工验收完成情况</w:t>
            </w:r>
          </w:p>
        </w:tc>
      </w:tr>
      <w:tr w14:paraId="703B5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4233" w:type="dxa"/>
            <w:gridSpan w:val="2"/>
            <w:vAlign w:val="center"/>
          </w:tcPr>
          <w:p w14:paraId="38A47440">
            <w:pPr>
              <w:widowControl/>
              <w:spacing w:line="276" w:lineRule="auto"/>
              <w:textAlignment w:val="baseline"/>
              <w:rPr>
                <w:color w:val="000000"/>
                <w:kern w:val="0"/>
                <w:szCs w:val="21"/>
              </w:rPr>
            </w:pPr>
            <w:r>
              <w:rPr>
                <w:color w:val="000000"/>
                <w:kern w:val="0"/>
                <w:szCs w:val="21"/>
              </w:rPr>
              <w:t>验收时是否需要供应商提供样品</w:t>
            </w:r>
          </w:p>
        </w:tc>
        <w:tc>
          <w:tcPr>
            <w:tcW w:w="2254" w:type="dxa"/>
            <w:vAlign w:val="center"/>
          </w:tcPr>
          <w:p w14:paraId="180C8A01">
            <w:pPr>
              <w:widowControl/>
              <w:spacing w:line="276" w:lineRule="auto"/>
              <w:textAlignment w:val="baseline"/>
              <w:rPr>
                <w:color w:val="000000"/>
                <w:kern w:val="0"/>
                <w:szCs w:val="21"/>
              </w:rPr>
            </w:pPr>
            <w:r>
              <w:rPr>
                <w:color w:val="000000"/>
                <w:kern w:val="0"/>
                <w:szCs w:val="21"/>
              </w:rPr>
              <w:t>是</w:t>
            </w:r>
            <w:r>
              <w:rPr>
                <w:rFonts w:ascii="Segoe UI Symbol" w:hAnsi="Segoe UI Symbol" w:cs="Segoe UI Symbol"/>
                <w:color w:val="000000"/>
                <w:kern w:val="0"/>
                <w:szCs w:val="21"/>
              </w:rPr>
              <w:t>☑</w:t>
            </w:r>
          </w:p>
        </w:tc>
        <w:tc>
          <w:tcPr>
            <w:tcW w:w="2114" w:type="dxa"/>
            <w:vAlign w:val="center"/>
          </w:tcPr>
          <w:p w14:paraId="3416F82B">
            <w:pPr>
              <w:widowControl/>
              <w:spacing w:line="276" w:lineRule="auto"/>
              <w:textAlignment w:val="baseline"/>
              <w:rPr>
                <w:color w:val="000000"/>
                <w:kern w:val="0"/>
                <w:szCs w:val="21"/>
              </w:rPr>
            </w:pPr>
            <w:r>
              <w:rPr>
                <w:color w:val="000000"/>
                <w:kern w:val="0"/>
                <w:szCs w:val="21"/>
              </w:rPr>
              <w:t>否□</w:t>
            </w:r>
          </w:p>
        </w:tc>
      </w:tr>
      <w:tr w14:paraId="5F243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4233" w:type="dxa"/>
            <w:gridSpan w:val="2"/>
            <w:vAlign w:val="center"/>
          </w:tcPr>
          <w:p w14:paraId="30BCBF0B">
            <w:pPr>
              <w:widowControl/>
              <w:spacing w:line="276" w:lineRule="auto"/>
              <w:textAlignment w:val="baseline"/>
              <w:rPr>
                <w:color w:val="000000"/>
                <w:kern w:val="0"/>
                <w:szCs w:val="21"/>
              </w:rPr>
            </w:pPr>
            <w:r>
              <w:rPr>
                <w:color w:val="000000"/>
                <w:kern w:val="0"/>
                <w:szCs w:val="21"/>
              </w:rPr>
              <w:t>验收时是否需供应商提供必要的其他设备</w:t>
            </w:r>
          </w:p>
        </w:tc>
        <w:tc>
          <w:tcPr>
            <w:tcW w:w="2254" w:type="dxa"/>
            <w:vAlign w:val="center"/>
          </w:tcPr>
          <w:p w14:paraId="53F9C4DD">
            <w:pPr>
              <w:widowControl/>
              <w:spacing w:line="276" w:lineRule="auto"/>
              <w:textAlignment w:val="baseline"/>
              <w:rPr>
                <w:color w:val="000000"/>
                <w:kern w:val="0"/>
                <w:szCs w:val="21"/>
              </w:rPr>
            </w:pPr>
            <w:r>
              <w:rPr>
                <w:color w:val="000000"/>
                <w:kern w:val="0"/>
                <w:szCs w:val="21"/>
              </w:rPr>
              <w:t>是</w:t>
            </w:r>
            <w:r>
              <w:rPr>
                <w:rFonts w:ascii="Segoe UI Symbol" w:hAnsi="Segoe UI Symbol" w:cs="Segoe UI Symbol"/>
                <w:color w:val="000000"/>
                <w:kern w:val="0"/>
                <w:szCs w:val="21"/>
              </w:rPr>
              <w:t>☑</w:t>
            </w:r>
          </w:p>
        </w:tc>
        <w:tc>
          <w:tcPr>
            <w:tcW w:w="2114" w:type="dxa"/>
            <w:vAlign w:val="center"/>
          </w:tcPr>
          <w:p w14:paraId="30023125">
            <w:pPr>
              <w:widowControl/>
              <w:spacing w:line="276" w:lineRule="auto"/>
              <w:textAlignment w:val="baseline"/>
              <w:rPr>
                <w:color w:val="000000"/>
                <w:kern w:val="0"/>
                <w:szCs w:val="21"/>
              </w:rPr>
            </w:pPr>
            <w:r>
              <w:rPr>
                <w:color w:val="000000"/>
                <w:kern w:val="0"/>
                <w:szCs w:val="21"/>
              </w:rPr>
              <w:t>否□</w:t>
            </w:r>
          </w:p>
        </w:tc>
      </w:tr>
      <w:tr w14:paraId="340A1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601" w:type="dxa"/>
            <w:gridSpan w:val="4"/>
            <w:vAlign w:val="center"/>
          </w:tcPr>
          <w:p w14:paraId="0A6A88AD">
            <w:pPr>
              <w:widowControl/>
              <w:spacing w:line="276" w:lineRule="auto"/>
              <w:textAlignment w:val="baseline"/>
              <w:rPr>
                <w:color w:val="000000"/>
                <w:kern w:val="0"/>
                <w:szCs w:val="21"/>
              </w:rPr>
            </w:pPr>
            <w:r>
              <w:rPr>
                <w:color w:val="000000"/>
                <w:kern w:val="0"/>
                <w:szCs w:val="21"/>
              </w:rPr>
              <w:t>除现场验收外，需提供的其他验收要求</w:t>
            </w:r>
          </w:p>
        </w:tc>
      </w:tr>
      <w:tr w14:paraId="0F890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4233" w:type="dxa"/>
            <w:gridSpan w:val="2"/>
            <w:vAlign w:val="center"/>
          </w:tcPr>
          <w:p w14:paraId="01F3928D">
            <w:pPr>
              <w:widowControl/>
              <w:spacing w:line="276" w:lineRule="auto"/>
              <w:textAlignment w:val="baseline"/>
              <w:rPr>
                <w:color w:val="000000"/>
                <w:kern w:val="0"/>
                <w:szCs w:val="21"/>
              </w:rPr>
            </w:pPr>
            <w:r>
              <w:rPr>
                <w:color w:val="000000"/>
                <w:kern w:val="0"/>
                <w:szCs w:val="21"/>
              </w:rPr>
              <w:t>除现场验收外，是</w:t>
            </w:r>
            <w:r>
              <w:rPr>
                <w:rFonts w:ascii="Segoe UI Symbol" w:hAnsi="Segoe UI Symbol" w:cs="Segoe UI Symbol"/>
                <w:color w:val="000000"/>
                <w:kern w:val="0"/>
                <w:szCs w:val="21"/>
              </w:rPr>
              <w:t>☑</w:t>
            </w:r>
            <w:r>
              <w:rPr>
                <w:color w:val="000000"/>
                <w:kern w:val="0"/>
                <w:szCs w:val="21"/>
              </w:rPr>
              <w:t>否□需提供第三方检测报告</w:t>
            </w:r>
          </w:p>
          <w:p w14:paraId="7849D15C">
            <w:pPr>
              <w:widowControl/>
              <w:spacing w:line="276" w:lineRule="auto"/>
              <w:textAlignment w:val="baseline"/>
              <w:rPr>
                <w:color w:val="000000"/>
                <w:kern w:val="0"/>
                <w:szCs w:val="21"/>
              </w:rPr>
            </w:pPr>
          </w:p>
        </w:tc>
        <w:tc>
          <w:tcPr>
            <w:tcW w:w="4368" w:type="dxa"/>
            <w:gridSpan w:val="2"/>
            <w:vAlign w:val="center"/>
          </w:tcPr>
          <w:p w14:paraId="42F1A1B9">
            <w:pPr>
              <w:widowControl/>
              <w:spacing w:line="276" w:lineRule="auto"/>
              <w:textAlignment w:val="baseline"/>
              <w:rPr>
                <w:color w:val="000000"/>
                <w:kern w:val="0"/>
                <w:szCs w:val="21"/>
              </w:rPr>
            </w:pPr>
            <w:r>
              <w:rPr>
                <w:color w:val="000000"/>
                <w:kern w:val="0"/>
                <w:szCs w:val="21"/>
              </w:rPr>
              <w:t>对于检测机构的要求：国家正规检测机构，出具的检测报告由验收复核专家认可之后作为验收复核通过的主要依据。</w:t>
            </w:r>
          </w:p>
          <w:p w14:paraId="4AD604F5">
            <w:pPr>
              <w:widowControl/>
              <w:spacing w:line="276" w:lineRule="auto"/>
              <w:textAlignment w:val="baseline"/>
              <w:rPr>
                <w:color w:val="000000"/>
                <w:kern w:val="0"/>
                <w:szCs w:val="21"/>
              </w:rPr>
            </w:pPr>
            <w:r>
              <w:rPr>
                <w:color w:val="000000"/>
                <w:kern w:val="0"/>
                <w:szCs w:val="21"/>
              </w:rPr>
              <w:t>对于检测执行标准的要求：各项检测项目标准以检测机构按照行业相关要求最新适用并执行的标准为准。</w:t>
            </w:r>
          </w:p>
        </w:tc>
      </w:tr>
    </w:tbl>
    <w:p w14:paraId="15FECA7B">
      <w:pPr>
        <w:spacing w:line="276" w:lineRule="auto"/>
        <w:rPr>
          <w:szCs w:val="21"/>
        </w:rPr>
      </w:pPr>
    </w:p>
    <w:sectPr>
      <w:footerReference r:id="rId3"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Wingdings 2">
    <w:panose1 w:val="05020102010507070707"/>
    <w:charset w:val="02"/>
    <w:family w:val="roman"/>
    <w:pitch w:val="default"/>
    <w:sig w:usb0="00000000" w:usb1="00000000" w:usb2="00000000" w:usb3="00000000" w:csb0="80000000" w:csb1="00000000"/>
  </w:font>
  <w:font w:name="Segoe UI Symbol">
    <w:panose1 w:val="020B0502040204020203"/>
    <w:charset w:val="00"/>
    <w:family w:val="swiss"/>
    <w:pitch w:val="default"/>
    <w:sig w:usb0="800001E3" w:usb1="1200FFEF" w:usb2="00040000" w:usb3="04000000" w:csb0="00000001" w:csb1="4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DFD861">
    <w:pPr>
      <w:pStyle w:val="4"/>
      <w:jc w:val="center"/>
    </w:pPr>
    <w:r>
      <w:fldChar w:fldCharType="begin"/>
    </w:r>
    <w:r>
      <w:instrText xml:space="preserve">PAGE   \* MERGEFORMAT</w:instrText>
    </w:r>
    <w:r>
      <w:fldChar w:fldCharType="separate"/>
    </w:r>
    <w:r>
      <w:rPr>
        <w:lang w:val="zh-CN"/>
      </w:rPr>
      <w:t>2</w:t>
    </w:r>
    <w:r>
      <w:fldChar w:fldCharType="end"/>
    </w:r>
  </w:p>
  <w:p w14:paraId="417CEF88">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DE5B1D"/>
    <w:multiLevelType w:val="singleLevel"/>
    <w:tmpl w:val="80DE5B1D"/>
    <w:lvl w:ilvl="0" w:tentative="0">
      <w:start w:val="1"/>
      <w:numFmt w:val="decimal"/>
      <w:lvlText w:val="(%1)"/>
      <w:lvlJc w:val="left"/>
      <w:pPr>
        <w:ind w:left="425" w:hanging="425"/>
      </w:pPr>
      <w:rPr>
        <w:rFonts w:hint="default"/>
      </w:rPr>
    </w:lvl>
  </w:abstractNum>
  <w:abstractNum w:abstractNumId="1">
    <w:nsid w:val="B15C5413"/>
    <w:multiLevelType w:val="singleLevel"/>
    <w:tmpl w:val="B15C5413"/>
    <w:lvl w:ilvl="0" w:tentative="0">
      <w:start w:val="1"/>
      <w:numFmt w:val="decimal"/>
      <w:lvlText w:val="(%1)"/>
      <w:lvlJc w:val="left"/>
      <w:pPr>
        <w:ind w:left="1265" w:hanging="425"/>
      </w:pPr>
      <w:rPr>
        <w:rFonts w:hint="default"/>
      </w:rPr>
    </w:lvl>
  </w:abstractNum>
  <w:abstractNum w:abstractNumId="2">
    <w:nsid w:val="BBC91F3C"/>
    <w:multiLevelType w:val="singleLevel"/>
    <w:tmpl w:val="BBC91F3C"/>
    <w:lvl w:ilvl="0" w:tentative="0">
      <w:start w:val="1"/>
      <w:numFmt w:val="decimal"/>
      <w:lvlText w:val="(%1)"/>
      <w:lvlJc w:val="left"/>
      <w:pPr>
        <w:ind w:left="1265" w:hanging="425"/>
      </w:pPr>
      <w:rPr>
        <w:rFonts w:hint="default"/>
        <w:color w:val="auto"/>
      </w:rPr>
    </w:lvl>
  </w:abstractNum>
  <w:abstractNum w:abstractNumId="3">
    <w:nsid w:val="F4F66EBE"/>
    <w:multiLevelType w:val="singleLevel"/>
    <w:tmpl w:val="F4F66EBE"/>
    <w:lvl w:ilvl="0" w:tentative="0">
      <w:start w:val="1"/>
      <w:numFmt w:val="chineseCounting"/>
      <w:suff w:val="nothing"/>
      <w:lvlText w:val="（%1）"/>
      <w:lvlJc w:val="left"/>
      <w:pPr>
        <w:ind w:left="-420" w:firstLine="420"/>
      </w:pPr>
      <w:rPr>
        <w:rFonts w:hint="eastAsia"/>
      </w:rPr>
    </w:lvl>
  </w:abstractNum>
  <w:abstractNum w:abstractNumId="4">
    <w:nsid w:val="F73F7099"/>
    <w:multiLevelType w:val="singleLevel"/>
    <w:tmpl w:val="F73F7099"/>
    <w:lvl w:ilvl="0" w:tentative="0">
      <w:start w:val="1"/>
      <w:numFmt w:val="decimal"/>
      <w:lvlText w:val="(%1)"/>
      <w:lvlJc w:val="left"/>
      <w:pPr>
        <w:ind w:left="425" w:hanging="425"/>
      </w:pPr>
      <w:rPr>
        <w:rFonts w:hint="default"/>
        <w:color w:val="auto"/>
      </w:rPr>
    </w:lvl>
  </w:abstractNum>
  <w:abstractNum w:abstractNumId="5">
    <w:nsid w:val="1AD475B4"/>
    <w:multiLevelType w:val="multilevel"/>
    <w:tmpl w:val="1AD475B4"/>
    <w:lvl w:ilvl="0" w:tentative="0">
      <w:start w:val="1"/>
      <w:numFmt w:val="decimal"/>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3"/>
  </w:num>
  <w:num w:numId="2">
    <w:abstractNumId w:val="2"/>
  </w:num>
  <w:num w:numId="3">
    <w:abstractNumId w:val="1"/>
  </w:num>
  <w:num w:numId="4">
    <w:abstractNumId w:val="0"/>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2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FhNzEzZTE4NDhjNjUwMTdiYWZjNjNlNTY2NTZhY2IifQ=="/>
  </w:docVars>
  <w:rsids>
    <w:rsidRoot w:val="00A161FC"/>
    <w:rsid w:val="000045B7"/>
    <w:rsid w:val="00014160"/>
    <w:rsid w:val="000170BA"/>
    <w:rsid w:val="00017C9A"/>
    <w:rsid w:val="00042383"/>
    <w:rsid w:val="00055FCB"/>
    <w:rsid w:val="00067214"/>
    <w:rsid w:val="00070FAA"/>
    <w:rsid w:val="000724F9"/>
    <w:rsid w:val="00072AC6"/>
    <w:rsid w:val="00082E09"/>
    <w:rsid w:val="0008654D"/>
    <w:rsid w:val="00090056"/>
    <w:rsid w:val="000A209A"/>
    <w:rsid w:val="000A76E3"/>
    <w:rsid w:val="000B2649"/>
    <w:rsid w:val="000B7FE4"/>
    <w:rsid w:val="000C588B"/>
    <w:rsid w:val="0010194E"/>
    <w:rsid w:val="00105428"/>
    <w:rsid w:val="0011506B"/>
    <w:rsid w:val="0012727F"/>
    <w:rsid w:val="00140AF0"/>
    <w:rsid w:val="001507CE"/>
    <w:rsid w:val="00157667"/>
    <w:rsid w:val="001609FC"/>
    <w:rsid w:val="00162A76"/>
    <w:rsid w:val="001725CA"/>
    <w:rsid w:val="00176534"/>
    <w:rsid w:val="0018461B"/>
    <w:rsid w:val="00190737"/>
    <w:rsid w:val="00192B6A"/>
    <w:rsid w:val="001B03C0"/>
    <w:rsid w:val="001B712C"/>
    <w:rsid w:val="001C0880"/>
    <w:rsid w:val="001C41C3"/>
    <w:rsid w:val="001C7C84"/>
    <w:rsid w:val="00211CB4"/>
    <w:rsid w:val="00215C8C"/>
    <w:rsid w:val="002204EA"/>
    <w:rsid w:val="00220AD1"/>
    <w:rsid w:val="00237253"/>
    <w:rsid w:val="0023753D"/>
    <w:rsid w:val="00250C00"/>
    <w:rsid w:val="0027734E"/>
    <w:rsid w:val="002815C8"/>
    <w:rsid w:val="00292537"/>
    <w:rsid w:val="002A4902"/>
    <w:rsid w:val="002A6571"/>
    <w:rsid w:val="002B3A1B"/>
    <w:rsid w:val="002C7010"/>
    <w:rsid w:val="002D4608"/>
    <w:rsid w:val="002D68DE"/>
    <w:rsid w:val="002E188D"/>
    <w:rsid w:val="003027D7"/>
    <w:rsid w:val="00304A63"/>
    <w:rsid w:val="00310E17"/>
    <w:rsid w:val="003113D4"/>
    <w:rsid w:val="003147E0"/>
    <w:rsid w:val="003458D7"/>
    <w:rsid w:val="00345D8D"/>
    <w:rsid w:val="00353EC3"/>
    <w:rsid w:val="0036052A"/>
    <w:rsid w:val="003626BD"/>
    <w:rsid w:val="0036352F"/>
    <w:rsid w:val="003649AF"/>
    <w:rsid w:val="003741E7"/>
    <w:rsid w:val="00381A4A"/>
    <w:rsid w:val="00383594"/>
    <w:rsid w:val="003B1B61"/>
    <w:rsid w:val="003B2E10"/>
    <w:rsid w:val="003D06DB"/>
    <w:rsid w:val="003D134C"/>
    <w:rsid w:val="003D3578"/>
    <w:rsid w:val="003E2127"/>
    <w:rsid w:val="003E4113"/>
    <w:rsid w:val="003E4FDA"/>
    <w:rsid w:val="003E7B00"/>
    <w:rsid w:val="003F1698"/>
    <w:rsid w:val="00402802"/>
    <w:rsid w:val="00424F5B"/>
    <w:rsid w:val="00426CB3"/>
    <w:rsid w:val="0044366D"/>
    <w:rsid w:val="00453438"/>
    <w:rsid w:val="00453832"/>
    <w:rsid w:val="00455114"/>
    <w:rsid w:val="004677A4"/>
    <w:rsid w:val="00473B69"/>
    <w:rsid w:val="0048025C"/>
    <w:rsid w:val="00483773"/>
    <w:rsid w:val="004951D7"/>
    <w:rsid w:val="00496E2A"/>
    <w:rsid w:val="004A43F0"/>
    <w:rsid w:val="004B03E4"/>
    <w:rsid w:val="004B09BC"/>
    <w:rsid w:val="004B3DFE"/>
    <w:rsid w:val="004E36C2"/>
    <w:rsid w:val="004E3A7D"/>
    <w:rsid w:val="004E4B14"/>
    <w:rsid w:val="004F23EB"/>
    <w:rsid w:val="00501176"/>
    <w:rsid w:val="0051081D"/>
    <w:rsid w:val="00510891"/>
    <w:rsid w:val="0052535A"/>
    <w:rsid w:val="0053111A"/>
    <w:rsid w:val="00533F49"/>
    <w:rsid w:val="00534820"/>
    <w:rsid w:val="00543F72"/>
    <w:rsid w:val="005534AB"/>
    <w:rsid w:val="0055436C"/>
    <w:rsid w:val="00562C62"/>
    <w:rsid w:val="005633CE"/>
    <w:rsid w:val="00571ADE"/>
    <w:rsid w:val="00572654"/>
    <w:rsid w:val="00577E40"/>
    <w:rsid w:val="0058522B"/>
    <w:rsid w:val="005853E9"/>
    <w:rsid w:val="0059304A"/>
    <w:rsid w:val="005951EF"/>
    <w:rsid w:val="00595464"/>
    <w:rsid w:val="005A7566"/>
    <w:rsid w:val="005B62C9"/>
    <w:rsid w:val="005C3DA0"/>
    <w:rsid w:val="005E441A"/>
    <w:rsid w:val="005E6A0A"/>
    <w:rsid w:val="005F1571"/>
    <w:rsid w:val="005F401F"/>
    <w:rsid w:val="005F5A1F"/>
    <w:rsid w:val="006025C6"/>
    <w:rsid w:val="00611202"/>
    <w:rsid w:val="006237BE"/>
    <w:rsid w:val="0063425A"/>
    <w:rsid w:val="00635DAD"/>
    <w:rsid w:val="00636F27"/>
    <w:rsid w:val="00640733"/>
    <w:rsid w:val="00647B7B"/>
    <w:rsid w:val="00671A3E"/>
    <w:rsid w:val="006878E9"/>
    <w:rsid w:val="006936E2"/>
    <w:rsid w:val="006A5B56"/>
    <w:rsid w:val="006C2918"/>
    <w:rsid w:val="006C6422"/>
    <w:rsid w:val="006C782C"/>
    <w:rsid w:val="006D095D"/>
    <w:rsid w:val="006F2505"/>
    <w:rsid w:val="00703AC6"/>
    <w:rsid w:val="007068E8"/>
    <w:rsid w:val="00710AA5"/>
    <w:rsid w:val="00715B3F"/>
    <w:rsid w:val="00715D28"/>
    <w:rsid w:val="00731603"/>
    <w:rsid w:val="007554BB"/>
    <w:rsid w:val="00757A19"/>
    <w:rsid w:val="0076129B"/>
    <w:rsid w:val="0076501A"/>
    <w:rsid w:val="007728D1"/>
    <w:rsid w:val="007839AE"/>
    <w:rsid w:val="00785146"/>
    <w:rsid w:val="007A1508"/>
    <w:rsid w:val="007A5DE1"/>
    <w:rsid w:val="007C0197"/>
    <w:rsid w:val="007F41D8"/>
    <w:rsid w:val="007F4BD9"/>
    <w:rsid w:val="00800E12"/>
    <w:rsid w:val="00801053"/>
    <w:rsid w:val="008027E4"/>
    <w:rsid w:val="0080610F"/>
    <w:rsid w:val="008153D5"/>
    <w:rsid w:val="00823CA9"/>
    <w:rsid w:val="0083512B"/>
    <w:rsid w:val="008403A0"/>
    <w:rsid w:val="00840DBB"/>
    <w:rsid w:val="00842AB5"/>
    <w:rsid w:val="0084652E"/>
    <w:rsid w:val="00860346"/>
    <w:rsid w:val="00870113"/>
    <w:rsid w:val="00873F09"/>
    <w:rsid w:val="00885076"/>
    <w:rsid w:val="008863CE"/>
    <w:rsid w:val="0089621F"/>
    <w:rsid w:val="008A46D6"/>
    <w:rsid w:val="008B72F8"/>
    <w:rsid w:val="008C0BE7"/>
    <w:rsid w:val="008C24D4"/>
    <w:rsid w:val="008D094B"/>
    <w:rsid w:val="008D69A8"/>
    <w:rsid w:val="008E052F"/>
    <w:rsid w:val="008E3A58"/>
    <w:rsid w:val="008F2ED3"/>
    <w:rsid w:val="009003FE"/>
    <w:rsid w:val="00902581"/>
    <w:rsid w:val="00912013"/>
    <w:rsid w:val="0091202F"/>
    <w:rsid w:val="009229FE"/>
    <w:rsid w:val="00925E61"/>
    <w:rsid w:val="00946773"/>
    <w:rsid w:val="00946EF5"/>
    <w:rsid w:val="009751CD"/>
    <w:rsid w:val="009775E2"/>
    <w:rsid w:val="009831EA"/>
    <w:rsid w:val="0099177F"/>
    <w:rsid w:val="00995789"/>
    <w:rsid w:val="009A7AEC"/>
    <w:rsid w:val="009B2EF0"/>
    <w:rsid w:val="009B3F7B"/>
    <w:rsid w:val="009B49C0"/>
    <w:rsid w:val="009C611B"/>
    <w:rsid w:val="009D1592"/>
    <w:rsid w:val="009D3518"/>
    <w:rsid w:val="009E147C"/>
    <w:rsid w:val="009F6CAB"/>
    <w:rsid w:val="009F7A2C"/>
    <w:rsid w:val="009F7F21"/>
    <w:rsid w:val="00A047F0"/>
    <w:rsid w:val="00A05F31"/>
    <w:rsid w:val="00A161D7"/>
    <w:rsid w:val="00A161FC"/>
    <w:rsid w:val="00A3448C"/>
    <w:rsid w:val="00A60EC4"/>
    <w:rsid w:val="00A61746"/>
    <w:rsid w:val="00A66D38"/>
    <w:rsid w:val="00A765E9"/>
    <w:rsid w:val="00A82270"/>
    <w:rsid w:val="00A865ED"/>
    <w:rsid w:val="00A9407B"/>
    <w:rsid w:val="00AA322D"/>
    <w:rsid w:val="00AA4DD7"/>
    <w:rsid w:val="00AB48E9"/>
    <w:rsid w:val="00AB5407"/>
    <w:rsid w:val="00AC005D"/>
    <w:rsid w:val="00AC6F95"/>
    <w:rsid w:val="00AE1AFA"/>
    <w:rsid w:val="00AE67A6"/>
    <w:rsid w:val="00AE7EA6"/>
    <w:rsid w:val="00AF5736"/>
    <w:rsid w:val="00AF7468"/>
    <w:rsid w:val="00B015CE"/>
    <w:rsid w:val="00B06454"/>
    <w:rsid w:val="00B151BE"/>
    <w:rsid w:val="00B2094D"/>
    <w:rsid w:val="00B4229C"/>
    <w:rsid w:val="00B4320A"/>
    <w:rsid w:val="00B43698"/>
    <w:rsid w:val="00B4481B"/>
    <w:rsid w:val="00B4796B"/>
    <w:rsid w:val="00B47D50"/>
    <w:rsid w:val="00B72BD6"/>
    <w:rsid w:val="00B86F70"/>
    <w:rsid w:val="00B91989"/>
    <w:rsid w:val="00B94A57"/>
    <w:rsid w:val="00BA12BE"/>
    <w:rsid w:val="00BA359E"/>
    <w:rsid w:val="00BB2053"/>
    <w:rsid w:val="00BB469B"/>
    <w:rsid w:val="00BB7A38"/>
    <w:rsid w:val="00BC3D86"/>
    <w:rsid w:val="00BC4984"/>
    <w:rsid w:val="00BC7870"/>
    <w:rsid w:val="00BD0727"/>
    <w:rsid w:val="00BE12E8"/>
    <w:rsid w:val="00BE1843"/>
    <w:rsid w:val="00BE5190"/>
    <w:rsid w:val="00BE5444"/>
    <w:rsid w:val="00C0145F"/>
    <w:rsid w:val="00C1098B"/>
    <w:rsid w:val="00C15054"/>
    <w:rsid w:val="00C17155"/>
    <w:rsid w:val="00C20237"/>
    <w:rsid w:val="00C30505"/>
    <w:rsid w:val="00C34694"/>
    <w:rsid w:val="00C34DC1"/>
    <w:rsid w:val="00C36A51"/>
    <w:rsid w:val="00C41359"/>
    <w:rsid w:val="00C42D7E"/>
    <w:rsid w:val="00C57FEA"/>
    <w:rsid w:val="00C63818"/>
    <w:rsid w:val="00C82348"/>
    <w:rsid w:val="00CA16F3"/>
    <w:rsid w:val="00CA5CA9"/>
    <w:rsid w:val="00CB3B9A"/>
    <w:rsid w:val="00CB7576"/>
    <w:rsid w:val="00CD153F"/>
    <w:rsid w:val="00CD2230"/>
    <w:rsid w:val="00CD2846"/>
    <w:rsid w:val="00CD3882"/>
    <w:rsid w:val="00CD50E0"/>
    <w:rsid w:val="00CE77DC"/>
    <w:rsid w:val="00D04B4C"/>
    <w:rsid w:val="00D11BCA"/>
    <w:rsid w:val="00D13CB5"/>
    <w:rsid w:val="00D14E45"/>
    <w:rsid w:val="00D324D9"/>
    <w:rsid w:val="00D41788"/>
    <w:rsid w:val="00D45ED1"/>
    <w:rsid w:val="00D4747C"/>
    <w:rsid w:val="00D5557F"/>
    <w:rsid w:val="00D56E82"/>
    <w:rsid w:val="00D6195A"/>
    <w:rsid w:val="00D8025F"/>
    <w:rsid w:val="00D94396"/>
    <w:rsid w:val="00D95958"/>
    <w:rsid w:val="00D97FEA"/>
    <w:rsid w:val="00DA601F"/>
    <w:rsid w:val="00DB6ED1"/>
    <w:rsid w:val="00DC1928"/>
    <w:rsid w:val="00DC1F9D"/>
    <w:rsid w:val="00DE2FDD"/>
    <w:rsid w:val="00DE37BD"/>
    <w:rsid w:val="00DE5F2E"/>
    <w:rsid w:val="00DF1EA0"/>
    <w:rsid w:val="00DF5062"/>
    <w:rsid w:val="00E02FC1"/>
    <w:rsid w:val="00E0581E"/>
    <w:rsid w:val="00E1130A"/>
    <w:rsid w:val="00E155DF"/>
    <w:rsid w:val="00E22081"/>
    <w:rsid w:val="00E413F8"/>
    <w:rsid w:val="00E4264C"/>
    <w:rsid w:val="00E54D44"/>
    <w:rsid w:val="00E73399"/>
    <w:rsid w:val="00E74CB1"/>
    <w:rsid w:val="00E7573D"/>
    <w:rsid w:val="00E80274"/>
    <w:rsid w:val="00E821CF"/>
    <w:rsid w:val="00E85911"/>
    <w:rsid w:val="00E9045D"/>
    <w:rsid w:val="00E91C9D"/>
    <w:rsid w:val="00E9245D"/>
    <w:rsid w:val="00E931F1"/>
    <w:rsid w:val="00E95426"/>
    <w:rsid w:val="00E95793"/>
    <w:rsid w:val="00EB472D"/>
    <w:rsid w:val="00EB625C"/>
    <w:rsid w:val="00EB6F23"/>
    <w:rsid w:val="00EC6C39"/>
    <w:rsid w:val="00F072C1"/>
    <w:rsid w:val="00F07693"/>
    <w:rsid w:val="00F10369"/>
    <w:rsid w:val="00F16FCB"/>
    <w:rsid w:val="00F17DEA"/>
    <w:rsid w:val="00F35137"/>
    <w:rsid w:val="00F43286"/>
    <w:rsid w:val="00F577AF"/>
    <w:rsid w:val="00F57DCD"/>
    <w:rsid w:val="00F64960"/>
    <w:rsid w:val="00F75F98"/>
    <w:rsid w:val="00F9789E"/>
    <w:rsid w:val="00FA2AE4"/>
    <w:rsid w:val="00FB00E1"/>
    <w:rsid w:val="00FB0E44"/>
    <w:rsid w:val="00FB5AF8"/>
    <w:rsid w:val="00FC1111"/>
    <w:rsid w:val="00FC3BB8"/>
    <w:rsid w:val="00FD3AC3"/>
    <w:rsid w:val="00FE1B41"/>
    <w:rsid w:val="00FF21F2"/>
    <w:rsid w:val="00FF339E"/>
    <w:rsid w:val="00FF47AD"/>
    <w:rsid w:val="00FF698C"/>
    <w:rsid w:val="00FF7E61"/>
    <w:rsid w:val="03F77A6A"/>
    <w:rsid w:val="05C55E54"/>
    <w:rsid w:val="09B515FF"/>
    <w:rsid w:val="0AB857FE"/>
    <w:rsid w:val="0CA86E50"/>
    <w:rsid w:val="0E8A172B"/>
    <w:rsid w:val="11105DE8"/>
    <w:rsid w:val="124C0DF9"/>
    <w:rsid w:val="18014470"/>
    <w:rsid w:val="18EA12A1"/>
    <w:rsid w:val="1BC72B84"/>
    <w:rsid w:val="1DD22B6C"/>
    <w:rsid w:val="1EE7799B"/>
    <w:rsid w:val="21105AEE"/>
    <w:rsid w:val="2AC179D9"/>
    <w:rsid w:val="30322EF9"/>
    <w:rsid w:val="33A667BC"/>
    <w:rsid w:val="353B69BD"/>
    <w:rsid w:val="361F3F7F"/>
    <w:rsid w:val="3D5503B7"/>
    <w:rsid w:val="41A3653E"/>
    <w:rsid w:val="46E80C8A"/>
    <w:rsid w:val="4FAF6015"/>
    <w:rsid w:val="527700DB"/>
    <w:rsid w:val="54115589"/>
    <w:rsid w:val="579B414A"/>
    <w:rsid w:val="595D4210"/>
    <w:rsid w:val="59835FFD"/>
    <w:rsid w:val="5CE5073E"/>
    <w:rsid w:val="5E642EA0"/>
    <w:rsid w:val="60F75E19"/>
    <w:rsid w:val="62C54F90"/>
    <w:rsid w:val="63F50470"/>
    <w:rsid w:val="70232344"/>
    <w:rsid w:val="72FA2BB8"/>
    <w:rsid w:val="73347DA6"/>
    <w:rsid w:val="73EC2126"/>
    <w:rsid w:val="74504A30"/>
    <w:rsid w:val="77766661"/>
    <w:rsid w:val="7CD267D0"/>
    <w:rsid w:val="7D1E5EB1"/>
    <w:rsid w:val="7DB33A3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Plain Text"/>
    <w:basedOn w:val="1"/>
    <w:link w:val="10"/>
    <w:qFormat/>
    <w:uiPriority w:val="0"/>
    <w:rPr>
      <w:rFonts w:ascii="宋体" w:hAnsi="Courier New" w:cstheme="minorBidi"/>
      <w:szCs w:val="22"/>
    </w:rPr>
  </w:style>
  <w:style w:type="paragraph" w:styleId="3">
    <w:name w:val="Balloon Text"/>
    <w:basedOn w:val="1"/>
    <w:link w:val="18"/>
    <w:semiHidden/>
    <w:unhideWhenUsed/>
    <w:qFormat/>
    <w:uiPriority w:val="99"/>
    <w:rPr>
      <w:sz w:val="18"/>
      <w:szCs w:val="18"/>
    </w:rPr>
  </w:style>
  <w:style w:type="paragraph" w:styleId="4">
    <w:name w:val="footer"/>
    <w:basedOn w:val="1"/>
    <w:link w:val="11"/>
    <w:qFormat/>
    <w:uiPriority w:val="0"/>
    <w:pPr>
      <w:tabs>
        <w:tab w:val="center" w:pos="4153"/>
        <w:tab w:val="right" w:pos="8306"/>
      </w:tabs>
      <w:snapToGrid w:val="0"/>
      <w:jc w:val="left"/>
    </w:pPr>
    <w:rPr>
      <w:rFonts w:asciiTheme="minorHAnsi" w:hAnsiTheme="minorHAnsi" w:eastAsiaTheme="minorEastAsia" w:cstheme="minorBidi"/>
      <w:sz w:val="18"/>
      <w:szCs w:val="22"/>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Title"/>
    <w:basedOn w:val="1"/>
    <w:link w:val="12"/>
    <w:qFormat/>
    <w:uiPriority w:val="0"/>
    <w:pPr>
      <w:spacing w:before="240" w:after="60"/>
      <w:jc w:val="center"/>
      <w:outlineLvl w:val="0"/>
    </w:pPr>
    <w:rPr>
      <w:rFonts w:ascii="Arial" w:hAnsi="Arial" w:cs="Arial"/>
      <w:b/>
      <w:bCs/>
      <w:sz w:val="32"/>
      <w:szCs w:val="32"/>
    </w:rPr>
  </w:style>
  <w:style w:type="table" w:styleId="8">
    <w:name w:val="Table Grid"/>
    <w:basedOn w:val="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0">
    <w:name w:val="纯文本 字符"/>
    <w:link w:val="2"/>
    <w:qFormat/>
    <w:uiPriority w:val="0"/>
    <w:rPr>
      <w:rFonts w:ascii="宋体" w:hAnsi="Courier New" w:eastAsia="宋体"/>
    </w:rPr>
  </w:style>
  <w:style w:type="character" w:customStyle="1" w:styleId="11">
    <w:name w:val="页脚 字符"/>
    <w:link w:val="4"/>
    <w:qFormat/>
    <w:uiPriority w:val="0"/>
    <w:rPr>
      <w:sz w:val="18"/>
    </w:rPr>
  </w:style>
  <w:style w:type="character" w:customStyle="1" w:styleId="12">
    <w:name w:val="标题 字符"/>
    <w:link w:val="6"/>
    <w:qFormat/>
    <w:uiPriority w:val="0"/>
    <w:rPr>
      <w:rFonts w:ascii="Arial" w:hAnsi="Arial" w:eastAsia="宋体" w:cs="Arial"/>
      <w:b/>
      <w:bCs/>
      <w:sz w:val="32"/>
      <w:szCs w:val="32"/>
    </w:rPr>
  </w:style>
  <w:style w:type="character" w:customStyle="1" w:styleId="13">
    <w:name w:val="页脚 Char"/>
    <w:basedOn w:val="9"/>
    <w:semiHidden/>
    <w:qFormat/>
    <w:uiPriority w:val="99"/>
    <w:rPr>
      <w:rFonts w:ascii="Times New Roman" w:hAnsi="Times New Roman" w:eastAsia="宋体" w:cs="Times New Roman"/>
      <w:sz w:val="18"/>
      <w:szCs w:val="18"/>
    </w:rPr>
  </w:style>
  <w:style w:type="character" w:customStyle="1" w:styleId="14">
    <w:name w:val="标题 Char"/>
    <w:basedOn w:val="9"/>
    <w:qFormat/>
    <w:uiPriority w:val="10"/>
    <w:rPr>
      <w:rFonts w:eastAsia="宋体" w:asciiTheme="majorHAnsi" w:hAnsiTheme="majorHAnsi" w:cstheme="majorBidi"/>
      <w:b/>
      <w:bCs/>
      <w:sz w:val="32"/>
      <w:szCs w:val="32"/>
    </w:rPr>
  </w:style>
  <w:style w:type="character" w:customStyle="1" w:styleId="15">
    <w:name w:val="纯文本 Char"/>
    <w:basedOn w:val="9"/>
    <w:semiHidden/>
    <w:qFormat/>
    <w:uiPriority w:val="99"/>
    <w:rPr>
      <w:rFonts w:ascii="宋体" w:hAnsi="Courier New" w:eastAsia="宋体" w:cs="Courier New"/>
      <w:szCs w:val="21"/>
    </w:rPr>
  </w:style>
  <w:style w:type="character" w:customStyle="1" w:styleId="16">
    <w:name w:val="页眉 字符"/>
    <w:basedOn w:val="9"/>
    <w:link w:val="5"/>
    <w:qFormat/>
    <w:uiPriority w:val="99"/>
    <w:rPr>
      <w:rFonts w:ascii="Times New Roman" w:hAnsi="Times New Roman" w:eastAsia="宋体" w:cs="Times New Roman"/>
      <w:sz w:val="18"/>
      <w:szCs w:val="18"/>
    </w:rPr>
  </w:style>
  <w:style w:type="paragraph" w:styleId="17">
    <w:name w:val="List Paragraph"/>
    <w:basedOn w:val="1"/>
    <w:qFormat/>
    <w:uiPriority w:val="34"/>
    <w:pPr>
      <w:ind w:firstLine="420" w:firstLineChars="200"/>
    </w:pPr>
  </w:style>
  <w:style w:type="character" w:customStyle="1" w:styleId="18">
    <w:name w:val="批注框文本 字符"/>
    <w:basedOn w:val="9"/>
    <w:link w:val="3"/>
    <w:semiHidden/>
    <w:qFormat/>
    <w:uiPriority w:val="99"/>
    <w:rPr>
      <w:rFonts w:ascii="Times New Roman" w:hAnsi="Times New Roman" w:eastAsia="宋体" w:cs="Times New Roman"/>
      <w:sz w:val="18"/>
      <w:szCs w:val="18"/>
    </w:rPr>
  </w:style>
  <w:style w:type="paragraph" w:customStyle="1" w:styleId="19">
    <w:name w:val="paragraph"/>
    <w:basedOn w:val="1"/>
    <w:semiHidden/>
    <w:qFormat/>
    <w:uiPriority w:val="0"/>
    <w:pPr>
      <w:widowControl/>
      <w:spacing w:before="100" w:beforeAutospacing="1" w:after="100" w:afterAutospacing="1"/>
      <w:jc w:val="left"/>
    </w:pPr>
    <w:rPr>
      <w:rFonts w:ascii="等线" w:hAnsi="等线" w:eastAsia="等线"/>
      <w:kern w:val="0"/>
      <w:sz w:val="24"/>
      <w:szCs w:val="24"/>
    </w:rPr>
  </w:style>
  <w:style w:type="paragraph" w:customStyle="1" w:styleId="20">
    <w:name w:val="修订1"/>
    <w:hidden/>
    <w:unhideWhenUsed/>
    <w:qFormat/>
    <w:uiPriority w:val="99"/>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010B4B-A2AD-4AEC-9E53-03DDEDD73C3F}">
  <ds:schemaRefs/>
</ds:datastoreItem>
</file>

<file path=docProps/app.xml><?xml version="1.0" encoding="utf-8"?>
<Properties xmlns="http://schemas.openxmlformats.org/officeDocument/2006/extended-properties" xmlns:vt="http://schemas.openxmlformats.org/officeDocument/2006/docPropsVTypes">
  <Template>Normal</Template>
  <Pages>7</Pages>
  <Words>4718</Words>
  <Characters>5036</Characters>
  <Lines>132</Lines>
  <Paragraphs>159</Paragraphs>
  <TotalTime>13</TotalTime>
  <ScaleCrop>false</ScaleCrop>
  <LinksUpToDate>false</LinksUpToDate>
  <CharactersWithSpaces>5069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2026-06-26T03:04:00Z</dcterms:created>
  <dc:creator>User</dc:creator>
  <cp:lastModifiedBy>Serves</cp:lastModifiedBy>
  <dcterms:modified xsi:type="dcterms:W3CDTF">2026-07-21T02:22:04Z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1518A2F8D1344CA8A0A8455A39A6E864_13</vt:lpwstr>
  </property>
  <property fmtid="{D5CDD505-2E9C-101B-9397-08002B2CF9AE}" pid="4" name="KSOTemplateDocerSaveRecord">
    <vt:lpwstr>eyJoZGlkIjoiZmVjODI5OTE4ZTQ4MGY2MGJkY2YyNmM5YjJhM2EyMjQiLCJ1c2VySWQiOiIyODA5NDk0MjEifQ==</vt:lpwstr>
  </property>
</Properties>
</file>