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9"/>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五腔室cluster CVD采购需求</w:t>
      </w:r>
      <w:bookmarkEnd w:id="0"/>
    </w:p>
    <w:p w14:paraId="77C2D7A7">
      <w:pPr>
        <w:tabs>
          <w:tab w:val="left" w:pos="900"/>
        </w:tabs>
        <w:adjustRightInd w:val="0"/>
        <w:snapToGrid w:val="0"/>
        <w:spacing w:line="360" w:lineRule="auto"/>
        <w:ind w:firstLine="422" w:firstLineChars="200"/>
        <w:rPr>
          <w:b/>
          <w:szCs w:val="21"/>
        </w:rPr>
      </w:pPr>
      <w:bookmarkStart w:id="1" w:name="_Toc219271393"/>
      <w:bookmarkStart w:id="2" w:name="_Toc158978330"/>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2BF79CC0">
      <w:pPr>
        <w:tabs>
          <w:tab w:val="left" w:pos="900"/>
        </w:tabs>
        <w:adjustRightInd w:val="0"/>
        <w:snapToGrid w:val="0"/>
        <w:spacing w:line="360" w:lineRule="auto"/>
        <w:ind w:firstLine="440" w:firstLineChars="200"/>
        <w:rPr>
          <w:rFonts w:ascii="楷体" w:hAnsi="楷体" w:eastAsia="楷体"/>
          <w:color w:val="000000" w:themeColor="text1"/>
          <w:sz w:val="22"/>
          <w:szCs w:val="22"/>
          <w14:textFill>
            <w14:solidFill>
              <w14:schemeClr w14:val="tx1"/>
            </w14:solidFill>
          </w14:textFill>
        </w:rPr>
      </w:pPr>
      <w:r>
        <w:rPr>
          <w:rFonts w:ascii="楷体" w:hAnsi="楷体" w:eastAsia="楷体"/>
          <w:color w:val="000000" w:themeColor="text1"/>
          <w:sz w:val="22"/>
          <w:szCs w:val="22"/>
          <w14:textFill>
            <w14:solidFill>
              <w14:schemeClr w14:val="tx1"/>
            </w14:solidFill>
          </w14:textFill>
        </w:rPr>
        <w:t>本项目采购</w:t>
      </w:r>
      <w:r>
        <w:rPr>
          <w:rFonts w:hint="eastAsia" w:ascii="楷体" w:hAnsi="楷体" w:eastAsia="楷体"/>
          <w:color w:val="000000" w:themeColor="text1"/>
          <w:sz w:val="22"/>
          <w:szCs w:val="22"/>
          <w14:textFill>
            <w14:solidFill>
              <w14:schemeClr w14:val="tx1"/>
            </w14:solidFill>
          </w14:textFill>
        </w:rPr>
        <w:t xml:space="preserve">五腔室cluster CVD及其配套的外围二次配设施 </w:t>
      </w:r>
      <w:r>
        <w:rPr>
          <w:rFonts w:ascii="楷体" w:hAnsi="楷体" w:eastAsia="楷体"/>
          <w:color w:val="000000" w:themeColor="text1"/>
          <w:sz w:val="22"/>
          <w:szCs w:val="22"/>
          <w14:textFill>
            <w14:solidFill>
              <w14:schemeClr w14:val="tx1"/>
            </w14:solidFill>
          </w14:textFill>
        </w:rPr>
        <w:t>1套，主要用于要用于在高真空环境下连续沉积多层不同材料的高质量薄膜，要求具有真空无大气暴露、多材料连续沉积、高均匀高重复、低交叉污染</w:t>
      </w:r>
      <w:r>
        <w:rPr>
          <w:rFonts w:hint="eastAsia" w:ascii="楷体" w:hAnsi="楷体" w:eastAsia="楷体"/>
          <w:color w:val="000000" w:themeColor="text1"/>
          <w:sz w:val="22"/>
          <w:szCs w:val="22"/>
          <w14:textFill>
            <w14:solidFill>
              <w14:schemeClr w14:val="tx1"/>
            </w14:solidFill>
          </w14:textFill>
        </w:rPr>
        <w:t>。</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65AAFC29">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65C25D9">
      <w:pPr>
        <w:pStyle w:val="8"/>
        <w:widowControl/>
        <w:ind w:firstLine="420" w:firstLineChars="200"/>
        <w:rPr>
          <w:kern w:val="2"/>
          <w:sz w:val="21"/>
          <w:szCs w:val="21"/>
        </w:rPr>
      </w:pPr>
      <w:r>
        <w:rPr>
          <w:rFonts w:hint="eastAsia"/>
          <w:kern w:val="2"/>
          <w:sz w:val="21"/>
          <w:szCs w:val="21"/>
        </w:rPr>
        <w:t>2. 采购项目中所含的投标产品（含所有主机、附属设备、备品备件、专用工具及消耗品）的设计、制造、装配、检验、包装和运输，必须符合中华人民共和国现行有效的国家标准（GB）及相关的机械、电子行业标准。若设备同时适用多项标准，应按最高或最严格的标准执行。</w:t>
      </w:r>
    </w:p>
    <w:p w14:paraId="21E4FD26">
      <w:pPr>
        <w:pStyle w:val="8"/>
        <w:widowControl/>
        <w:ind w:firstLine="420" w:firstLineChars="200"/>
        <w:rPr>
          <w:kern w:val="2"/>
          <w:sz w:val="21"/>
          <w:szCs w:val="21"/>
        </w:rPr>
      </w:pPr>
      <w:r>
        <w:rPr>
          <w:rFonts w:hint="eastAsia"/>
          <w:kern w:val="2"/>
          <w:sz w:val="21"/>
          <w:szCs w:val="21"/>
        </w:rPr>
        <w:t>3. 电气及安全防护标准，设备的所有电气零部件及控制柜设计必须符合《机械电气安全 机械电气设备 第1部分：通用技术条件》（GB/T 5226.1）及相关的低压电器国标。所有线路需具备清晰的国标线号标识。设备的机械运动部件防护、急停控制逻辑必须符合相关的国家安全生产标准；涉及有毒有害气体及腐蚀性液体的零部件，其密封及联锁防护需满足国家相关危化品设备安全规范。</w:t>
      </w:r>
    </w:p>
    <w:p w14:paraId="6F88D5AE">
      <w:pPr>
        <w:pStyle w:val="8"/>
        <w:widowControl/>
        <w:ind w:firstLine="420" w:firstLineChars="200"/>
        <w:rPr>
          <w:kern w:val="2"/>
          <w:sz w:val="21"/>
          <w:szCs w:val="21"/>
        </w:rPr>
      </w:pPr>
      <w:r>
        <w:rPr>
          <w:rFonts w:hint="eastAsia"/>
          <w:kern w:val="2"/>
          <w:sz w:val="21"/>
          <w:szCs w:val="21"/>
        </w:rPr>
        <w:t>4. 材料与计量标准，设备关键零部件所使用的材质（如 316L 不锈钢、高纯石英、PTFE/PFA 特氟龙、各类氟橡胶 O 型圈等）必须提供相应的材质证明（MTC）或符合国家/国际相应的材料等级标准，严禁使用非标回料或伪劣材质。设备的所有仪器仪表、图纸、操作手册及软件界面显示，必须采用国际单位制（SI）及中国国家法定计量单位。</w:t>
      </w:r>
    </w:p>
    <w:p w14:paraId="77BB090B">
      <w:pPr>
        <w:pStyle w:val="8"/>
        <w:widowControl/>
        <w:ind w:firstLine="420" w:firstLineChars="200"/>
        <w:rPr>
          <w:szCs w:val="21"/>
        </w:rPr>
      </w:pPr>
      <w:r>
        <w:rPr>
          <w:rFonts w:hint="eastAsia"/>
          <w:kern w:val="2"/>
          <w:sz w:val="21"/>
          <w:szCs w:val="21"/>
        </w:rPr>
        <w:t>5. 认证与检验标志设备中涉及强制性产品认证目录内的通用零部件（如电机、线缆、开关、泵阀等），必须具有 CCC（中国强制性产品认证）标志或同等效力的国际安全认证（如 CE、UL 认证）。设备的铭牌、安全警示标志、管路流向及危险气体标识，须符合国家相关工业标识标准规范，且必须配有清晰的中文对照说明。</w:t>
      </w: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04BA5F09">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五腔室cluster CVD</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CDC8F11">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 xml:space="preserve"> 一套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469853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230万</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贰佰叁拾万元整</w:t>
      </w:r>
      <w:r>
        <w:rPr>
          <w:rFonts w:hAnsi="宋体"/>
          <w:szCs w:val="21"/>
          <w:u w:val="single"/>
        </w:rPr>
        <w:t xml:space="preserve">          </w:t>
      </w:r>
      <w:r>
        <w:rPr>
          <w:rFonts w:hint="eastAsia" w:hAnsi="宋体"/>
          <w:szCs w:val="21"/>
        </w:rPr>
        <w:t>）</w:t>
      </w:r>
    </w:p>
    <w:p w14:paraId="4F28B3E6">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hAnsi="宋体"/>
          <w:szCs w:val="21"/>
          <w:u w:val="single"/>
        </w:rPr>
        <w:t>180</w:t>
      </w:r>
      <w:r>
        <w:rPr>
          <w:rFonts w:hAnsi="宋体"/>
          <w:szCs w:val="21"/>
          <w:u w:val="single"/>
        </w:rPr>
        <w:t xml:space="preserve">                            </w:t>
      </w:r>
      <w:r>
        <w:rPr>
          <w:rFonts w:hint="eastAsia" w:hAnsi="宋体"/>
        </w:rPr>
        <w:t>天内</w:t>
      </w:r>
    </w:p>
    <w:p w14:paraId="678A5060">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西安交通大学创新港校区2号巨构1046-1049区域</w:t>
      </w:r>
      <w:r>
        <w:rPr>
          <w:rFonts w:hAnsi="宋体"/>
          <w:szCs w:val="21"/>
          <w:u w:val="single"/>
        </w:rPr>
        <w:t xml:space="preserve">                                                          </w:t>
      </w:r>
    </w:p>
    <w:p w14:paraId="5FA361AF">
      <w:pPr>
        <w:tabs>
          <w:tab w:val="left" w:pos="900"/>
        </w:tabs>
        <w:adjustRightInd w:val="0"/>
        <w:snapToGrid w:val="0"/>
        <w:spacing w:line="360" w:lineRule="auto"/>
        <w:ind w:firstLine="420" w:firstLineChars="200"/>
        <w:rPr>
          <w:szCs w:val="21"/>
          <w:u w:val="single"/>
        </w:rPr>
      </w:pPr>
      <w:r>
        <w:rPr>
          <w:rFonts w:hint="eastAsia" w:hAnsi="宋体"/>
          <w:szCs w:val="21"/>
        </w:rPr>
        <w:t>（六）付款进度安排：</w:t>
      </w:r>
      <w:r>
        <w:rPr>
          <w:rFonts w:hint="eastAsia"/>
          <w:szCs w:val="21"/>
          <w:u w:val="single"/>
        </w:rPr>
        <w:t>验收合格</w:t>
      </w:r>
      <w:r>
        <w:rPr>
          <w:szCs w:val="21"/>
          <w:u w:val="single"/>
        </w:rPr>
        <w:t>后支付全款</w:t>
      </w:r>
      <w:r>
        <w:rPr>
          <w:rFonts w:hint="eastAsia"/>
          <w:szCs w:val="21"/>
          <w:u w:val="single"/>
        </w:rPr>
        <w:t>。</w:t>
      </w:r>
    </w:p>
    <w:p w14:paraId="10A28EAF">
      <w:pPr>
        <w:tabs>
          <w:tab w:val="left" w:pos="900"/>
        </w:tabs>
        <w:adjustRightInd w:val="0"/>
        <w:snapToGrid w:val="0"/>
        <w:spacing w:line="360" w:lineRule="auto"/>
        <w:ind w:firstLine="420" w:firstLineChars="200"/>
        <w:rPr>
          <w:rFonts w:hAnsi="宋体"/>
          <w:szCs w:val="21"/>
        </w:rPr>
      </w:pP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5F1A9D82">
      <w:pPr>
        <w:tabs>
          <w:tab w:val="left" w:pos="900"/>
        </w:tabs>
        <w:adjustRightInd w:val="0"/>
        <w:snapToGrid w:val="0"/>
        <w:spacing w:line="360" w:lineRule="auto"/>
        <w:ind w:firstLine="422" w:firstLineChars="200"/>
        <w:rPr>
          <w:rFonts w:hAnsi="宋体"/>
          <w:b/>
          <w:szCs w:val="21"/>
        </w:rPr>
      </w:pPr>
      <w:r>
        <w:rPr>
          <w:rFonts w:hint="eastAsia"/>
          <w:b/>
          <w:szCs w:val="21"/>
        </w:rPr>
        <w:t>注：“*”项为重点关注指标，不作废标项处理；“</w:t>
      </w:r>
      <w:r>
        <w:rPr>
          <w:b/>
          <w:szCs w:val="21"/>
        </w:rPr>
        <w:t>▲</w:t>
      </w:r>
      <w:r>
        <w:rPr>
          <w:rFonts w:hint="eastAsia"/>
          <w:b/>
          <w:szCs w:val="21"/>
        </w:rPr>
        <w:t>”项为关键指标，不作废标项处理</w:t>
      </w:r>
    </w:p>
    <w:p w14:paraId="574067BF">
      <w:pPr>
        <w:pStyle w:val="25"/>
        <w:numPr>
          <w:ilvl w:val="0"/>
          <w:numId w:val="1"/>
        </w:numPr>
        <w:tabs>
          <w:tab w:val="left" w:pos="900"/>
        </w:tabs>
        <w:spacing w:before="156" w:beforeLines="50" w:line="360" w:lineRule="auto"/>
        <w:ind w:firstLineChars="0"/>
        <w:rPr>
          <w:b/>
          <w:color w:val="000000"/>
          <w:szCs w:val="21"/>
        </w:rPr>
      </w:pPr>
      <w:r>
        <w:rPr>
          <w:rFonts w:hint="eastAsia"/>
          <w:b/>
          <w:color w:val="000000"/>
          <w:szCs w:val="21"/>
        </w:rPr>
        <w:t>主要配置：</w:t>
      </w:r>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8225"/>
      </w:tblGrid>
      <w:tr w14:paraId="6D35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15764514">
            <w:pPr>
              <w:pStyle w:val="25"/>
              <w:keepNext/>
              <w:tabs>
                <w:tab w:val="left" w:pos="900"/>
              </w:tabs>
              <w:snapToGrid w:val="0"/>
              <w:spacing w:before="156" w:beforeLines="50"/>
              <w:ind w:firstLine="0" w:firstLineChars="0"/>
              <w:jc w:val="center"/>
              <w:rPr>
                <w:b/>
                <w:color w:val="000000"/>
                <w:sz w:val="18"/>
                <w:szCs w:val="18"/>
              </w:rPr>
            </w:pPr>
            <w:r>
              <w:rPr>
                <w:rFonts w:hint="eastAsia"/>
                <w:b/>
                <w:color w:val="000000"/>
                <w:sz w:val="18"/>
                <w:szCs w:val="18"/>
              </w:rPr>
              <w:t>名称</w:t>
            </w:r>
          </w:p>
        </w:tc>
        <w:tc>
          <w:tcPr>
            <w:tcW w:w="8225" w:type="dxa"/>
            <w:vAlign w:val="center"/>
          </w:tcPr>
          <w:p w14:paraId="7544D892">
            <w:pPr>
              <w:pStyle w:val="25"/>
              <w:keepNext/>
              <w:tabs>
                <w:tab w:val="left" w:pos="900"/>
              </w:tabs>
              <w:snapToGrid w:val="0"/>
              <w:spacing w:before="156" w:beforeLines="50"/>
              <w:ind w:firstLine="0" w:firstLineChars="0"/>
              <w:jc w:val="center"/>
              <w:rPr>
                <w:b/>
                <w:color w:val="000000"/>
                <w:sz w:val="18"/>
                <w:szCs w:val="18"/>
              </w:rPr>
            </w:pPr>
            <w:r>
              <w:rPr>
                <w:rFonts w:hint="eastAsia"/>
                <w:b/>
                <w:bCs/>
                <w:color w:val="000000"/>
                <w:kern w:val="0"/>
                <w:sz w:val="18"/>
                <w:szCs w:val="18"/>
              </w:rPr>
              <w:t>主要结构及组成</w:t>
            </w:r>
          </w:p>
        </w:tc>
      </w:tr>
      <w:tr w14:paraId="61A6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E8E80A9">
            <w:pPr>
              <w:pStyle w:val="25"/>
              <w:keepNext/>
              <w:tabs>
                <w:tab w:val="left" w:pos="900"/>
              </w:tabs>
              <w:snapToGrid w:val="0"/>
              <w:spacing w:before="156" w:beforeLines="50"/>
              <w:ind w:firstLine="0" w:firstLineChars="0"/>
              <w:jc w:val="center"/>
              <w:rPr>
                <w:rFonts w:ascii="宋体"/>
                <w:b/>
                <w:bCs/>
                <w:color w:val="000000"/>
                <w:sz w:val="18"/>
                <w:szCs w:val="18"/>
              </w:rPr>
            </w:pPr>
            <w:r>
              <w:rPr>
                <w:rFonts w:ascii="宋体" w:hAnsi="宋体" w:cs="宋体"/>
                <w:b/>
                <w:bCs/>
                <w:sz w:val="18"/>
                <w:szCs w:val="18"/>
              </w:rPr>
              <w:t>中央传输室及其真空系统</w:t>
            </w:r>
          </w:p>
        </w:tc>
        <w:tc>
          <w:tcPr>
            <w:tcW w:w="8225" w:type="dxa"/>
            <w:vAlign w:val="center"/>
          </w:tcPr>
          <w:p w14:paraId="2BEA96C2">
            <w:pPr>
              <w:pStyle w:val="25"/>
              <w:keepNext/>
              <w:tabs>
                <w:tab w:val="left" w:pos="900"/>
              </w:tabs>
              <w:snapToGrid w:val="0"/>
              <w:spacing w:before="156" w:beforeLines="50"/>
              <w:ind w:firstLine="0" w:firstLineChars="0"/>
              <w:jc w:val="left"/>
              <w:rPr>
                <w:rFonts w:ascii="宋体"/>
                <w:color w:val="000000"/>
                <w:sz w:val="18"/>
                <w:szCs w:val="18"/>
              </w:rPr>
            </w:pPr>
            <w:r>
              <w:rPr>
                <w:rFonts w:ascii="宋体" w:hAnsi="宋体" w:cs="宋体"/>
                <w:sz w:val="18"/>
                <w:szCs w:val="18"/>
              </w:rPr>
              <w:t>预留不少于5个工位接口</w:t>
            </w:r>
            <w:r>
              <w:rPr>
                <w:rFonts w:hint="eastAsia" w:ascii="宋体" w:hAnsi="宋体" w:cs="宋体"/>
                <w:sz w:val="18"/>
                <w:szCs w:val="18"/>
              </w:rPr>
              <w:t>，</w:t>
            </w:r>
            <w:r>
              <w:rPr>
                <w:rFonts w:ascii="宋体" w:hAnsi="宋体" w:cs="宋体"/>
                <w:sz w:val="18"/>
                <w:szCs w:val="18"/>
              </w:rPr>
              <w:t>包含但不少于1套高精度真空机械手，包含但不少于磁悬浮分子泵1台（或大抽速冷凝泵），机械泵1台。包含但不少于冷阴极电离计与皮拉尼复合真空计及其控制器1套。不锈钢抽气管道、波纹软管及真空隔离高密封闸板阀足量。</w:t>
            </w:r>
          </w:p>
        </w:tc>
      </w:tr>
      <w:tr w14:paraId="07A2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43BC5C9">
            <w:pPr>
              <w:pStyle w:val="25"/>
              <w:keepNext/>
              <w:tabs>
                <w:tab w:val="left" w:pos="900"/>
              </w:tabs>
              <w:snapToGrid w:val="0"/>
              <w:spacing w:before="156" w:beforeLines="50"/>
              <w:ind w:firstLine="0" w:firstLineChars="0"/>
              <w:jc w:val="center"/>
              <w:rPr>
                <w:rFonts w:ascii="宋体"/>
                <w:b/>
                <w:bCs/>
                <w:color w:val="000000"/>
                <w:sz w:val="18"/>
                <w:szCs w:val="18"/>
              </w:rPr>
            </w:pPr>
            <w:r>
              <w:rPr>
                <w:rFonts w:ascii="宋体" w:hAnsi="宋体" w:cs="宋体"/>
                <w:b/>
                <w:bCs/>
                <w:sz w:val="18"/>
                <w:szCs w:val="18"/>
              </w:rPr>
              <w:t>工艺室系统</w:t>
            </w:r>
          </w:p>
        </w:tc>
        <w:tc>
          <w:tcPr>
            <w:tcW w:w="8225" w:type="dxa"/>
            <w:vAlign w:val="center"/>
          </w:tcPr>
          <w:p w14:paraId="441F80F1">
            <w:pPr>
              <w:pStyle w:val="25"/>
              <w:keepNext/>
              <w:tabs>
                <w:tab w:val="left" w:pos="900"/>
              </w:tabs>
              <w:snapToGrid w:val="0"/>
              <w:spacing w:before="156" w:beforeLines="50"/>
              <w:ind w:firstLine="0" w:firstLineChars="0"/>
              <w:jc w:val="left"/>
              <w:rPr>
                <w:rFonts w:ascii="宋体"/>
                <w:color w:val="000000"/>
                <w:sz w:val="18"/>
                <w:szCs w:val="18"/>
              </w:rPr>
            </w:pPr>
            <w:r>
              <w:rPr>
                <w:rFonts w:ascii="宋体" w:hAnsi="宋体" w:cs="宋体"/>
                <w:sz w:val="18"/>
                <w:szCs w:val="18"/>
              </w:rPr>
              <w:t>包含但不少于4个独立的工艺腔室；腔体采用铝合金材质，内部进行抗腐蚀及抗等离子体轰击表面处理。</w:t>
            </w:r>
            <w:r>
              <w:rPr>
                <w:rFonts w:hint="eastAsia" w:ascii="宋体" w:hAnsi="宋体" w:cs="宋体"/>
                <w:sz w:val="18"/>
                <w:szCs w:val="18"/>
              </w:rPr>
              <w:t>所有</w:t>
            </w:r>
            <w:r>
              <w:rPr>
                <w:rFonts w:ascii="宋体" w:hAnsi="宋体" w:cs="宋体"/>
                <w:sz w:val="18"/>
                <w:szCs w:val="18"/>
              </w:rPr>
              <w:t>工艺室共用干式机械泵组不少于</w:t>
            </w:r>
            <w:r>
              <w:rPr>
                <w:rFonts w:hint="eastAsia" w:ascii="宋体" w:hAnsi="宋体" w:cs="宋体"/>
                <w:sz w:val="18"/>
                <w:szCs w:val="18"/>
              </w:rPr>
              <w:t>1台</w:t>
            </w:r>
            <w:r>
              <w:rPr>
                <w:rFonts w:ascii="宋体" w:hAnsi="宋体" w:cs="宋体"/>
                <w:sz w:val="18"/>
                <w:szCs w:val="18"/>
              </w:rPr>
              <w:t>、闭环控制压力控制阀不少于</w:t>
            </w:r>
            <w:r>
              <w:rPr>
                <w:rFonts w:hint="eastAsia" w:ascii="宋体" w:hAnsi="宋体" w:cs="宋体"/>
                <w:sz w:val="18"/>
                <w:szCs w:val="18"/>
              </w:rPr>
              <w:t>1台</w:t>
            </w:r>
            <w:r>
              <w:rPr>
                <w:rFonts w:ascii="宋体" w:hAnsi="宋体" w:cs="宋体"/>
                <w:sz w:val="18"/>
                <w:szCs w:val="18"/>
              </w:rPr>
              <w:t>、射频电源不少于</w:t>
            </w:r>
            <w:r>
              <w:rPr>
                <w:rFonts w:hint="eastAsia" w:ascii="宋体" w:hAnsi="宋体" w:cs="宋体"/>
                <w:sz w:val="18"/>
                <w:szCs w:val="18"/>
              </w:rPr>
              <w:t>1台</w:t>
            </w:r>
            <w:r>
              <w:rPr>
                <w:rFonts w:ascii="宋体" w:hAnsi="宋体" w:cs="宋体"/>
                <w:sz w:val="18"/>
                <w:szCs w:val="18"/>
              </w:rPr>
              <w:t>；每个工艺室包含电容薄膜规</w:t>
            </w:r>
            <w:r>
              <w:rPr>
                <w:rFonts w:hint="eastAsia" w:ascii="宋体" w:hAnsi="宋体" w:cs="宋体"/>
                <w:sz w:val="18"/>
                <w:szCs w:val="18"/>
              </w:rPr>
              <w:t>不少于</w:t>
            </w:r>
            <w:r>
              <w:rPr>
                <w:rFonts w:ascii="宋体" w:hAnsi="宋体" w:cs="宋体"/>
                <w:sz w:val="18"/>
                <w:szCs w:val="18"/>
              </w:rPr>
              <w:t>1套、射频电源匹配器不少于</w:t>
            </w:r>
            <w:r>
              <w:rPr>
                <w:rFonts w:hint="eastAsia" w:ascii="宋体" w:hAnsi="宋体" w:cs="宋体"/>
                <w:sz w:val="18"/>
                <w:szCs w:val="18"/>
              </w:rPr>
              <w:t>1台、电极升</w:t>
            </w:r>
            <w:r>
              <w:rPr>
                <w:rFonts w:hint="eastAsia" w:ascii="宋体" w:hAnsi="宋体" w:cs="宋体"/>
                <w:sz w:val="18"/>
                <w:szCs w:val="18"/>
                <w:lang w:val="en-US" w:eastAsia="zh-CN"/>
              </w:rPr>
              <w:t>降</w:t>
            </w:r>
            <w:r>
              <w:rPr>
                <w:rFonts w:hint="eastAsia" w:ascii="宋体" w:hAnsi="宋体" w:cs="宋体"/>
                <w:sz w:val="18"/>
                <w:szCs w:val="18"/>
              </w:rPr>
              <w:t>不少于1套</w:t>
            </w:r>
            <w:r>
              <w:rPr>
                <w:rFonts w:ascii="宋体" w:hAnsi="宋体" w:cs="宋体"/>
                <w:sz w:val="18"/>
                <w:szCs w:val="18"/>
              </w:rPr>
              <w:t>。</w:t>
            </w:r>
          </w:p>
        </w:tc>
      </w:tr>
      <w:tr w14:paraId="2347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FC7FD9E">
            <w:pPr>
              <w:pStyle w:val="25"/>
              <w:keepNext/>
              <w:tabs>
                <w:tab w:val="left" w:pos="900"/>
              </w:tabs>
              <w:snapToGrid w:val="0"/>
              <w:spacing w:before="156" w:beforeLines="50"/>
              <w:ind w:firstLine="0" w:firstLineChars="0"/>
              <w:jc w:val="center"/>
              <w:rPr>
                <w:rFonts w:ascii="宋体"/>
                <w:b/>
                <w:bCs/>
                <w:color w:val="000000"/>
                <w:sz w:val="18"/>
                <w:szCs w:val="18"/>
              </w:rPr>
            </w:pPr>
            <w:r>
              <w:rPr>
                <w:rFonts w:ascii="宋体" w:hAnsi="宋体" w:cs="宋体"/>
                <w:b/>
                <w:bCs/>
                <w:sz w:val="18"/>
                <w:szCs w:val="18"/>
              </w:rPr>
              <w:t>进出片室及其真空系统</w:t>
            </w:r>
          </w:p>
        </w:tc>
        <w:tc>
          <w:tcPr>
            <w:tcW w:w="8225" w:type="dxa"/>
            <w:vAlign w:val="center"/>
          </w:tcPr>
          <w:p w14:paraId="365984C5">
            <w:pPr>
              <w:pStyle w:val="25"/>
              <w:keepNext/>
              <w:tabs>
                <w:tab w:val="left" w:pos="900"/>
              </w:tabs>
              <w:snapToGrid w:val="0"/>
              <w:spacing w:before="156" w:beforeLines="50"/>
              <w:ind w:firstLine="0" w:firstLineChars="0"/>
              <w:jc w:val="left"/>
              <w:rPr>
                <w:rFonts w:ascii="宋体"/>
                <w:color w:val="000000"/>
                <w:sz w:val="18"/>
                <w:szCs w:val="18"/>
              </w:rPr>
            </w:pPr>
            <w:r>
              <w:rPr>
                <w:rFonts w:ascii="宋体" w:hAnsi="宋体" w:cs="宋体"/>
                <w:sz w:val="18"/>
                <w:szCs w:val="18"/>
              </w:rPr>
              <w:t>包含但不少于1个独立的腔体；采用铝合金或不锈钢腔体，配有多层晶圆暂存</w:t>
            </w:r>
            <w:r>
              <w:rPr>
                <w:rFonts w:hint="eastAsia" w:ascii="宋体" w:hAnsi="宋体" w:cs="宋体"/>
                <w:sz w:val="18"/>
                <w:szCs w:val="18"/>
              </w:rPr>
              <w:t>冷却片架和</w:t>
            </w:r>
            <w:r>
              <w:rPr>
                <w:rFonts w:ascii="宋体" w:hAnsi="宋体" w:cs="宋体"/>
                <w:sz w:val="18"/>
                <w:szCs w:val="18"/>
              </w:rPr>
              <w:t>升降台。包含但不少于机械泵 1 台。</w:t>
            </w:r>
          </w:p>
        </w:tc>
      </w:tr>
      <w:tr w14:paraId="7514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FCDEBAD">
            <w:pPr>
              <w:pStyle w:val="25"/>
              <w:keepNext/>
              <w:tabs>
                <w:tab w:val="left" w:pos="900"/>
              </w:tabs>
              <w:snapToGrid w:val="0"/>
              <w:spacing w:before="156" w:beforeLines="50"/>
              <w:ind w:firstLine="0" w:firstLineChars="0"/>
              <w:jc w:val="center"/>
              <w:rPr>
                <w:rFonts w:ascii="宋体"/>
                <w:b/>
                <w:bCs/>
                <w:color w:val="000000"/>
                <w:sz w:val="18"/>
                <w:szCs w:val="18"/>
              </w:rPr>
            </w:pPr>
            <w:r>
              <w:rPr>
                <w:rFonts w:ascii="宋体" w:hAnsi="宋体" w:cs="宋体"/>
                <w:b/>
                <w:bCs/>
                <w:sz w:val="18"/>
                <w:szCs w:val="18"/>
              </w:rPr>
              <w:t>特气分配系统</w:t>
            </w:r>
          </w:p>
        </w:tc>
        <w:tc>
          <w:tcPr>
            <w:tcW w:w="8225" w:type="dxa"/>
            <w:vAlign w:val="center"/>
          </w:tcPr>
          <w:p w14:paraId="19D7563E">
            <w:pPr>
              <w:pStyle w:val="25"/>
              <w:keepNext/>
              <w:tabs>
                <w:tab w:val="left" w:pos="900"/>
              </w:tabs>
              <w:snapToGrid w:val="0"/>
              <w:spacing w:before="156" w:beforeLines="50"/>
              <w:ind w:firstLine="0" w:firstLineChars="0"/>
              <w:jc w:val="left"/>
              <w:rPr>
                <w:rFonts w:ascii="宋体"/>
                <w:color w:val="000000"/>
                <w:sz w:val="18"/>
                <w:szCs w:val="18"/>
              </w:rPr>
            </w:pPr>
            <w:r>
              <w:rPr>
                <w:rFonts w:ascii="宋体" w:hAnsi="宋体" w:cs="宋体"/>
                <w:sz w:val="18"/>
                <w:szCs w:val="18"/>
              </w:rPr>
              <w:t>所有气体管路采用 316L内表面电解抛光（EP）管，VCR接头连接；剧毒及易爆气体采用同轴双套管防护；包含各工艺所需的高纯气动隔膜阀及在线过滤器足量。主机配有</w:t>
            </w:r>
            <w:r>
              <w:rPr>
                <w:rFonts w:hint="eastAsia" w:ascii="宋体" w:hAnsi="宋体" w:cs="宋体"/>
                <w:sz w:val="18"/>
                <w:szCs w:val="18"/>
              </w:rPr>
              <w:t>不少于1套</w:t>
            </w:r>
            <w:r>
              <w:rPr>
                <w:rFonts w:ascii="宋体" w:hAnsi="宋体" w:cs="宋体"/>
                <w:sz w:val="18"/>
                <w:szCs w:val="18"/>
              </w:rPr>
              <w:t>独立的数字式质量流量控制器阵列控制柜</w:t>
            </w:r>
            <w:r>
              <w:rPr>
                <w:rFonts w:hint="eastAsia" w:ascii="宋体" w:hAnsi="宋体" w:cs="宋体"/>
                <w:sz w:val="18"/>
                <w:szCs w:val="18"/>
              </w:rPr>
              <w:t>。</w:t>
            </w:r>
          </w:p>
        </w:tc>
      </w:tr>
      <w:tr w14:paraId="2197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 w:type="dxa"/>
            <w:vAlign w:val="center"/>
          </w:tcPr>
          <w:p w14:paraId="2722FD15">
            <w:pPr>
              <w:pStyle w:val="25"/>
              <w:keepNext/>
              <w:tabs>
                <w:tab w:val="left" w:pos="900"/>
              </w:tabs>
              <w:snapToGrid w:val="0"/>
              <w:spacing w:before="156" w:beforeLines="50"/>
              <w:ind w:firstLine="0" w:firstLineChars="0"/>
              <w:jc w:val="center"/>
              <w:rPr>
                <w:rFonts w:ascii="宋体"/>
                <w:b/>
                <w:bCs/>
                <w:color w:val="000000"/>
                <w:sz w:val="18"/>
                <w:szCs w:val="18"/>
              </w:rPr>
            </w:pPr>
            <w:r>
              <w:rPr>
                <w:rFonts w:ascii="宋体" w:hAnsi="宋体" w:cs="宋体"/>
                <w:b/>
                <w:bCs/>
                <w:sz w:val="18"/>
                <w:szCs w:val="18"/>
              </w:rPr>
              <w:t>配套备件</w:t>
            </w:r>
          </w:p>
        </w:tc>
        <w:tc>
          <w:tcPr>
            <w:tcW w:w="8225" w:type="dxa"/>
            <w:vAlign w:val="center"/>
          </w:tcPr>
          <w:p w14:paraId="0453E57A">
            <w:pPr>
              <w:pStyle w:val="25"/>
              <w:keepNext/>
              <w:tabs>
                <w:tab w:val="left" w:pos="900"/>
              </w:tabs>
              <w:snapToGrid w:val="0"/>
              <w:spacing w:before="156" w:beforeLines="50"/>
              <w:ind w:firstLine="0" w:firstLineChars="0"/>
              <w:jc w:val="left"/>
              <w:rPr>
                <w:rFonts w:ascii="宋体"/>
                <w:color w:val="000000"/>
                <w:sz w:val="18"/>
                <w:szCs w:val="18"/>
              </w:rPr>
            </w:pPr>
            <w:r>
              <w:rPr>
                <w:rFonts w:ascii="宋体" w:hAnsi="宋体" w:cs="宋体"/>
                <w:sz w:val="18"/>
                <w:szCs w:val="18"/>
              </w:rPr>
              <w:t>提供必要的耗材及易损件，包含但不限于真空O型密封圈组件（不少于2套）、石英/陶瓷传片桨（不少于1根）及专用维护工具 1 套。</w:t>
            </w:r>
          </w:p>
        </w:tc>
      </w:tr>
      <w:tr w14:paraId="6D3B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 w:type="dxa"/>
            <w:vAlign w:val="center"/>
          </w:tcPr>
          <w:p w14:paraId="3CDE1F77">
            <w:pPr>
              <w:pStyle w:val="25"/>
              <w:keepNext/>
              <w:tabs>
                <w:tab w:val="left" w:pos="900"/>
              </w:tabs>
              <w:snapToGrid w:val="0"/>
              <w:spacing w:before="156" w:beforeLines="50"/>
              <w:ind w:firstLine="0" w:firstLineChars="0"/>
              <w:jc w:val="center"/>
              <w:rPr>
                <w:rFonts w:ascii="宋体" w:hAnsi="宋体" w:cs="宋体"/>
                <w:b/>
                <w:bCs/>
                <w:sz w:val="18"/>
                <w:szCs w:val="18"/>
              </w:rPr>
            </w:pPr>
            <w:r>
              <w:rPr>
                <w:rFonts w:hint="eastAsia" w:ascii="宋体" w:hAnsi="宋体" w:cs="宋体"/>
                <w:b/>
                <w:bCs/>
                <w:sz w:val="18"/>
                <w:szCs w:val="18"/>
              </w:rPr>
              <w:t>外围设施</w:t>
            </w:r>
          </w:p>
        </w:tc>
        <w:tc>
          <w:tcPr>
            <w:tcW w:w="8225" w:type="dxa"/>
            <w:vAlign w:val="center"/>
          </w:tcPr>
          <w:p w14:paraId="3069FDD6">
            <w:pPr>
              <w:pStyle w:val="25"/>
              <w:keepNext/>
              <w:tabs>
                <w:tab w:val="left" w:pos="900"/>
              </w:tabs>
              <w:snapToGrid w:val="0"/>
              <w:spacing w:before="156" w:beforeLines="50"/>
              <w:ind w:firstLine="0" w:firstLineChars="0"/>
              <w:jc w:val="left"/>
              <w:rPr>
                <w:rFonts w:ascii="宋体" w:hAnsi="宋体" w:cs="宋体"/>
                <w:sz w:val="18"/>
                <w:szCs w:val="18"/>
              </w:rPr>
            </w:pPr>
            <w:r>
              <w:rPr>
                <w:rFonts w:hint="eastAsia" w:ascii="宋体" w:hAnsi="宋体" w:cs="宋体"/>
                <w:sz w:val="18"/>
                <w:szCs w:val="18"/>
              </w:rPr>
              <w:t>总长不超过1</w:t>
            </w:r>
            <w:r>
              <w:rPr>
                <w:rFonts w:ascii="宋体" w:hAnsi="宋体" w:cs="宋体"/>
                <w:sz w:val="18"/>
                <w:szCs w:val="18"/>
              </w:rPr>
              <w:t>00m长的</w:t>
            </w:r>
            <w:r>
              <w:rPr>
                <w:rFonts w:hint="eastAsia" w:ascii="宋体" w:hAnsi="宋体" w:cs="宋体"/>
                <w:sz w:val="18"/>
                <w:szCs w:val="18"/>
              </w:rPr>
              <w:t>特气连接管路、真空系统、冷却水分配系统、废气处理系统 、电气配电系统等，使设备能够正常投入工作。（不包含气源柜、气瓶柜、气源控制板、循环水系统的厂务设施）</w:t>
            </w:r>
          </w:p>
        </w:tc>
      </w:tr>
    </w:tbl>
    <w:p w14:paraId="10D5C268">
      <w:pPr>
        <w:widowControl/>
        <w:jc w:val="left"/>
        <w:rPr>
          <w:szCs w:val="21"/>
        </w:rPr>
      </w:pPr>
    </w:p>
    <w:p w14:paraId="375CA6E5">
      <w:pPr>
        <w:widowControl/>
        <w:jc w:val="left"/>
        <w:rPr>
          <w:szCs w:val="21"/>
        </w:rPr>
      </w:pPr>
    </w:p>
    <w:p w14:paraId="5E7A5281">
      <w:pPr>
        <w:pStyle w:val="25"/>
        <w:numPr>
          <w:ilvl w:val="0"/>
          <w:numId w:val="1"/>
        </w:numPr>
        <w:tabs>
          <w:tab w:val="left" w:pos="900"/>
        </w:tabs>
        <w:spacing w:before="156" w:beforeLines="50" w:line="360" w:lineRule="auto"/>
        <w:ind w:firstLineChars="0"/>
        <w:rPr>
          <w:b/>
          <w:color w:val="000000"/>
          <w:sz w:val="22"/>
          <w:szCs w:val="22"/>
        </w:rPr>
      </w:pPr>
      <w:r>
        <w:rPr>
          <w:rFonts w:hint="eastAsia"/>
          <w:b/>
          <w:color w:val="000000"/>
          <w:sz w:val="22"/>
          <w:szCs w:val="22"/>
        </w:rPr>
        <w:t>技术规格：</w:t>
      </w:r>
    </w:p>
    <w:p w14:paraId="13C54F5A">
      <w:pPr>
        <w:pStyle w:val="25"/>
        <w:numPr>
          <w:ilvl w:val="0"/>
          <w:numId w:val="2"/>
        </w:numPr>
        <w:tabs>
          <w:tab w:val="left" w:pos="900"/>
        </w:tabs>
        <w:spacing w:before="156" w:beforeLines="50" w:line="360" w:lineRule="auto"/>
        <w:ind w:firstLineChars="0"/>
        <w:rPr>
          <w:bCs/>
          <w:color w:val="000000"/>
          <w:szCs w:val="21"/>
        </w:rPr>
      </w:pPr>
      <w:r>
        <w:rPr>
          <w:b/>
          <w:szCs w:val="21"/>
        </w:rPr>
        <w:t>▲</w:t>
      </w:r>
      <w:r>
        <w:rPr>
          <w:rFonts w:hint="eastAsia"/>
          <w:bCs/>
          <w:color w:val="000000"/>
          <w:szCs w:val="21"/>
        </w:rPr>
        <w:t xml:space="preserve">工作压力：10～500Pa </w:t>
      </w:r>
    </w:p>
    <w:p w14:paraId="503A5A8F">
      <w:pPr>
        <w:pStyle w:val="25"/>
        <w:numPr>
          <w:ilvl w:val="0"/>
          <w:numId w:val="2"/>
        </w:numPr>
        <w:tabs>
          <w:tab w:val="left" w:pos="900"/>
        </w:tabs>
        <w:spacing w:before="156" w:beforeLines="50" w:line="360" w:lineRule="auto"/>
        <w:ind w:firstLineChars="0"/>
        <w:rPr>
          <w:bCs/>
          <w:color w:val="000000"/>
          <w:szCs w:val="21"/>
        </w:rPr>
      </w:pPr>
      <w:r>
        <w:rPr>
          <w:rFonts w:hint="eastAsia"/>
          <w:b/>
          <w:szCs w:val="21"/>
        </w:rPr>
        <w:t>*</w:t>
      </w:r>
      <w:r>
        <w:rPr>
          <w:rFonts w:hint="eastAsia"/>
          <w:bCs/>
          <w:color w:val="000000"/>
          <w:szCs w:val="21"/>
        </w:rPr>
        <w:t>膜厚均匀性：膜厚均匀性≤±3%</w:t>
      </w:r>
    </w:p>
    <w:p w14:paraId="7EFD3A62">
      <w:pPr>
        <w:pStyle w:val="25"/>
        <w:numPr>
          <w:ilvl w:val="0"/>
          <w:numId w:val="2"/>
        </w:numPr>
        <w:tabs>
          <w:tab w:val="left" w:pos="900"/>
        </w:tabs>
        <w:spacing w:before="156" w:beforeLines="50" w:line="360" w:lineRule="auto"/>
        <w:ind w:firstLineChars="0"/>
        <w:rPr>
          <w:bCs/>
          <w:color w:val="000000"/>
          <w:szCs w:val="21"/>
        </w:rPr>
      </w:pPr>
      <w:r>
        <w:rPr>
          <w:b/>
          <w:szCs w:val="21"/>
        </w:rPr>
        <w:t>▲</w:t>
      </w:r>
      <w:r>
        <w:rPr>
          <w:rFonts w:hint="eastAsia"/>
          <w:bCs/>
          <w:color w:val="000000"/>
          <w:szCs w:val="21"/>
        </w:rPr>
        <w:t>基片加热功能：</w:t>
      </w:r>
      <w:r>
        <w:rPr>
          <w:rFonts w:ascii="宋体" w:hAnsi="宋体" w:cs="宋体"/>
          <w:sz w:val="24"/>
          <w:szCs w:val="24"/>
        </w:rPr>
        <w:t>≥</w:t>
      </w:r>
      <w:r>
        <w:rPr>
          <w:rFonts w:hint="eastAsia" w:ascii="宋体" w:hAnsi="宋体" w:cs="宋体"/>
          <w:sz w:val="24"/>
          <w:szCs w:val="24"/>
        </w:rPr>
        <w:t>3</w:t>
      </w:r>
      <w:r>
        <w:rPr>
          <w:rFonts w:hint="eastAsia"/>
          <w:bCs/>
          <w:color w:val="000000"/>
          <w:szCs w:val="21"/>
        </w:rPr>
        <w:t>50℃</w:t>
      </w:r>
    </w:p>
    <w:p w14:paraId="29CB454A">
      <w:pPr>
        <w:pStyle w:val="25"/>
        <w:numPr>
          <w:ilvl w:val="0"/>
          <w:numId w:val="2"/>
        </w:numPr>
        <w:tabs>
          <w:tab w:val="left" w:pos="900"/>
        </w:tabs>
        <w:spacing w:before="156" w:beforeLines="50" w:line="360" w:lineRule="auto"/>
        <w:ind w:firstLineChars="0"/>
        <w:rPr>
          <w:bCs/>
          <w:color w:val="000000"/>
          <w:szCs w:val="21"/>
        </w:rPr>
      </w:pPr>
      <w:r>
        <w:rPr>
          <w:b/>
          <w:szCs w:val="21"/>
        </w:rPr>
        <w:t>▲</w:t>
      </w:r>
      <w:r>
        <w:rPr>
          <w:szCs w:val="21"/>
        </w:rPr>
        <w:t>有效镀膜区域：直径</w:t>
      </w:r>
      <w:r>
        <w:rPr>
          <w:rFonts w:hint="eastAsia"/>
          <w:szCs w:val="21"/>
        </w:rPr>
        <w:t>1</w:t>
      </w:r>
      <w:r>
        <w:rPr>
          <w:szCs w:val="21"/>
        </w:rPr>
        <w:t>50mm</w:t>
      </w:r>
      <w:r>
        <w:rPr>
          <w:bCs/>
          <w:color w:val="000000"/>
          <w:szCs w:val="21"/>
        </w:rPr>
        <w:t xml:space="preserve"> ，载板尺寸</w:t>
      </w:r>
      <w:r>
        <w:rPr>
          <w:rFonts w:hint="eastAsia"/>
          <w:bCs/>
          <w:color w:val="000000"/>
          <w:szCs w:val="21"/>
        </w:rPr>
        <w:t>满足1</w:t>
      </w:r>
      <w:r>
        <w:rPr>
          <w:bCs/>
          <w:color w:val="000000"/>
          <w:szCs w:val="21"/>
        </w:rPr>
        <w:t>50mm有效沉积区域，兼容</w:t>
      </w:r>
      <w:r>
        <w:rPr>
          <w:rFonts w:hint="eastAsia"/>
          <w:bCs/>
          <w:color w:val="000000"/>
          <w:szCs w:val="21"/>
        </w:rPr>
        <w:t>2英寸、4英寸、6英寸直径工件</w:t>
      </w:r>
    </w:p>
    <w:p w14:paraId="699567E8">
      <w:pPr>
        <w:pStyle w:val="25"/>
        <w:numPr>
          <w:ilvl w:val="0"/>
          <w:numId w:val="2"/>
        </w:numPr>
        <w:tabs>
          <w:tab w:val="left" w:pos="900"/>
        </w:tabs>
        <w:spacing w:before="156" w:beforeLines="50" w:line="360" w:lineRule="auto"/>
        <w:ind w:firstLineChars="0"/>
        <w:rPr>
          <w:bCs/>
          <w:color w:val="000000"/>
          <w:szCs w:val="21"/>
        </w:rPr>
      </w:pPr>
      <w:r>
        <w:rPr>
          <w:b/>
          <w:szCs w:val="21"/>
        </w:rPr>
        <w:t>▲</w:t>
      </w:r>
      <w:r>
        <w:rPr>
          <w:rFonts w:hint="eastAsia"/>
          <w:bCs/>
          <w:color w:val="000000"/>
          <w:szCs w:val="21"/>
        </w:rPr>
        <w:t>加热温度均匀性：≤ ±5℃</w:t>
      </w:r>
    </w:p>
    <w:p w14:paraId="4E44036F">
      <w:pPr>
        <w:pStyle w:val="25"/>
        <w:numPr>
          <w:ilvl w:val="0"/>
          <w:numId w:val="2"/>
        </w:numPr>
        <w:tabs>
          <w:tab w:val="left" w:pos="900"/>
        </w:tabs>
        <w:spacing w:before="156" w:beforeLines="50" w:line="360" w:lineRule="auto"/>
        <w:ind w:firstLineChars="0"/>
        <w:rPr>
          <w:bCs/>
          <w:color w:val="000000"/>
          <w:szCs w:val="21"/>
        </w:rPr>
      </w:pPr>
      <w:r>
        <w:rPr>
          <w:rFonts w:hint="eastAsia"/>
          <w:b/>
          <w:szCs w:val="21"/>
        </w:rPr>
        <w:t>*</w:t>
      </w:r>
      <w:r>
        <w:rPr>
          <w:rFonts w:hint="eastAsia"/>
          <w:bCs/>
          <w:color w:val="000000"/>
          <w:szCs w:val="21"/>
        </w:rPr>
        <w:t>腔室清洗：在线 NF3 清洗</w:t>
      </w:r>
    </w:p>
    <w:p w14:paraId="54EC7B01">
      <w:pPr>
        <w:pStyle w:val="25"/>
        <w:numPr>
          <w:ilvl w:val="0"/>
          <w:numId w:val="2"/>
        </w:numPr>
        <w:tabs>
          <w:tab w:val="left" w:pos="900"/>
        </w:tabs>
        <w:spacing w:before="156" w:beforeLines="50" w:line="360" w:lineRule="auto"/>
        <w:ind w:firstLineChars="0"/>
        <w:rPr>
          <w:rFonts w:hAnsi="宋体"/>
          <w:szCs w:val="21"/>
        </w:rPr>
      </w:pPr>
      <w:r>
        <w:rPr>
          <w:rFonts w:hint="eastAsia"/>
          <w:b/>
          <w:szCs w:val="21"/>
        </w:rPr>
        <w:t>*</w:t>
      </w:r>
      <w:r>
        <w:rPr>
          <w:rFonts w:hint="eastAsia"/>
          <w:color w:val="000000"/>
          <w:szCs w:val="21"/>
        </w:rPr>
        <w:t>工艺气体：兼容Ar，SiH4，PH3，B2H6，H2，NF3，NH3，CO2，CH4，N2O，N2等气路输入，</w:t>
      </w:r>
      <w:r>
        <w:rPr>
          <w:rFonts w:ascii="Arial" w:hAnsi="Arial" w:eastAsia="等线" w:cs="Arial"/>
          <w:szCs w:val="21"/>
        </w:rPr>
        <w:t>配置 MFC 质量流量控制器，各路气体独立流量精准调控</w:t>
      </w:r>
    </w:p>
    <w:p w14:paraId="1C36B733">
      <w:pPr>
        <w:pStyle w:val="25"/>
        <w:numPr>
          <w:ilvl w:val="0"/>
          <w:numId w:val="2"/>
        </w:numPr>
        <w:tabs>
          <w:tab w:val="left" w:pos="900"/>
        </w:tabs>
        <w:spacing w:before="156" w:beforeLines="50" w:line="360" w:lineRule="auto"/>
        <w:ind w:firstLineChars="0"/>
        <w:rPr>
          <w:rFonts w:hAnsi="宋体"/>
          <w:szCs w:val="21"/>
        </w:rPr>
      </w:pPr>
      <w:r>
        <w:rPr>
          <w:rFonts w:hint="eastAsia" w:hAnsi="宋体"/>
          <w:szCs w:val="21"/>
        </w:rPr>
        <w:t>射频点源功率：≥300W，频率：13.56MHz</w:t>
      </w:r>
    </w:p>
    <w:p w14:paraId="7A1EE5F5">
      <w:pPr>
        <w:pStyle w:val="25"/>
        <w:numPr>
          <w:ilvl w:val="0"/>
          <w:numId w:val="2"/>
        </w:numPr>
        <w:tabs>
          <w:tab w:val="left" w:pos="900"/>
        </w:tabs>
        <w:spacing w:before="156" w:beforeLines="50" w:line="360" w:lineRule="auto"/>
        <w:ind w:firstLineChars="0"/>
        <w:rPr>
          <w:rFonts w:hAnsi="宋体"/>
          <w:szCs w:val="21"/>
        </w:rPr>
      </w:pPr>
      <w:bookmarkStart w:id="5" w:name="OLE_LINK8"/>
      <w:r>
        <w:rPr>
          <w:rFonts w:hint="eastAsia" w:hAnsi="宋体"/>
          <w:szCs w:val="21"/>
        </w:rPr>
        <w:t>▲</w:t>
      </w:r>
      <w:bookmarkEnd w:id="5"/>
      <w:r>
        <w:rPr>
          <w:rFonts w:hint="eastAsia" w:hAnsi="宋体"/>
          <w:szCs w:val="21"/>
        </w:rPr>
        <w:t>电极要求：喷淋电极下表面和下电极上表面之间的放电距离在8到28mm之间可调；</w:t>
      </w:r>
      <w:r>
        <w:rPr>
          <w:rFonts w:hAnsi="宋体"/>
          <w:szCs w:val="21"/>
        </w:rPr>
        <w:t>莲蓬头式均匀进气，带等离子屏蔽罩，高频绝缘无辐射干扰</w:t>
      </w:r>
    </w:p>
    <w:p w14:paraId="0E68DE52">
      <w:pPr>
        <w:pStyle w:val="25"/>
        <w:numPr>
          <w:ilvl w:val="0"/>
          <w:numId w:val="2"/>
        </w:numPr>
        <w:tabs>
          <w:tab w:val="left" w:pos="900"/>
        </w:tabs>
        <w:spacing w:before="156" w:beforeLines="50" w:line="360" w:lineRule="auto"/>
        <w:ind w:firstLineChars="0"/>
        <w:rPr>
          <w:rFonts w:hAnsi="宋体"/>
          <w:szCs w:val="21"/>
        </w:rPr>
      </w:pPr>
      <w:bookmarkStart w:id="6" w:name="OLE_LINK5"/>
      <w:r>
        <w:rPr>
          <w:rFonts w:hint="eastAsia" w:hAnsi="宋体"/>
          <w:szCs w:val="21"/>
        </w:rPr>
        <w:t>▲极限真空：5×10</w:t>
      </w:r>
      <w:r>
        <w:rPr>
          <w:rFonts w:hint="eastAsia" w:hAnsi="宋体"/>
          <w:szCs w:val="21"/>
          <w:vertAlign w:val="superscript"/>
        </w:rPr>
        <w:t xml:space="preserve">-4 </w:t>
      </w:r>
      <w:r>
        <w:rPr>
          <w:rFonts w:hint="eastAsia" w:hAnsi="宋体"/>
          <w:szCs w:val="21"/>
        </w:rPr>
        <w:t>Pa；工作压力控制范围：13.3～1330Pa，全自动闭环稳压控制；抽气系统：采用分子泵 + 机械泵真空机组，标配旁路抽气回路；压强控制：配置进口电容薄膜规、进口蝶阀，电脑设定参数，系统自动稳压</w:t>
      </w:r>
    </w:p>
    <w:bookmarkEnd w:id="6"/>
    <w:p w14:paraId="68259C12">
      <w:pPr>
        <w:pStyle w:val="25"/>
        <w:numPr>
          <w:ilvl w:val="0"/>
          <w:numId w:val="2"/>
        </w:numPr>
        <w:tabs>
          <w:tab w:val="left" w:pos="900"/>
        </w:tabs>
        <w:spacing w:before="156" w:beforeLines="50" w:line="360" w:lineRule="auto"/>
        <w:ind w:firstLineChars="0"/>
        <w:rPr>
          <w:rFonts w:hAnsi="宋体"/>
          <w:szCs w:val="21"/>
        </w:rPr>
      </w:pPr>
      <w:r>
        <w:rPr>
          <w:rFonts w:hint="eastAsia" w:hAnsi="宋体"/>
          <w:szCs w:val="21"/>
        </w:rPr>
        <w:t>▲处理尾气种类：硅烷、氢气、磷烷、硼烷、氟化氮等</w:t>
      </w:r>
    </w:p>
    <w:p w14:paraId="084EC704">
      <w:pPr>
        <w:pStyle w:val="25"/>
        <w:numPr>
          <w:ilvl w:val="0"/>
          <w:numId w:val="2"/>
        </w:numPr>
        <w:tabs>
          <w:tab w:val="left" w:pos="900"/>
        </w:tabs>
        <w:spacing w:before="156" w:beforeLines="50" w:line="360" w:lineRule="auto"/>
        <w:ind w:firstLineChars="0"/>
        <w:rPr>
          <w:rFonts w:hAnsi="宋体"/>
          <w:szCs w:val="21"/>
        </w:rPr>
      </w:pPr>
      <w:r>
        <w:rPr>
          <w:rFonts w:hint="eastAsia" w:hAnsi="宋体"/>
          <w:szCs w:val="21"/>
        </w:rPr>
        <w:t>有效尾气处理能力：&gt;2L/min</w:t>
      </w:r>
    </w:p>
    <w:p w14:paraId="3DC7A8FD">
      <w:pPr>
        <w:pStyle w:val="25"/>
        <w:numPr>
          <w:ilvl w:val="0"/>
          <w:numId w:val="2"/>
        </w:numPr>
        <w:tabs>
          <w:tab w:val="left" w:pos="900"/>
        </w:tabs>
        <w:spacing w:before="156" w:beforeLines="50" w:line="360" w:lineRule="auto"/>
        <w:ind w:firstLineChars="0"/>
        <w:rPr>
          <w:rFonts w:hAnsi="宋体"/>
          <w:szCs w:val="21"/>
        </w:rPr>
      </w:pPr>
      <w:bookmarkStart w:id="7" w:name="OLE_LINK7"/>
      <w:r>
        <w:rPr>
          <w:rFonts w:hint="eastAsia" w:hAnsi="宋体"/>
          <w:szCs w:val="21"/>
        </w:rPr>
        <w:t>▲工作压力控制范围：13.3～1330Pa，全自动闭环稳压控制。</w:t>
      </w:r>
    </w:p>
    <w:bookmarkEnd w:id="7"/>
    <w:p w14:paraId="1CA2E052">
      <w:pPr>
        <w:pStyle w:val="25"/>
        <w:numPr>
          <w:ilvl w:val="0"/>
          <w:numId w:val="2"/>
        </w:numPr>
        <w:tabs>
          <w:tab w:val="left" w:pos="900"/>
        </w:tabs>
        <w:spacing w:before="156" w:beforeLines="50" w:line="360" w:lineRule="auto"/>
        <w:ind w:firstLineChars="0"/>
        <w:rPr>
          <w:rFonts w:hAnsi="宋体"/>
          <w:szCs w:val="21"/>
        </w:rPr>
      </w:pPr>
      <w:r>
        <w:rPr>
          <w:rFonts w:hint="eastAsia" w:hAnsi="宋体"/>
          <w:szCs w:val="21"/>
        </w:rPr>
        <w:t>以转换室为簇群中心，圆周均布</w:t>
      </w:r>
      <w:r>
        <w:rPr>
          <w:rFonts w:hAnsi="宋体"/>
          <w:szCs w:val="21"/>
        </w:rPr>
        <w:t xml:space="preserve"> 5 </w:t>
      </w:r>
      <w:r>
        <w:rPr>
          <w:rFonts w:hint="eastAsia" w:hAnsi="宋体"/>
          <w:szCs w:val="21"/>
        </w:rPr>
        <w:t>个</w:t>
      </w:r>
      <w:r>
        <w:rPr>
          <w:rFonts w:hAnsi="宋体"/>
          <w:szCs w:val="21"/>
        </w:rPr>
        <w:t xml:space="preserve"> CF </w:t>
      </w:r>
      <w:r>
        <w:rPr>
          <w:rFonts w:hint="eastAsia" w:hAnsi="宋体"/>
          <w:szCs w:val="21"/>
        </w:rPr>
        <w:t>标准接口，分别对接进出样室、</w:t>
      </w:r>
      <w:r>
        <w:rPr>
          <w:rFonts w:hAnsi="宋体"/>
          <w:szCs w:val="21"/>
        </w:rPr>
        <w:t>Si</w:t>
      </w:r>
      <w:r>
        <w:rPr>
          <w:rFonts w:ascii="Cambria Math" w:hAnsi="Cambria Math" w:cs="Cambria Math"/>
          <w:szCs w:val="21"/>
        </w:rPr>
        <w:t>₃</w:t>
      </w:r>
      <w:r>
        <w:rPr>
          <w:rFonts w:hAnsi="宋体"/>
          <w:szCs w:val="21"/>
        </w:rPr>
        <w:t>N</w:t>
      </w:r>
      <w:r>
        <w:rPr>
          <w:rFonts w:ascii="Cambria Math" w:hAnsi="Cambria Math" w:cs="Cambria Math"/>
          <w:szCs w:val="21"/>
        </w:rPr>
        <w:t>₄</w:t>
      </w:r>
      <w:r>
        <w:rPr>
          <w:rFonts w:hint="eastAsia" w:hAnsi="宋体"/>
          <w:szCs w:val="21"/>
        </w:rPr>
        <w:t>反应室、</w:t>
      </w:r>
      <w:r>
        <w:rPr>
          <w:rFonts w:hAnsi="宋体"/>
          <w:szCs w:val="21"/>
        </w:rPr>
        <w:t xml:space="preserve">P </w:t>
      </w:r>
      <w:r>
        <w:rPr>
          <w:rFonts w:hint="eastAsia" w:hAnsi="宋体"/>
          <w:szCs w:val="21"/>
        </w:rPr>
        <w:t>反应室、</w:t>
      </w:r>
      <w:r>
        <w:rPr>
          <w:rFonts w:hAnsi="宋体"/>
          <w:szCs w:val="21"/>
        </w:rPr>
        <w:t xml:space="preserve">I </w:t>
      </w:r>
      <w:r>
        <w:rPr>
          <w:rFonts w:hint="eastAsia" w:hAnsi="宋体"/>
          <w:szCs w:val="21"/>
        </w:rPr>
        <w:t>反应室、</w:t>
      </w:r>
      <w:r>
        <w:rPr>
          <w:rFonts w:hAnsi="宋体"/>
          <w:szCs w:val="21"/>
        </w:rPr>
        <w:t xml:space="preserve">N </w:t>
      </w:r>
      <w:r>
        <w:rPr>
          <w:rFonts w:hint="eastAsia" w:hAnsi="宋体"/>
          <w:szCs w:val="21"/>
        </w:rPr>
        <w:t>反应室；</w:t>
      </w:r>
    </w:p>
    <w:p w14:paraId="3C8AE7F9">
      <w:pPr>
        <w:pStyle w:val="25"/>
        <w:numPr>
          <w:ilvl w:val="0"/>
          <w:numId w:val="2"/>
        </w:numPr>
        <w:tabs>
          <w:tab w:val="left" w:pos="900"/>
        </w:tabs>
        <w:spacing w:before="156" w:beforeLines="50" w:line="360" w:lineRule="auto"/>
        <w:ind w:firstLineChars="0"/>
        <w:rPr>
          <w:rFonts w:hAnsi="宋体"/>
          <w:b/>
          <w:szCs w:val="21"/>
        </w:rPr>
      </w:pPr>
      <w:r>
        <w:rPr>
          <w:rFonts w:hint="eastAsia" w:hAnsi="宋体"/>
          <w:szCs w:val="21"/>
        </w:rPr>
        <w:t>各腔室间配置气动插板阀隔离，配备真空规管、放气阀、旁抽阀、尾气阀、备用标准接口</w:t>
      </w:r>
      <w:r>
        <w:rPr>
          <w:rFonts w:hint="eastAsia" w:hAnsi="宋体"/>
          <w:b/>
          <w:szCs w:val="21"/>
        </w:rPr>
        <w:t>。</w:t>
      </w:r>
    </w:p>
    <w:p w14:paraId="0E89D396">
      <w:pPr>
        <w:tabs>
          <w:tab w:val="left" w:pos="900"/>
        </w:tabs>
        <w:adjustRightInd w:val="0"/>
        <w:snapToGrid w:val="0"/>
        <w:spacing w:line="360" w:lineRule="auto"/>
        <w:ind w:firstLine="422" w:firstLineChars="200"/>
        <w:rPr>
          <w:rFonts w:hAnsi="宋体"/>
          <w:b/>
          <w:szCs w:val="21"/>
        </w:rPr>
      </w:pPr>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D8DFDC5">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（一）质保期： 不少于</w:t>
      </w:r>
      <w:r>
        <w:rPr>
          <w:rFonts w:ascii="宋体" w:hAnsi="宋体"/>
          <w:szCs w:val="21"/>
          <w:u w:val="single"/>
        </w:rPr>
        <w:t xml:space="preserve">  </w:t>
      </w:r>
      <w:r>
        <w:rPr>
          <w:rFonts w:hint="eastAsia" w:ascii="宋体" w:hAnsi="宋体"/>
          <w:szCs w:val="21"/>
          <w:u w:val="single"/>
        </w:rPr>
        <w:t xml:space="preserve"> 3</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（二）服务响应时间：接到维修电话后4小时内给予明确答复，8小时内到达现场维修。维修人员到现场后若问题特殊无法现场修复的，中标人需在24小时内给出合理解决方案。</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7</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63724119">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（四）交付要求</w:t>
      </w:r>
      <w:r>
        <w:rPr>
          <w:rFonts w:hint="eastAsia" w:ascii="宋体" w:hAnsi="宋体"/>
          <w:szCs w:val="21"/>
          <w:lang w:eastAsia="zh-CN"/>
        </w:rPr>
        <w:t>：</w:t>
      </w:r>
      <w:r>
        <w:rPr>
          <w:rFonts w:hint="eastAsia" w:ascii="宋体" w:hAnsi="宋体"/>
          <w:szCs w:val="21"/>
        </w:rPr>
        <w:t>按国家及行业标准，随设备整机同步交付完整的文件资料与配件</w:t>
      </w:r>
      <w:r>
        <w:rPr>
          <w:rFonts w:hint="eastAsia" w:ascii="宋体" w:hAnsi="宋体"/>
          <w:szCs w:val="21"/>
          <w:lang w:eastAsia="zh-CN"/>
        </w:rPr>
        <w:t>，</w:t>
      </w:r>
      <w:r>
        <w:rPr>
          <w:rFonts w:hint="eastAsia" w:ascii="宋体" w:hAnsi="宋体"/>
          <w:szCs w:val="21"/>
        </w:rPr>
        <w:t>包含但不限于操作与维护说明书</w:t>
      </w:r>
      <w:r>
        <w:rPr>
          <w:rFonts w:hint="eastAsia" w:ascii="宋体" w:hAnsi="宋体"/>
          <w:szCs w:val="21"/>
          <w:lang w:eastAsia="zh-CN"/>
        </w:rPr>
        <w:t>，</w:t>
      </w:r>
      <w:r>
        <w:rPr>
          <w:rFonts w:hint="eastAsia" w:ascii="宋体" w:hAnsi="宋体"/>
          <w:szCs w:val="21"/>
        </w:rPr>
        <w:t>设备装箱清单</w:t>
      </w:r>
      <w:r>
        <w:rPr>
          <w:rFonts w:hint="eastAsia" w:ascii="宋体" w:hAnsi="宋体"/>
          <w:szCs w:val="21"/>
          <w:lang w:eastAsia="zh-CN"/>
        </w:rPr>
        <w:t>，</w:t>
      </w:r>
      <w:r>
        <w:rPr>
          <w:rFonts w:hint="eastAsia" w:ascii="宋体" w:hAnsi="宋体"/>
          <w:szCs w:val="21"/>
        </w:rPr>
        <w:t>易损件/消耗品清单</w:t>
      </w:r>
      <w:r>
        <w:rPr>
          <w:rFonts w:hint="eastAsia" w:ascii="宋体" w:hAnsi="宋体"/>
          <w:szCs w:val="21"/>
          <w:lang w:eastAsia="zh-CN"/>
        </w:rPr>
        <w:t>，</w:t>
      </w:r>
      <w:r>
        <w:rPr>
          <w:rFonts w:hint="eastAsia" w:ascii="宋体" w:hAnsi="宋体"/>
          <w:szCs w:val="21"/>
        </w:rPr>
        <w:t>标配备品备件清单及专用维修工具包</w:t>
      </w:r>
      <w:r>
        <w:rPr>
          <w:rFonts w:hint="eastAsia" w:ascii="宋体" w:hAnsi="宋体"/>
          <w:szCs w:val="21"/>
          <w:lang w:val="en-US" w:eastAsia="zh-CN"/>
        </w:rPr>
        <w:t>等。</w:t>
      </w:r>
    </w:p>
    <w:p w14:paraId="615C6349">
      <w:pPr>
        <w:tabs>
          <w:tab w:val="left" w:pos="420"/>
          <w:tab w:val="left" w:pos="900"/>
        </w:tabs>
        <w:adjustRightInd w:val="0"/>
        <w:snapToGrid w:val="0"/>
        <w:spacing w:line="360" w:lineRule="auto"/>
        <w:rPr>
          <w:rFonts w:ascii="宋体" w:hAnsi="宋体"/>
          <w:b/>
          <w:szCs w:val="21"/>
        </w:rPr>
      </w:pPr>
      <w:bookmarkStart w:id="11" w:name="_GoBack"/>
      <w:bookmarkEnd w:id="11"/>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w:t>
      </w:r>
      <w:r>
        <w:rPr>
          <w:rFonts w:hint="eastAsia" w:ascii="宋体" w:hAnsi="宋体"/>
          <w:b/>
          <w:szCs w:val="21"/>
        </w:rPr>
        <w:t>履约验收标准</w:t>
      </w:r>
    </w:p>
    <w:bookmarkEnd w:id="1"/>
    <w:bookmarkEnd w:id="2"/>
    <w:bookmarkEnd w:id="3"/>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6"/>
        <w:gridCol w:w="4716"/>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8"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9" w:name="OLE_LINK4"/>
            <w:r>
              <w:rPr>
                <w:rFonts w:hint="eastAsia" w:ascii="宋体" w:hAnsi="宋体"/>
                <w:color w:val="000000"/>
                <w:kern w:val="0"/>
                <w:szCs w:val="21"/>
              </w:rPr>
              <w:t>《技术协议》</w:t>
            </w:r>
            <w:bookmarkEnd w:id="9"/>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10" w:name="OLE_LINK35"/>
            <w:r>
              <w:rPr>
                <w:rFonts w:hint="eastAsia" w:ascii="宋体" w:hAnsi="宋体"/>
                <w:szCs w:val="21"/>
              </w:rPr>
              <w:t>根据项目特点对服务期内的服务履约实施情况进行考核，结合考核情况和服务效果进行验收。验收报告须经国资处备案。</w:t>
            </w:r>
            <w:bookmarkEnd w:id="10"/>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8"/>
    </w:tbl>
    <w:p w14:paraId="38F80FC0">
      <w:pPr>
        <w:adjustRightInd w:val="0"/>
        <w:snapToGrid w:val="0"/>
        <w:spacing w:line="360" w:lineRule="auto"/>
        <w:ind w:firstLine="440" w:firstLineChars="200"/>
        <w:rPr>
          <w:rFonts w:ascii="楷体" w:hAnsi="楷体" w:eastAsia="楷体"/>
          <w:color w:val="FF0000"/>
          <w:sz w:val="22"/>
          <w:szCs w:val="22"/>
        </w:rPr>
      </w:pPr>
    </w:p>
    <w:p w14:paraId="35F239AF">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6"/>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47D1D"/>
    <w:multiLevelType w:val="multilevel"/>
    <w:tmpl w:val="0A947D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CF3E2F"/>
    <w:multiLevelType w:val="singleLevel"/>
    <w:tmpl w:val="2DCF3E2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1F1B"/>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03"/>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3A43"/>
    <w:rsid w:val="003649AF"/>
    <w:rsid w:val="00365116"/>
    <w:rsid w:val="00366DF7"/>
    <w:rsid w:val="00371949"/>
    <w:rsid w:val="00375975"/>
    <w:rsid w:val="0037638F"/>
    <w:rsid w:val="00381C4A"/>
    <w:rsid w:val="00390F4C"/>
    <w:rsid w:val="003A243E"/>
    <w:rsid w:val="003B1B61"/>
    <w:rsid w:val="003B4712"/>
    <w:rsid w:val="003C207F"/>
    <w:rsid w:val="003C277F"/>
    <w:rsid w:val="003D06DB"/>
    <w:rsid w:val="003D4AEF"/>
    <w:rsid w:val="003D5FFB"/>
    <w:rsid w:val="003E4113"/>
    <w:rsid w:val="003E4FDA"/>
    <w:rsid w:val="003E5394"/>
    <w:rsid w:val="003E675E"/>
    <w:rsid w:val="003F1D71"/>
    <w:rsid w:val="003F341A"/>
    <w:rsid w:val="003F37A4"/>
    <w:rsid w:val="003F4F91"/>
    <w:rsid w:val="003F5577"/>
    <w:rsid w:val="003F57FA"/>
    <w:rsid w:val="003F6934"/>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14A44"/>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449"/>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2472"/>
    <w:rsid w:val="00634FF1"/>
    <w:rsid w:val="00636F27"/>
    <w:rsid w:val="00640733"/>
    <w:rsid w:val="00642B2A"/>
    <w:rsid w:val="0064334B"/>
    <w:rsid w:val="00643D51"/>
    <w:rsid w:val="006526A3"/>
    <w:rsid w:val="006538FB"/>
    <w:rsid w:val="0066540C"/>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011B"/>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5563C"/>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02D3F"/>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A6637"/>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17DD6"/>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854"/>
    <w:rsid w:val="00B91989"/>
    <w:rsid w:val="00B94A57"/>
    <w:rsid w:val="00B97895"/>
    <w:rsid w:val="00BA115A"/>
    <w:rsid w:val="00BA1466"/>
    <w:rsid w:val="00BA15B5"/>
    <w:rsid w:val="00BA359E"/>
    <w:rsid w:val="00BA4FC8"/>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01C2D"/>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2794"/>
    <w:rsid w:val="00C53AA9"/>
    <w:rsid w:val="00C56D21"/>
    <w:rsid w:val="00C63818"/>
    <w:rsid w:val="00C643DA"/>
    <w:rsid w:val="00C74982"/>
    <w:rsid w:val="00C82348"/>
    <w:rsid w:val="00C85BAF"/>
    <w:rsid w:val="00C92D3F"/>
    <w:rsid w:val="00C950B9"/>
    <w:rsid w:val="00C95481"/>
    <w:rsid w:val="00CA1559"/>
    <w:rsid w:val="00CA1D32"/>
    <w:rsid w:val="00CB57E9"/>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29EB"/>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C4B75"/>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66FB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B7F0F"/>
    <w:rsid w:val="00ED27A4"/>
    <w:rsid w:val="00ED5154"/>
    <w:rsid w:val="00EE2CE9"/>
    <w:rsid w:val="00EE39D9"/>
    <w:rsid w:val="00EF2087"/>
    <w:rsid w:val="00EF4FBA"/>
    <w:rsid w:val="00F02423"/>
    <w:rsid w:val="00F06FBF"/>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6507"/>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12D64DC"/>
    <w:rsid w:val="1BC72B84"/>
    <w:rsid w:val="1BDC132F"/>
    <w:rsid w:val="21DF0EC4"/>
    <w:rsid w:val="2E966CA3"/>
    <w:rsid w:val="35BD19B1"/>
    <w:rsid w:val="36DC7545"/>
    <w:rsid w:val="3C5E6AAE"/>
    <w:rsid w:val="3CA05563"/>
    <w:rsid w:val="40E5291B"/>
    <w:rsid w:val="469C336D"/>
    <w:rsid w:val="4B35377F"/>
    <w:rsid w:val="4FAF6015"/>
    <w:rsid w:val="543438A3"/>
    <w:rsid w:val="6642167B"/>
    <w:rsid w:val="67874BD1"/>
    <w:rsid w:val="6D632E87"/>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Plain Text"/>
    <w:basedOn w:val="1"/>
    <w:link w:val="18"/>
    <w:qFormat/>
    <w:uiPriority w:val="0"/>
    <w:rPr>
      <w:rFonts w:ascii="宋体" w:hAnsi="Courier New" w:cstheme="minorBidi"/>
      <w:szCs w:val="22"/>
    </w:rPr>
  </w:style>
  <w:style w:type="paragraph" w:styleId="5">
    <w:name w:val="Balloon Text"/>
    <w:basedOn w:val="1"/>
    <w:link w:val="26"/>
    <w:semiHidden/>
    <w:unhideWhenUsed/>
    <w:qFormat/>
    <w:uiPriority w:val="99"/>
    <w:rPr>
      <w:sz w:val="18"/>
      <w:szCs w:val="18"/>
    </w:rPr>
  </w:style>
  <w:style w:type="paragraph" w:styleId="6">
    <w:name w:val="footer"/>
    <w:basedOn w:val="1"/>
    <w:link w:val="19"/>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Title"/>
    <w:basedOn w:val="1"/>
    <w:link w:val="20"/>
    <w:qFormat/>
    <w:uiPriority w:val="0"/>
    <w:pPr>
      <w:spacing w:before="240" w:after="60"/>
      <w:jc w:val="center"/>
      <w:outlineLvl w:val="0"/>
    </w:pPr>
    <w:rPr>
      <w:rFonts w:ascii="Arial" w:hAnsi="Arial" w:cs="Arial"/>
      <w:b/>
      <w:bCs/>
      <w:sz w:val="32"/>
      <w:szCs w:val="32"/>
    </w:rPr>
  </w:style>
  <w:style w:type="paragraph" w:styleId="10">
    <w:name w:val="annotation subject"/>
    <w:basedOn w:val="3"/>
    <w:next w:val="3"/>
    <w:link w:val="29"/>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semiHidden/>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纯文本 字符"/>
    <w:link w:val="4"/>
    <w:qFormat/>
    <w:uiPriority w:val="0"/>
    <w:rPr>
      <w:rFonts w:ascii="宋体" w:hAnsi="Courier New" w:eastAsia="宋体"/>
    </w:rPr>
  </w:style>
  <w:style w:type="character" w:customStyle="1" w:styleId="19">
    <w:name w:val="页脚 字符"/>
    <w:link w:val="6"/>
    <w:qFormat/>
    <w:uiPriority w:val="0"/>
    <w:rPr>
      <w:sz w:val="18"/>
    </w:rPr>
  </w:style>
  <w:style w:type="character" w:customStyle="1" w:styleId="20">
    <w:name w:val="标题 字符"/>
    <w:link w:val="9"/>
    <w:qFormat/>
    <w:uiPriority w:val="0"/>
    <w:rPr>
      <w:rFonts w:ascii="Arial" w:hAnsi="Arial" w:eastAsia="宋体" w:cs="Arial"/>
      <w:b/>
      <w:bCs/>
      <w:sz w:val="32"/>
      <w:szCs w:val="32"/>
    </w:rPr>
  </w:style>
  <w:style w:type="character" w:customStyle="1" w:styleId="21">
    <w:name w:val="页脚 Char"/>
    <w:basedOn w:val="13"/>
    <w:semiHidden/>
    <w:qFormat/>
    <w:uiPriority w:val="99"/>
    <w:rPr>
      <w:rFonts w:ascii="Times New Roman" w:hAnsi="Times New Roman" w:eastAsia="宋体" w:cs="Times New Roman"/>
      <w:sz w:val="18"/>
      <w:szCs w:val="18"/>
    </w:rPr>
  </w:style>
  <w:style w:type="character" w:customStyle="1" w:styleId="22">
    <w:name w:val="标题 Char"/>
    <w:basedOn w:val="13"/>
    <w:qFormat/>
    <w:uiPriority w:val="10"/>
    <w:rPr>
      <w:rFonts w:eastAsia="宋体" w:asciiTheme="majorHAnsi" w:hAnsiTheme="majorHAnsi" w:cstheme="majorBidi"/>
      <w:b/>
      <w:bCs/>
      <w:sz w:val="32"/>
      <w:szCs w:val="32"/>
    </w:rPr>
  </w:style>
  <w:style w:type="character" w:customStyle="1" w:styleId="23">
    <w:name w:val="纯文本 Char"/>
    <w:basedOn w:val="13"/>
    <w:semiHidden/>
    <w:qFormat/>
    <w:uiPriority w:val="99"/>
    <w:rPr>
      <w:rFonts w:ascii="宋体" w:hAnsi="Courier New" w:eastAsia="宋体" w:cs="Courier New"/>
      <w:szCs w:val="21"/>
    </w:rPr>
  </w:style>
  <w:style w:type="character" w:customStyle="1" w:styleId="24">
    <w:name w:val="页眉 字符"/>
    <w:basedOn w:val="13"/>
    <w:link w:val="7"/>
    <w:qFormat/>
    <w:uiPriority w:val="99"/>
    <w:rPr>
      <w:rFonts w:ascii="Times New Roman" w:hAnsi="Times New Roman" w:eastAsia="宋体" w:cs="Times New Roman"/>
      <w:sz w:val="18"/>
      <w:szCs w:val="18"/>
    </w:rPr>
  </w:style>
  <w:style w:type="paragraph" w:styleId="25">
    <w:name w:val="List Paragraph"/>
    <w:basedOn w:val="1"/>
    <w:qFormat/>
    <w:uiPriority w:val="34"/>
    <w:pPr>
      <w:ind w:firstLine="420" w:firstLineChars="200"/>
    </w:pPr>
  </w:style>
  <w:style w:type="character" w:customStyle="1" w:styleId="26">
    <w:name w:val="批注框文本 字符"/>
    <w:basedOn w:val="13"/>
    <w:link w:val="5"/>
    <w:semiHidden/>
    <w:qFormat/>
    <w:uiPriority w:val="99"/>
    <w:rPr>
      <w:rFonts w:ascii="Times New Roman" w:hAnsi="Times New Roman" w:eastAsia="宋体" w:cs="Times New Roman"/>
      <w:sz w:val="18"/>
      <w:szCs w:val="18"/>
    </w:rPr>
  </w:style>
  <w:style w:type="paragraph" w:customStyle="1" w:styleId="27">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8">
    <w:name w:val="批注文字 字符"/>
    <w:basedOn w:val="13"/>
    <w:link w:val="3"/>
    <w:semiHidden/>
    <w:qFormat/>
    <w:uiPriority w:val="99"/>
    <w:rPr>
      <w:rFonts w:ascii="Times New Roman" w:hAnsi="Times New Roman" w:eastAsia="宋体" w:cs="Times New Roman"/>
      <w:kern w:val="2"/>
      <w:sz w:val="21"/>
    </w:rPr>
  </w:style>
  <w:style w:type="character" w:customStyle="1" w:styleId="29">
    <w:name w:val="批注主题 字符"/>
    <w:basedOn w:val="28"/>
    <w:link w:val="10"/>
    <w:semiHidden/>
    <w:qFormat/>
    <w:uiPriority w:val="99"/>
    <w:rPr>
      <w:rFonts w:ascii="Times New Roman" w:hAnsi="Times New Roman" w:eastAsia="宋体" w:cs="Times New Roman"/>
      <w:b/>
      <w:bCs/>
      <w:kern w:val="2"/>
      <w:sz w:val="21"/>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customStyle="1" w:styleId="31">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3916</Words>
  <Characters>4087</Characters>
  <Lines>32</Lines>
  <Paragraphs>9</Paragraphs>
  <TotalTime>135</TotalTime>
  <ScaleCrop>false</ScaleCrop>
  <LinksUpToDate>false</LinksUpToDate>
  <CharactersWithSpaces>4453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张沛雨</cp:lastModifiedBy>
  <dcterms:modified xsi:type="dcterms:W3CDTF">2026-05-21T15:13:11Z</dcterms:modified>
  <cp:revision>725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8B17303C54C4462FAB2FA449A6008766_13</vt:lpwstr>
  </property>
  <property fmtid="{D5CDD505-2E9C-101B-9397-08002B2CF9AE}" pid="4" name="KSOTemplateDocerSaveRecord">
    <vt:lpwstr>eyJoZGlkIjoiMzFmZDYyZjYwMzRiN2ExYjQ2NjBmYWQ3NWI0ODM4NmUiLCJ1c2VySWQiOiI5ODA4NTA4OTIifQ==</vt:lpwstr>
  </property>
</Properties>
</file>