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7"/>
        <w:adjustRightInd w:val="0"/>
        <w:snapToGrid w:val="0"/>
        <w:spacing w:before="0" w:after="0" w:line="360" w:lineRule="auto"/>
        <w:outlineLvl w:val="9"/>
        <w:rPr>
          <w:rFonts w:hint="eastAsia"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r>
        <w:rPr>
          <w:rFonts w:hint="eastAsia" w:ascii="宋体" w:hAnsi="宋体"/>
          <w:sz w:val="36"/>
        </w:rPr>
        <w:t>高温合金极端环境定量分析系统</w:t>
      </w:r>
      <w:r>
        <w:rPr>
          <w:rFonts w:hint="eastAsia" w:ascii="方正小标宋简体" w:hAnsi="宋体" w:eastAsia="方正小标宋简体"/>
          <w:b w:val="0"/>
          <w:bCs w:val="0"/>
          <w:sz w:val="36"/>
        </w:rPr>
        <w:t>】采购需求</w:t>
      </w:r>
      <w:bookmarkEnd w:id="0"/>
    </w:p>
    <w:p w14:paraId="77C2D7A7">
      <w:pPr>
        <w:tabs>
          <w:tab w:val="left" w:pos="900"/>
        </w:tabs>
        <w:adjustRightInd w:val="0"/>
        <w:snapToGrid w:val="0"/>
        <w:spacing w:line="360" w:lineRule="auto"/>
        <w:ind w:firstLine="422" w:firstLineChars="200"/>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64607499">
      <w:pPr>
        <w:tabs>
          <w:tab w:val="left" w:pos="900"/>
        </w:tabs>
        <w:adjustRightInd w:val="0"/>
        <w:snapToGrid w:val="0"/>
        <w:spacing w:line="360" w:lineRule="auto"/>
        <w:ind w:firstLine="420" w:firstLineChars="200"/>
        <w:rPr>
          <w:rFonts w:hint="eastAsia"/>
          <w:bCs/>
          <w:szCs w:val="21"/>
        </w:rPr>
      </w:pPr>
      <w:r>
        <w:rPr>
          <w:bCs/>
          <w:szCs w:val="21"/>
        </w:rPr>
        <w:t>本项目采购高温合金极端环境定量分析系统1套，主要用于航空航天、燃气轮机及核电等领域高温合金材料在蠕变-疲劳、热-机疲劳等极端服役条件下的微观结构演化与损伤失效机制研究，要求实现材料在高温与载荷耦合环境下的原位三维无损表征与定量分析功能，具备微米级空间分辨能力、热力耦合原位加载能力及多参数同步测量能力，可对材料内部微裂纹、孔洞等缺陷进行三维可视化及定量分析，并支持孔隙率、孔径分布、壁厚及连通性等关键结构参数的精确表征。</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int="eastAsia"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int="eastAsia"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int="eastAsia"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ascii="Segoe UI Symbol" w:hAnsi="Segoe UI Symbol" w:cs="Segoe UI Symbol"/>
          <w:szCs w:val="24"/>
        </w:rPr>
        <w:t>☑</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D759371">
      <w:pPr>
        <w:tabs>
          <w:tab w:val="left" w:pos="900"/>
        </w:tabs>
        <w:adjustRightInd w:val="0"/>
        <w:snapToGrid w:val="0"/>
        <w:spacing w:line="360" w:lineRule="auto"/>
        <w:ind w:firstLine="420" w:firstLineChars="200"/>
        <w:rPr>
          <w:rFonts w:hint="eastAsia"/>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高温合金极端环境定量分析系统                            </w:t>
      </w:r>
    </w:p>
    <w:p w14:paraId="700B5273">
      <w:pPr>
        <w:adjustRightInd w:val="0"/>
        <w:snapToGrid w:val="0"/>
        <w:spacing w:line="360" w:lineRule="auto"/>
        <w:ind w:firstLine="420" w:firstLineChars="200"/>
        <w:rPr>
          <w:rFonts w:hint="eastAsia"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int="eastAsia"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199.8万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壹佰玖拾玖万捌仟元整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180</w:t>
      </w:r>
      <w:r>
        <w:rPr>
          <w:rFonts w:hAnsi="宋体"/>
          <w:szCs w:val="21"/>
          <w:u w:val="single"/>
        </w:rPr>
        <w:t xml:space="preserve">                   </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hint="eastAsia"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Ansi="宋体"/>
          <w:szCs w:val="21"/>
          <w:highlight w:val="none"/>
          <w:u w:val="single"/>
        </w:rPr>
        <w:t xml:space="preserve"> </w:t>
      </w:r>
      <w:r>
        <w:rPr>
          <w:rFonts w:hint="eastAsia" w:hAnsi="宋体"/>
          <w:szCs w:val="21"/>
          <w:highlight w:val="none"/>
          <w:u w:val="single"/>
        </w:rPr>
        <w:t>西安交通大学创新港校区2号巨构 2-1150房间</w:t>
      </w:r>
      <w:r>
        <w:rPr>
          <w:rFonts w:hAnsi="宋体"/>
          <w:szCs w:val="21"/>
          <w:highlight w:val="none"/>
          <w:u w:val="single"/>
        </w:rPr>
        <w:t xml:space="preserve">    </w:t>
      </w:r>
      <w:r>
        <w:rPr>
          <w:rFonts w:hAnsi="宋体"/>
          <w:szCs w:val="21"/>
          <w:u w:val="single"/>
        </w:rPr>
        <w:t xml:space="preserve">         </w:t>
      </w:r>
    </w:p>
    <w:p w14:paraId="0631A874">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lang w:eastAsia="zh-CN"/>
        </w:rPr>
        <w:t>☑</w:t>
      </w:r>
      <w:r>
        <w:rPr>
          <w:rFonts w:hint="eastAsia" w:hAnsi="宋体"/>
          <w:szCs w:val="21"/>
        </w:rPr>
        <w:t xml:space="preserve"> 按</w:t>
      </w:r>
      <w:r>
        <w:rPr>
          <w:rFonts w:hAnsi="宋体"/>
          <w:szCs w:val="21"/>
        </w:rPr>
        <w:t>采购文件</w:t>
      </w:r>
      <w:r>
        <w:rPr>
          <w:rFonts w:hint="eastAsia" w:hAnsi="宋体"/>
          <w:szCs w:val="21"/>
        </w:rPr>
        <w:t>要求。</w:t>
      </w:r>
    </w:p>
    <w:p w14:paraId="55F35D01">
      <w:pPr>
        <w:tabs>
          <w:tab w:val="left" w:pos="900"/>
        </w:tabs>
        <w:adjustRightInd w:val="0"/>
        <w:snapToGrid w:val="0"/>
        <w:spacing w:line="360" w:lineRule="auto"/>
        <w:ind w:firstLine="420" w:firstLineChars="200"/>
        <w:rPr>
          <w:rFonts w:hint="eastAsia" w:hAnsi="宋体"/>
          <w:szCs w:val="21"/>
        </w:rPr>
      </w:pPr>
      <w:r>
        <w:rPr>
          <w:rFonts w:hint="eastAsia" w:hAnsi="宋体"/>
          <w:szCs w:val="21"/>
          <w:u w:val="single"/>
        </w:rPr>
        <w:t>货到验收合格后付款9</w:t>
      </w:r>
      <w:r>
        <w:rPr>
          <w:rFonts w:hAnsi="宋体"/>
          <w:szCs w:val="21"/>
          <w:u w:val="single"/>
        </w:rPr>
        <w:t>0%</w:t>
      </w:r>
      <w:r>
        <w:rPr>
          <w:rFonts w:hint="eastAsia" w:hAnsi="宋体"/>
          <w:szCs w:val="21"/>
          <w:u w:val="single"/>
        </w:rPr>
        <w:t>，一年后无质量问题支付10%无息尾款。</w:t>
      </w:r>
    </w:p>
    <w:p w14:paraId="5FA361AF">
      <w:pPr>
        <w:tabs>
          <w:tab w:val="left" w:pos="900"/>
        </w:tabs>
        <w:adjustRightInd w:val="0"/>
        <w:snapToGrid w:val="0"/>
        <w:spacing w:line="360" w:lineRule="auto"/>
        <w:ind w:firstLine="402" w:firstLineChars="200"/>
        <w:rPr>
          <w:rFonts w:hint="eastAsia"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3C999C16">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四、采购标的需满足的质量、安全、技术规格、物理特性等要求：</w:t>
      </w:r>
    </w:p>
    <w:p w14:paraId="204FD3B6">
      <w:pPr>
        <w:tabs>
          <w:tab w:val="left" w:pos="900"/>
        </w:tabs>
        <w:adjustRightInd w:val="0"/>
        <w:snapToGrid w:val="0"/>
        <w:spacing w:line="360" w:lineRule="auto"/>
        <w:ind w:firstLine="422" w:firstLineChars="200"/>
        <w:rPr>
          <w:rFonts w:hint="eastAsia" w:hAnsi="宋体" w:eastAsia="宋体"/>
          <w:b/>
          <w:szCs w:val="21"/>
          <w:lang w:eastAsia="zh-CN"/>
        </w:rPr>
      </w:pPr>
      <w:r>
        <w:rPr>
          <w:rFonts w:hint="eastAsia" w:hAnsi="宋体" w:eastAsia="宋体"/>
          <w:b/>
          <w:szCs w:val="21"/>
          <w:lang w:eastAsia="zh-CN"/>
        </w:rPr>
        <w:drawing>
          <wp:inline distT="0" distB="0" distL="114300" distR="114300">
            <wp:extent cx="5472430" cy="2801620"/>
            <wp:effectExtent l="0" t="0" r="0" b="5080"/>
            <wp:docPr id="2" name="图片 2" descr="设备组成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设备组成示意图"/>
                    <pic:cNvPicPr>
                      <a:picLocks noChangeAspect="1"/>
                    </pic:cNvPicPr>
                  </pic:nvPicPr>
                  <pic:blipFill>
                    <a:blip r:embed="rId5"/>
                    <a:stretch>
                      <a:fillRect/>
                    </a:stretch>
                  </pic:blipFill>
                  <pic:spPr>
                    <a:xfrm>
                      <a:off x="0" y="0"/>
                      <a:ext cx="5472430" cy="2801620"/>
                    </a:xfrm>
                    <a:prstGeom prst="rect">
                      <a:avLst/>
                    </a:prstGeom>
                  </pic:spPr>
                </pic:pic>
              </a:graphicData>
            </a:graphic>
          </wp:inline>
        </w:drawing>
      </w:r>
    </w:p>
    <w:p w14:paraId="0AE14328">
      <w:pPr>
        <w:spacing w:before="156" w:beforeLines="50" w:line="360" w:lineRule="auto"/>
        <w:ind w:firstLine="420" w:firstLineChars="200"/>
        <w:rPr>
          <w:rFonts w:hint="eastAsia"/>
          <w:szCs w:val="21"/>
          <w:shd w:val="clear" w:color="auto" w:fill="FFFFFF"/>
          <w:lang w:eastAsia="zh-CN"/>
        </w:rPr>
      </w:pPr>
      <w:r>
        <w:rPr>
          <w:rFonts w:hint="eastAsia"/>
          <w:szCs w:val="21"/>
          <w:shd w:val="clear" w:color="auto" w:fill="FFFFFF"/>
          <w:lang w:eastAsia="zh-CN"/>
        </w:rPr>
        <w:t>该设备主要由射线源、探测器、八轴运动平台、辐射屏蔽、热力耦合原位装置、软件控制系统和计算机工作站七大核心模块，各模块协同实现高精度微米级扫描与多工况原位热力耦合检测。</w:t>
      </w:r>
    </w:p>
    <w:p w14:paraId="518D8432">
      <w:pPr>
        <w:spacing w:before="156" w:beforeLines="50" w:line="360" w:lineRule="auto"/>
        <w:rPr>
          <w:b/>
          <w:bCs/>
          <w:szCs w:val="21"/>
          <w:shd w:val="clear" w:color="auto" w:fill="FFFFFF"/>
        </w:rPr>
      </w:pPr>
      <w:r>
        <w:rPr>
          <w:rFonts w:hint="eastAsia"/>
          <w:b/>
          <w:bCs/>
          <w:szCs w:val="21"/>
          <w:shd w:val="clear" w:color="auto" w:fill="FFFFFF"/>
        </w:rPr>
        <w:t>1. 整体参数</w:t>
      </w:r>
    </w:p>
    <w:p w14:paraId="3D154243">
      <w:pPr>
        <w:spacing w:before="156" w:beforeLines="50" w:line="360" w:lineRule="auto"/>
        <w:rPr>
          <w:szCs w:val="21"/>
          <w:shd w:val="clear" w:color="auto" w:fill="FFFFFF"/>
        </w:rPr>
      </w:pPr>
      <w:r>
        <w:rPr>
          <w:rFonts w:hint="eastAsia" w:ascii="楷体" w:hAnsi="楷体" w:eastAsia="楷体"/>
          <w:bCs/>
          <w:color w:val="auto"/>
          <w:sz w:val="22"/>
          <w:szCs w:val="22"/>
        </w:rPr>
        <w:t>*</w:t>
      </w:r>
      <w:r>
        <w:rPr>
          <w:rFonts w:hint="eastAsia"/>
          <w:szCs w:val="21"/>
          <w:shd w:val="clear" w:color="auto" w:fill="FFFFFF"/>
        </w:rPr>
        <w:t xml:space="preserve">1.1. 最高空间分辨率≤2 </w:t>
      </w:r>
      <w:r>
        <w:rPr>
          <w:szCs w:val="21"/>
          <w:shd w:val="clear" w:color="auto" w:fill="FFFFFF"/>
        </w:rPr>
        <w:t>μ</w:t>
      </w:r>
      <w:r>
        <w:rPr>
          <w:rFonts w:hint="eastAsia"/>
          <w:szCs w:val="21"/>
          <w:shd w:val="clear" w:color="auto" w:fill="FFFFFF"/>
        </w:rPr>
        <w:t>m，支持JIMA卡实测（JIMA卡型号：RT RC-04）（提供实测结果证明）</w:t>
      </w:r>
    </w:p>
    <w:p w14:paraId="739BE4D8">
      <w:pPr>
        <w:spacing w:before="156" w:beforeLines="50" w:line="360" w:lineRule="auto"/>
        <w:rPr>
          <w:szCs w:val="21"/>
          <w:shd w:val="clear" w:color="auto" w:fill="FFFFFF"/>
        </w:rPr>
      </w:pPr>
      <w:r>
        <w:rPr>
          <w:rFonts w:hint="eastAsia"/>
          <w:szCs w:val="21"/>
          <w:shd w:val="clear" w:color="auto" w:fill="FFFFFF"/>
        </w:rPr>
        <w:t>1.2. 最大承载样品重量≥10 kg。</w:t>
      </w:r>
    </w:p>
    <w:p w14:paraId="3EA730E0">
      <w:pPr>
        <w:spacing w:before="156" w:beforeLines="50" w:line="360" w:lineRule="auto"/>
        <w:rPr>
          <w:szCs w:val="21"/>
          <w:shd w:val="clear" w:color="auto" w:fill="FFFFFF"/>
        </w:rPr>
      </w:pPr>
      <w:r>
        <w:rPr>
          <w:rFonts w:hint="eastAsia"/>
          <w:szCs w:val="21"/>
          <w:shd w:val="clear" w:color="auto" w:fill="FFFFFF"/>
        </w:rPr>
        <w:t>1.3. 标配热力耦合原位装置，可进行温度范围-100℃~1200℃ 、最大载荷≥5 kN内的热力耦合原位CT扫描。</w:t>
      </w:r>
    </w:p>
    <w:p w14:paraId="4B41446A">
      <w:pPr>
        <w:spacing w:before="156" w:beforeLines="50" w:line="360" w:lineRule="auto"/>
        <w:rPr>
          <w:rFonts w:hint="eastAsia"/>
          <w:szCs w:val="21"/>
          <w:shd w:val="clear" w:color="auto" w:fill="FFFFFF"/>
        </w:rPr>
      </w:pPr>
      <w:r>
        <w:rPr>
          <w:rFonts w:hint="eastAsia"/>
          <w:szCs w:val="21"/>
          <w:shd w:val="clear" w:color="auto" w:fill="FFFFFF"/>
        </w:rPr>
        <w:t xml:space="preserve">1.4. 系统整机功率≤5.5 kW，采用独立接地方式，接地电阻≤1 </w:t>
      </w:r>
      <w:r>
        <w:rPr>
          <w:rFonts w:hint="default" w:ascii="Times New Roman" w:hAnsi="Times New Roman" w:cs="Times New Roman"/>
          <w:szCs w:val="21"/>
          <w:shd w:val="clear" w:color="auto" w:fill="FFFFFF"/>
        </w:rPr>
        <w:t>Ω</w:t>
      </w:r>
      <w:r>
        <w:rPr>
          <w:rFonts w:hint="eastAsia"/>
          <w:szCs w:val="21"/>
          <w:shd w:val="clear" w:color="auto" w:fill="FFFFFF"/>
        </w:rPr>
        <w:t>，满足设备稳定运行要求。</w:t>
      </w:r>
    </w:p>
    <w:p w14:paraId="21EA7DFC">
      <w:pPr>
        <w:spacing w:before="156" w:beforeLines="50" w:line="360" w:lineRule="auto"/>
        <w:rPr>
          <w:szCs w:val="21"/>
          <w:shd w:val="clear" w:color="auto" w:fill="FFFFFF"/>
        </w:rPr>
      </w:pPr>
      <w:r>
        <w:rPr>
          <w:rFonts w:hint="eastAsia"/>
          <w:szCs w:val="21"/>
          <w:shd w:val="clear" w:color="auto" w:fill="FFFFFF"/>
        </w:rPr>
        <w:t>1.5. 系统采用自屏蔽铅房一体化结构，满足辐射安全使用要求，设备正常运行时X射线不会对周围环境造成影响，无需额外建设外部防护措施。</w:t>
      </w:r>
    </w:p>
    <w:p w14:paraId="3BF00078">
      <w:pPr>
        <w:spacing w:before="156" w:beforeLines="50" w:line="360" w:lineRule="auto"/>
        <w:rPr>
          <w:b/>
          <w:bCs/>
          <w:szCs w:val="21"/>
          <w:shd w:val="clear" w:color="auto" w:fill="FFFFFF"/>
        </w:rPr>
      </w:pPr>
      <w:r>
        <w:rPr>
          <w:rFonts w:hint="eastAsia"/>
          <w:b/>
          <w:bCs/>
          <w:szCs w:val="21"/>
          <w:shd w:val="clear" w:color="auto" w:fill="FFFFFF"/>
        </w:rPr>
        <w:t>2. 微焦点X射线源模块</w:t>
      </w:r>
    </w:p>
    <w:p w14:paraId="014EBFDC">
      <w:pPr>
        <w:spacing w:before="156" w:beforeLines="50" w:line="360" w:lineRule="auto"/>
        <w:rPr>
          <w:szCs w:val="21"/>
          <w:shd w:val="clear" w:color="auto" w:fill="FFFFFF"/>
        </w:rPr>
      </w:pPr>
      <w:r>
        <w:rPr>
          <w:rFonts w:hint="eastAsia"/>
          <w:szCs w:val="21"/>
          <w:shd w:val="clear" w:color="auto" w:fill="FFFFFF"/>
        </w:rPr>
        <w:t>2.1. 射线源类型：开放式微焦点射线源。</w:t>
      </w:r>
    </w:p>
    <w:p w14:paraId="4522FA3E">
      <w:pPr>
        <w:tabs>
          <w:tab w:val="left" w:pos="900"/>
        </w:tabs>
        <w:spacing w:before="156" w:beforeLines="50" w:line="360" w:lineRule="auto"/>
        <w:rPr>
          <w:rFonts w:hAnsi="宋体"/>
          <w:b/>
          <w:szCs w:val="21"/>
        </w:rPr>
      </w:pPr>
      <w:r>
        <w:rPr>
          <w:rFonts w:hint="eastAsia"/>
          <w:szCs w:val="21"/>
          <w:shd w:val="clear" w:color="auto" w:fill="FFFFFF"/>
        </w:rPr>
        <w:t xml:space="preserve">2.2. </w:t>
      </w:r>
      <w:r>
        <w:rPr>
          <w:szCs w:val="21"/>
          <w:shd w:val="clear" w:color="auto" w:fill="FFFFFF"/>
        </w:rPr>
        <w:t>最高管电压：40 kV～160 kV连续可调</w:t>
      </w:r>
      <w:r>
        <w:rPr>
          <w:rFonts w:hint="eastAsia"/>
          <w:szCs w:val="21"/>
          <w:shd w:val="clear" w:color="auto" w:fill="FFFFFF"/>
        </w:rPr>
        <w:t>。</w:t>
      </w:r>
    </w:p>
    <w:p w14:paraId="69E6F384">
      <w:pPr>
        <w:spacing w:before="156" w:beforeLines="50" w:line="360" w:lineRule="auto"/>
        <w:rPr>
          <w:szCs w:val="21"/>
          <w:shd w:val="clear" w:color="auto" w:fill="FFFFFF"/>
        </w:rPr>
      </w:pPr>
      <w:r>
        <w:rPr>
          <w:rFonts w:hint="eastAsia"/>
          <w:szCs w:val="21"/>
          <w:shd w:val="clear" w:color="auto" w:fill="FFFFFF"/>
        </w:rPr>
        <w:t>2.3. 标配自动滤波片切换器，可通过关联软件程序自动切换滤波片，有效调节不同密度样品射束硬化。</w:t>
      </w:r>
    </w:p>
    <w:p w14:paraId="5C18EFD6">
      <w:pPr>
        <w:spacing w:before="156" w:beforeLines="50" w:line="360" w:lineRule="auto"/>
        <w:rPr>
          <w:b/>
          <w:bCs/>
          <w:szCs w:val="21"/>
          <w:shd w:val="clear" w:color="auto" w:fill="FFFFFF"/>
        </w:rPr>
      </w:pPr>
      <w:r>
        <w:rPr>
          <w:rFonts w:hint="eastAsia"/>
          <w:b/>
          <w:bCs/>
          <w:szCs w:val="21"/>
          <w:shd w:val="clear" w:color="auto" w:fill="FFFFFF"/>
        </w:rPr>
        <w:t>3. 探测器模块</w:t>
      </w:r>
    </w:p>
    <w:p w14:paraId="43B5B943">
      <w:pPr>
        <w:spacing w:before="156" w:beforeLines="50" w:line="360" w:lineRule="auto"/>
        <w:rPr>
          <w:szCs w:val="21"/>
          <w:shd w:val="clear" w:color="auto" w:fill="FFFFFF"/>
        </w:rPr>
      </w:pPr>
      <w:r>
        <w:rPr>
          <w:rFonts w:hint="eastAsia"/>
          <w:szCs w:val="21"/>
          <w:shd w:val="clear" w:color="auto" w:fill="FFFFFF"/>
        </w:rPr>
        <w:t>3.1. 探测器类型：高精度CMOS平板探测器</w:t>
      </w:r>
    </w:p>
    <w:p w14:paraId="2D9114FC">
      <w:pPr>
        <w:spacing w:before="156" w:beforeLines="50" w:line="360" w:lineRule="auto"/>
        <w:rPr>
          <w:szCs w:val="21"/>
          <w:shd w:val="clear" w:color="auto" w:fill="FFFFFF"/>
        </w:rPr>
      </w:pPr>
      <w:r>
        <w:rPr>
          <w:rFonts w:hint="eastAsia"/>
          <w:szCs w:val="21"/>
          <w:shd w:val="clear" w:color="auto" w:fill="FFFFFF"/>
        </w:rPr>
        <w:t>3.2. 像素矩阵： ≥ 2300×2800</w:t>
      </w:r>
      <w:r>
        <w:rPr>
          <w:szCs w:val="21"/>
          <w:shd w:val="clear" w:color="auto" w:fill="FFFFFF"/>
        </w:rPr>
        <w:t xml:space="preserve"> </w:t>
      </w:r>
      <w:r>
        <w:rPr>
          <w:rFonts w:hint="eastAsia"/>
          <w:szCs w:val="21"/>
          <w:shd w:val="clear" w:color="auto" w:fill="FFFFFF"/>
        </w:rPr>
        <w:t>dpi</w:t>
      </w:r>
    </w:p>
    <w:p w14:paraId="31DED2A0">
      <w:pPr>
        <w:spacing w:before="156" w:beforeLines="50" w:line="360" w:lineRule="auto"/>
        <w:rPr>
          <w:szCs w:val="21"/>
          <w:shd w:val="clear" w:color="auto" w:fill="FFFFFF"/>
        </w:rPr>
      </w:pPr>
      <w:r>
        <w:rPr>
          <w:rFonts w:hint="eastAsia"/>
          <w:szCs w:val="21"/>
          <w:shd w:val="clear" w:color="auto" w:fill="FFFFFF"/>
        </w:rPr>
        <w:t>3.3. 像素尺寸： ≤ 50 µm</w:t>
      </w:r>
    </w:p>
    <w:p w14:paraId="4C431E1D">
      <w:pPr>
        <w:spacing w:before="156" w:beforeLines="50" w:line="360" w:lineRule="auto"/>
        <w:rPr>
          <w:szCs w:val="21"/>
          <w:shd w:val="clear" w:color="auto" w:fill="FFFFFF"/>
        </w:rPr>
      </w:pPr>
      <w:r>
        <w:rPr>
          <w:rFonts w:hint="eastAsia"/>
          <w:szCs w:val="21"/>
          <w:shd w:val="clear" w:color="auto" w:fill="FFFFFF"/>
        </w:rPr>
        <w:t>3.4. 成像面积： ≥ 110×140 mm²</w:t>
      </w:r>
    </w:p>
    <w:p w14:paraId="45E71E25">
      <w:pPr>
        <w:spacing w:before="156" w:beforeLines="50" w:line="360" w:lineRule="auto"/>
        <w:rPr>
          <w:szCs w:val="21"/>
          <w:shd w:val="clear" w:color="auto" w:fill="FFFFFF"/>
        </w:rPr>
      </w:pPr>
      <w:r>
        <w:rPr>
          <w:rFonts w:hint="eastAsia"/>
          <w:szCs w:val="21"/>
          <w:shd w:val="clear" w:color="auto" w:fill="FFFFFF"/>
        </w:rPr>
        <w:t>3.5. 帧率：≥9 fps</w:t>
      </w:r>
    </w:p>
    <w:p w14:paraId="4E7C4297">
      <w:pPr>
        <w:spacing w:before="156" w:beforeLines="50" w:line="360" w:lineRule="auto"/>
        <w:rPr>
          <w:b/>
          <w:bCs/>
          <w:szCs w:val="21"/>
          <w:shd w:val="clear" w:color="auto" w:fill="FFFFFF"/>
        </w:rPr>
      </w:pPr>
      <w:r>
        <w:rPr>
          <w:rFonts w:hint="eastAsia"/>
          <w:b/>
          <w:bCs/>
          <w:szCs w:val="21"/>
          <w:shd w:val="clear" w:color="auto" w:fill="FFFFFF"/>
        </w:rPr>
        <w:t>4. 八轴灵动控制平台</w:t>
      </w:r>
    </w:p>
    <w:p w14:paraId="101369D5">
      <w:pPr>
        <w:spacing w:before="156" w:beforeLines="50" w:line="360" w:lineRule="auto"/>
        <w:rPr>
          <w:szCs w:val="21"/>
          <w:shd w:val="clear" w:color="auto" w:fill="FFFFFF"/>
        </w:rPr>
      </w:pPr>
      <w:r>
        <w:rPr>
          <w:rFonts w:hint="eastAsia"/>
          <w:szCs w:val="21"/>
          <w:shd w:val="clear" w:color="auto" w:fill="FFFFFF"/>
        </w:rPr>
        <w:t>4.1. 平台采用大理石材质，一体化设计，平台表面粗糙度≤0.8</w:t>
      </w:r>
      <w:r>
        <w:rPr>
          <w:szCs w:val="21"/>
          <w:shd w:val="clear" w:color="auto" w:fill="FFFFFF"/>
        </w:rPr>
        <w:t xml:space="preserve"> </w:t>
      </w:r>
      <w:r>
        <w:rPr>
          <w:rFonts w:hint="eastAsia"/>
          <w:szCs w:val="21"/>
          <w:shd w:val="clear" w:color="auto" w:fill="FFFFFF"/>
        </w:rPr>
        <w:t>μ</w:t>
      </w:r>
      <w:r>
        <w:rPr>
          <w:szCs w:val="21"/>
          <w:shd w:val="clear" w:color="auto" w:fill="FFFFFF"/>
        </w:rPr>
        <w:t>m</w:t>
      </w:r>
      <w:r>
        <w:rPr>
          <w:rFonts w:hint="eastAsia"/>
          <w:szCs w:val="21"/>
          <w:shd w:val="clear" w:color="auto" w:fill="FFFFFF"/>
        </w:rPr>
        <w:t>，平面度公差≤0.008，配置高精度控制结构，电动控制轴数8。</w:t>
      </w:r>
      <w:r>
        <w:rPr>
          <w:szCs w:val="21"/>
          <w:shd w:val="clear" w:color="auto" w:fill="FFFFFF"/>
        </w:rPr>
        <w:t>样品台旋转轴精度</w:t>
      </w:r>
      <w:r>
        <w:rPr>
          <w:rFonts w:hint="eastAsia"/>
          <w:szCs w:val="21"/>
          <w:shd w:val="clear" w:color="auto" w:fill="FFFFFF"/>
        </w:rPr>
        <w:t>≤</w:t>
      </w:r>
      <w:r>
        <w:rPr>
          <w:szCs w:val="21"/>
          <w:shd w:val="clear" w:color="auto" w:fill="FFFFFF"/>
        </w:rPr>
        <w:t>0.001˚，转速最高</w:t>
      </w:r>
      <w:r>
        <w:rPr>
          <w:rFonts w:hint="eastAsia"/>
          <w:szCs w:val="21"/>
          <w:shd w:val="clear" w:color="auto" w:fill="FFFFFF"/>
        </w:rPr>
        <w:t>≥</w:t>
      </w:r>
      <w:r>
        <w:rPr>
          <w:szCs w:val="21"/>
          <w:shd w:val="clear" w:color="auto" w:fill="FFFFFF"/>
        </w:rPr>
        <w:t>6转/min； 射线源前后运动轴控制精度</w:t>
      </w:r>
      <w:r>
        <w:rPr>
          <w:rFonts w:hint="eastAsia"/>
          <w:szCs w:val="21"/>
          <w:shd w:val="clear" w:color="auto" w:fill="FFFFFF"/>
        </w:rPr>
        <w:t>≤</w:t>
      </w:r>
      <w:r>
        <w:rPr>
          <w:szCs w:val="21"/>
          <w:shd w:val="clear" w:color="auto" w:fill="FFFFFF"/>
        </w:rPr>
        <w:t>1μm，速度最高</w:t>
      </w:r>
      <w:r>
        <w:rPr>
          <w:rFonts w:hint="eastAsia"/>
          <w:szCs w:val="21"/>
          <w:shd w:val="clear" w:color="auto" w:fill="FFFFFF"/>
        </w:rPr>
        <w:t>≥</w:t>
      </w:r>
      <w:r>
        <w:rPr>
          <w:szCs w:val="21"/>
          <w:shd w:val="clear" w:color="auto" w:fill="FFFFFF"/>
        </w:rPr>
        <w:t>20mm/s； 探测器前后运动轴控制精度</w:t>
      </w:r>
      <w:r>
        <w:rPr>
          <w:rFonts w:hint="eastAsia"/>
          <w:szCs w:val="21"/>
          <w:shd w:val="clear" w:color="auto" w:fill="FFFFFF"/>
        </w:rPr>
        <w:t>≤</w:t>
      </w:r>
      <w:r>
        <w:rPr>
          <w:szCs w:val="21"/>
          <w:shd w:val="clear" w:color="auto" w:fill="FFFFFF"/>
        </w:rPr>
        <w:t>1μm，速度最高</w:t>
      </w:r>
      <w:r>
        <w:rPr>
          <w:rFonts w:hint="eastAsia"/>
          <w:szCs w:val="21"/>
          <w:shd w:val="clear" w:color="auto" w:fill="FFFFFF"/>
        </w:rPr>
        <w:t>≥</w:t>
      </w:r>
      <w:r>
        <w:rPr>
          <w:szCs w:val="21"/>
          <w:shd w:val="clear" w:color="auto" w:fill="FFFFFF"/>
        </w:rPr>
        <w:t>20mm/s；探测器左右运动轴控制精度</w:t>
      </w:r>
      <w:r>
        <w:rPr>
          <w:rFonts w:hint="eastAsia"/>
          <w:szCs w:val="21"/>
          <w:shd w:val="clear" w:color="auto" w:fill="FFFFFF"/>
        </w:rPr>
        <w:t>≤</w:t>
      </w:r>
      <w:r>
        <w:rPr>
          <w:szCs w:val="21"/>
          <w:shd w:val="clear" w:color="auto" w:fill="FFFFFF"/>
        </w:rPr>
        <w:t>1μm，速度最高</w:t>
      </w:r>
      <w:r>
        <w:rPr>
          <w:rFonts w:hint="eastAsia"/>
          <w:szCs w:val="21"/>
          <w:shd w:val="clear" w:color="auto" w:fill="FFFFFF"/>
        </w:rPr>
        <w:t>≥</w:t>
      </w:r>
      <w:r>
        <w:rPr>
          <w:szCs w:val="21"/>
          <w:shd w:val="clear" w:color="auto" w:fill="FFFFFF"/>
        </w:rPr>
        <w:t>20mm/s；探测器上下运动轴控制精度</w:t>
      </w:r>
      <w:r>
        <w:rPr>
          <w:rFonts w:hint="eastAsia"/>
          <w:szCs w:val="21"/>
          <w:shd w:val="clear" w:color="auto" w:fill="FFFFFF"/>
        </w:rPr>
        <w:t>≤</w:t>
      </w:r>
      <w:r>
        <w:rPr>
          <w:szCs w:val="21"/>
          <w:shd w:val="clear" w:color="auto" w:fill="FFFFFF"/>
        </w:rPr>
        <w:t>1μm，速度最高</w:t>
      </w:r>
      <w:r>
        <w:rPr>
          <w:rFonts w:hint="eastAsia"/>
          <w:szCs w:val="21"/>
          <w:shd w:val="clear" w:color="auto" w:fill="FFFFFF"/>
        </w:rPr>
        <w:t>≥</w:t>
      </w:r>
      <w:r>
        <w:rPr>
          <w:szCs w:val="21"/>
          <w:shd w:val="clear" w:color="auto" w:fill="FFFFFF"/>
        </w:rPr>
        <w:t>20mm/s</w:t>
      </w:r>
      <w:r>
        <w:rPr>
          <w:rFonts w:hint="eastAsia"/>
          <w:szCs w:val="21"/>
          <w:shd w:val="clear" w:color="auto" w:fill="FFFFFF"/>
        </w:rPr>
        <w:t>。</w:t>
      </w:r>
    </w:p>
    <w:p w14:paraId="53CFD516">
      <w:pPr>
        <w:spacing w:before="156" w:beforeLines="50" w:line="360" w:lineRule="auto"/>
        <w:rPr>
          <w:szCs w:val="21"/>
          <w:shd w:val="clear" w:color="auto" w:fill="FFFFFF"/>
        </w:rPr>
      </w:pPr>
      <w:r>
        <w:rPr>
          <w:rFonts w:hint="eastAsia"/>
          <w:szCs w:val="21"/>
          <w:shd w:val="clear" w:color="auto" w:fill="FFFFFF"/>
        </w:rPr>
        <w:t>4.2. 射线源前后行程≥100 mm。</w:t>
      </w:r>
    </w:p>
    <w:p w14:paraId="672E9C7C">
      <w:pPr>
        <w:spacing w:before="156" w:beforeLines="50" w:line="360" w:lineRule="auto"/>
        <w:rPr>
          <w:szCs w:val="21"/>
          <w:shd w:val="clear" w:color="auto" w:fill="FFFFFF"/>
        </w:rPr>
      </w:pPr>
      <w:r>
        <w:rPr>
          <w:rFonts w:hint="eastAsia"/>
          <w:szCs w:val="21"/>
          <w:shd w:val="clear" w:color="auto" w:fill="FFFFFF"/>
        </w:rPr>
        <w:t>4.3. 探测器上下行程≥50 mm；左右行程≥150 mm；前后行程≥400 mm。</w:t>
      </w:r>
    </w:p>
    <w:p w14:paraId="023625AE">
      <w:pPr>
        <w:spacing w:before="156" w:beforeLines="50" w:line="360" w:lineRule="auto"/>
        <w:rPr>
          <w:szCs w:val="21"/>
          <w:shd w:val="clear" w:color="auto" w:fill="FFFFFF"/>
        </w:rPr>
      </w:pPr>
      <w:r>
        <w:rPr>
          <w:rFonts w:hint="eastAsia"/>
          <w:szCs w:val="21"/>
          <w:shd w:val="clear" w:color="auto" w:fill="FFFFFF"/>
        </w:rPr>
        <w:t>4.4. 样品台上下≥50 mm；左右行程≥50 mm；前后行程≥50 mm。</w:t>
      </w:r>
    </w:p>
    <w:p w14:paraId="72503583">
      <w:pPr>
        <w:spacing w:before="156" w:beforeLines="50" w:line="360" w:lineRule="auto"/>
        <w:rPr>
          <w:szCs w:val="21"/>
          <w:shd w:val="clear" w:color="auto" w:fill="FFFFFF"/>
        </w:rPr>
      </w:pPr>
      <w:r>
        <w:rPr>
          <w:rFonts w:hint="eastAsia" w:ascii="楷体" w:hAnsi="楷体" w:eastAsia="楷体"/>
          <w:bCs/>
          <w:color w:val="auto"/>
          <w:sz w:val="22"/>
          <w:szCs w:val="22"/>
        </w:rPr>
        <w:t>*</w:t>
      </w:r>
      <w:r>
        <w:rPr>
          <w:rFonts w:hint="eastAsia"/>
          <w:szCs w:val="21"/>
          <w:shd w:val="clear" w:color="auto" w:fill="FFFFFF"/>
        </w:rPr>
        <w:t>4.5. 控制结构前后向轴运动副回程偏差为零，确保重复定位精度满足微米级测量标准（提供技术方案书）。</w:t>
      </w:r>
    </w:p>
    <w:p w14:paraId="0A21D05E">
      <w:pPr>
        <w:spacing w:before="156" w:beforeLines="50" w:line="360" w:lineRule="auto"/>
        <w:rPr>
          <w:szCs w:val="21"/>
          <w:shd w:val="clear" w:color="auto" w:fill="FFFFFF"/>
        </w:rPr>
      </w:pPr>
      <w:r>
        <w:rPr>
          <w:rFonts w:hint="eastAsia"/>
          <w:szCs w:val="21"/>
          <w:shd w:val="clear" w:color="auto" w:fill="FFFFFF"/>
        </w:rPr>
        <w:t>4.6. 控制结构左右向和前后向轴配置有全闭环控制,可及时反馈运动信息，确保运动精度与稳定性。</w:t>
      </w:r>
    </w:p>
    <w:p w14:paraId="4E434E3C">
      <w:pPr>
        <w:spacing w:before="156" w:beforeLines="50" w:line="360" w:lineRule="auto"/>
        <w:rPr>
          <w:szCs w:val="21"/>
          <w:shd w:val="clear" w:color="auto" w:fill="FFFFFF"/>
        </w:rPr>
      </w:pPr>
      <w:r>
        <w:rPr>
          <w:rFonts w:hint="eastAsia"/>
          <w:szCs w:val="21"/>
          <w:shd w:val="clear" w:color="auto" w:fill="FFFFFF"/>
        </w:rPr>
        <w:t>4.7. 采用灵动MR（放大比 Magnification Ratio）运动模式，射线源和探测器前后可调节；射线源和探测器之间距离（SDD）最大≥650 mm，最小≤120 mm；源样距离（SOD）最大≥100 mm，最小≤10 mm；放大比灵活调节，让系统适应样品，而非让样品适应设备。</w:t>
      </w:r>
    </w:p>
    <w:p w14:paraId="071D3475">
      <w:pPr>
        <w:spacing w:before="156" w:beforeLines="50" w:line="360" w:lineRule="auto"/>
        <w:rPr>
          <w:szCs w:val="21"/>
          <w:shd w:val="clear" w:color="auto" w:fill="FFFFFF"/>
        </w:rPr>
      </w:pPr>
      <w:r>
        <w:rPr>
          <w:rFonts w:hint="eastAsia" w:ascii="楷体" w:hAnsi="楷体" w:eastAsia="楷体"/>
          <w:bCs/>
          <w:color w:val="auto"/>
          <w:sz w:val="22"/>
          <w:szCs w:val="22"/>
        </w:rPr>
        <w:t>*</w:t>
      </w:r>
      <w:r>
        <w:rPr>
          <w:rFonts w:hint="eastAsia"/>
          <w:szCs w:val="21"/>
          <w:shd w:val="clear" w:color="auto" w:fill="FFFFFF"/>
        </w:rPr>
        <w:t>4.8. 样品台采用无限旋转滑环结构设计，R向可实现360°×N连续旋转且滑环自带电通路，最大转速6 rpm，支持链接热力耦合原位装置，扫描时不会发生电线缠绕（提供功能演示视频，展示结构、链接、旋转情况）。</w:t>
      </w:r>
    </w:p>
    <w:p w14:paraId="06722C1F">
      <w:pPr>
        <w:spacing w:before="156" w:beforeLines="50" w:line="360" w:lineRule="auto"/>
        <w:rPr>
          <w:szCs w:val="21"/>
          <w:shd w:val="clear" w:color="auto" w:fill="FFFFFF"/>
        </w:rPr>
      </w:pPr>
      <w:r>
        <w:rPr>
          <w:rFonts w:hint="eastAsia"/>
          <w:szCs w:val="21"/>
          <w:shd w:val="clear" w:color="auto" w:fill="FFFFFF"/>
        </w:rPr>
        <w:t xml:space="preserve">4.9. </w:t>
      </w:r>
      <w:r>
        <w:rPr>
          <w:szCs w:val="21"/>
          <w:shd w:val="clear" w:color="auto" w:fill="FFFFFF"/>
        </w:rPr>
        <w:t>采用水冷对探测器进行制冷，使探测器温度保持在22˚C</w:t>
      </w:r>
      <w:r>
        <w:rPr>
          <w:rFonts w:hint="eastAsia"/>
          <w:szCs w:val="21"/>
          <w:shd w:val="clear" w:color="auto" w:fill="FFFFFF"/>
        </w:rPr>
        <w:t>，降低探测器工作温度，提高信噪比，保障长时间高精度扫描效果。</w:t>
      </w:r>
    </w:p>
    <w:p w14:paraId="65135CE7">
      <w:pPr>
        <w:spacing w:before="156" w:beforeLines="50" w:line="360" w:lineRule="auto"/>
        <w:rPr>
          <w:b/>
          <w:bCs/>
          <w:szCs w:val="21"/>
          <w:shd w:val="clear" w:color="auto" w:fill="FFFFFF"/>
        </w:rPr>
      </w:pPr>
      <w:r>
        <w:rPr>
          <w:rFonts w:hint="eastAsia"/>
          <w:b/>
          <w:bCs/>
          <w:szCs w:val="21"/>
          <w:shd w:val="clear" w:color="auto" w:fill="FFFFFF"/>
        </w:rPr>
        <w:t>5. 全流程CT软件体系</w:t>
      </w:r>
    </w:p>
    <w:p w14:paraId="32DFFA3D">
      <w:pPr>
        <w:spacing w:before="156" w:beforeLines="50" w:line="360" w:lineRule="auto"/>
        <w:rPr>
          <w:szCs w:val="21"/>
          <w:shd w:val="clear" w:color="auto" w:fill="FFFFFF"/>
        </w:rPr>
      </w:pPr>
      <w:r>
        <w:rPr>
          <w:rFonts w:hint="eastAsia"/>
          <w:szCs w:val="21"/>
          <w:shd w:val="clear" w:color="auto" w:fill="FFFFFF"/>
        </w:rPr>
        <w:t>5.1. 包含采集软件、重构软件，均为全中文软件，具有国内知识产权。</w:t>
      </w:r>
    </w:p>
    <w:p w14:paraId="753BC923">
      <w:pPr>
        <w:spacing w:before="156" w:beforeLines="50" w:line="360" w:lineRule="auto"/>
        <w:rPr>
          <w:szCs w:val="21"/>
          <w:shd w:val="clear" w:color="auto" w:fill="FFFFFF"/>
        </w:rPr>
      </w:pPr>
      <w:r>
        <w:rPr>
          <w:rFonts w:hint="eastAsia"/>
          <w:szCs w:val="21"/>
          <w:shd w:val="clear" w:color="auto" w:fill="FFFFFF"/>
        </w:rPr>
        <w:t>5.2. 采集软件</w:t>
      </w:r>
      <w:r>
        <w:rPr>
          <w:rFonts w:hint="eastAsia"/>
          <w:szCs w:val="21"/>
          <w:shd w:val="clear" w:color="auto" w:fill="FFFFFF"/>
          <w:lang w:eastAsia="zh-CN"/>
        </w:rPr>
        <w:t>：</w:t>
      </w:r>
      <w:r>
        <w:rPr>
          <w:rFonts w:hint="eastAsia"/>
          <w:szCs w:val="21"/>
          <w:shd w:val="clear" w:color="auto" w:fill="FFFFFF"/>
        </w:rPr>
        <w:t>具备DR、锥束 CT、偏置扫描、有限角扫描、变步长扫描、续点扫描、抖动扫描等多种扫描模式，可灵活适配不同样品类型与检测场景，满足多样化的扫描需求</w:t>
      </w:r>
      <w:r>
        <w:rPr>
          <w:rFonts w:hint="eastAsia"/>
          <w:szCs w:val="21"/>
          <w:shd w:val="clear" w:color="auto" w:fill="FFFFFF"/>
          <w:lang w:eastAsia="zh-CN"/>
        </w:rPr>
        <w:t>；</w:t>
      </w:r>
      <w:r>
        <w:rPr>
          <w:rFonts w:hint="eastAsia"/>
          <w:szCs w:val="21"/>
          <w:shd w:val="clear" w:color="auto" w:fill="FFFFFF"/>
        </w:rPr>
        <w:t>具备帧叠加功能，通过多帧图像的智能合成，有效降低图像噪声，显著提升高密度样品采集图像的清晰度与细节表现力</w:t>
      </w:r>
      <w:r>
        <w:rPr>
          <w:rFonts w:hint="eastAsia"/>
          <w:szCs w:val="21"/>
          <w:shd w:val="clear" w:color="auto" w:fill="FFFFFF"/>
          <w:lang w:eastAsia="zh-CN"/>
        </w:rPr>
        <w:t>；</w:t>
      </w:r>
      <w:r>
        <w:rPr>
          <w:rFonts w:hint="eastAsia"/>
          <w:szCs w:val="21"/>
          <w:shd w:val="clear" w:color="auto" w:fill="FFFFFF"/>
        </w:rPr>
        <w:t>具备扫描操作监视功能，能实时动态显示各项操作及状态参数，包括采集电压、电流、滤波片、射线源位置、曝光时间等，便于用户全程掌控扫描进程</w:t>
      </w:r>
      <w:r>
        <w:rPr>
          <w:rFonts w:hint="eastAsia"/>
          <w:szCs w:val="21"/>
          <w:shd w:val="clear" w:color="auto" w:fill="FFFFFF"/>
          <w:lang w:eastAsia="zh-CN"/>
        </w:rPr>
        <w:t>；</w:t>
      </w:r>
      <w:r>
        <w:rPr>
          <w:rFonts w:hint="eastAsia"/>
          <w:szCs w:val="21"/>
          <w:shd w:val="clear" w:color="auto" w:fill="FFFFFF"/>
        </w:rPr>
        <w:t>具备数据预裁剪功能，可精准识别并去除整体扫描数据边缘的无效区域，减少冗余信息，提升后续数据处理效率</w:t>
      </w:r>
      <w:r>
        <w:rPr>
          <w:rFonts w:hint="eastAsia"/>
          <w:szCs w:val="21"/>
          <w:shd w:val="clear" w:color="auto" w:fill="FFFFFF"/>
          <w:lang w:eastAsia="zh-CN"/>
        </w:rPr>
        <w:t>；</w:t>
      </w:r>
      <w:r>
        <w:rPr>
          <w:rFonts w:hint="eastAsia"/>
          <w:szCs w:val="21"/>
          <w:shd w:val="clear" w:color="auto" w:fill="FFFFFF"/>
        </w:rPr>
        <w:t>具备扫描参数的保存、导出与调用功能，方便用户快速复用优质参数设置，简化操作流程，保障实验条件的一致性</w:t>
      </w:r>
      <w:r>
        <w:rPr>
          <w:rFonts w:hint="eastAsia"/>
          <w:szCs w:val="21"/>
          <w:shd w:val="clear" w:color="auto" w:fill="FFFFFF"/>
          <w:lang w:eastAsia="zh-CN"/>
        </w:rPr>
        <w:t>；</w:t>
      </w:r>
      <w:r>
        <w:rPr>
          <w:rFonts w:hint="eastAsia"/>
          <w:szCs w:val="21"/>
          <w:shd w:val="clear" w:color="auto" w:fill="FFFFFF"/>
        </w:rPr>
        <w:t>具备探测器自主校正模块，能自动对探测器的明场、暗场及坏点进行精准校正，确保探测数据的准确性，减少系统误差</w:t>
      </w:r>
      <w:r>
        <w:rPr>
          <w:rFonts w:hint="eastAsia"/>
          <w:szCs w:val="21"/>
          <w:shd w:val="clear" w:color="auto" w:fill="FFFFFF"/>
          <w:lang w:eastAsia="zh-CN"/>
        </w:rPr>
        <w:t>；</w:t>
      </w:r>
      <w:r>
        <w:rPr>
          <w:rFonts w:hint="eastAsia"/>
          <w:szCs w:val="21"/>
          <w:shd w:val="clear" w:color="auto" w:fill="FFFFFF"/>
        </w:rPr>
        <w:t>具备用户模式和工程师模式两种使用模式，工程师模式支持对扫描参数进行高灵活度调节，满足专业人员的深度定制需求。</w:t>
      </w:r>
    </w:p>
    <w:p w14:paraId="1C651A34">
      <w:pPr>
        <w:spacing w:before="156" w:beforeLines="50" w:line="360" w:lineRule="auto"/>
        <w:rPr>
          <w:szCs w:val="21"/>
          <w:shd w:val="clear" w:color="auto" w:fill="FFFFFF"/>
        </w:rPr>
      </w:pPr>
      <w:r>
        <w:rPr>
          <w:rFonts w:hint="eastAsia"/>
          <w:szCs w:val="21"/>
          <w:shd w:val="clear" w:color="auto" w:fill="FFFFFF"/>
        </w:rPr>
        <w:t>5.</w:t>
      </w:r>
      <w:r>
        <w:rPr>
          <w:rFonts w:hint="eastAsia"/>
          <w:szCs w:val="21"/>
          <w:shd w:val="clear" w:color="auto" w:fill="FFFFFF"/>
          <w:lang w:val="en-US" w:eastAsia="zh-CN"/>
        </w:rPr>
        <w:t>3</w:t>
      </w:r>
      <w:r>
        <w:rPr>
          <w:rFonts w:hint="eastAsia"/>
          <w:szCs w:val="21"/>
          <w:shd w:val="clear" w:color="auto" w:fill="FFFFFF"/>
        </w:rPr>
        <w:t>. 重构软件</w:t>
      </w:r>
      <w:r>
        <w:rPr>
          <w:rFonts w:hint="eastAsia"/>
          <w:szCs w:val="21"/>
          <w:shd w:val="clear" w:color="auto" w:fill="FFFFFF"/>
          <w:lang w:eastAsia="zh-CN"/>
        </w:rPr>
        <w:t>：</w:t>
      </w:r>
      <w:r>
        <w:rPr>
          <w:rFonts w:hint="eastAsia"/>
          <w:szCs w:val="21"/>
          <w:shd w:val="clear" w:color="auto" w:fill="FFFFFF"/>
        </w:rPr>
        <w:t>具备自动寻参功能，一键操作即可快速完成重构参数的智能搜寻，同时支持根据实际需求手动调整参数，兼顾操作便捷性与参数定制灵活性</w:t>
      </w:r>
      <w:r>
        <w:rPr>
          <w:rFonts w:hint="eastAsia"/>
          <w:szCs w:val="21"/>
          <w:shd w:val="clear" w:color="auto" w:fill="FFFFFF"/>
          <w:lang w:eastAsia="zh-CN"/>
        </w:rPr>
        <w:t>；</w:t>
      </w:r>
      <w:r>
        <w:rPr>
          <w:szCs w:val="21"/>
          <w:shd w:val="clear" w:color="auto" w:fill="FFFFFF"/>
        </w:rPr>
        <w:t>具备二维/三维一体化可视化与图像交互功能。数据重构完成后，用户可在软件内直接查看三维体数据及三个方向的切片图像，支持虚拟切片浏览与重构结果预览，可快速确认重构质量及内部结构细节。软件支持投影图、切片图的拖拽放大、缩小及局部细节查看，便于对微小缺陷、孔隙及内部结构进行精细观察与分析；同时支持导出 bmp、jpg、tiff 等多种格式的截面图像数据</w:t>
      </w:r>
      <w:r>
        <w:rPr>
          <w:rFonts w:hint="eastAsia"/>
          <w:szCs w:val="21"/>
          <w:shd w:val="clear" w:color="auto" w:fill="FFFFFF"/>
          <w:lang w:eastAsia="zh-CN"/>
        </w:rPr>
        <w:t>；</w:t>
      </w:r>
      <w:r>
        <w:rPr>
          <w:rFonts w:hint="eastAsia"/>
          <w:szCs w:val="21"/>
          <w:shd w:val="clear" w:color="auto" w:fill="FFFFFF"/>
        </w:rPr>
        <w:t>重构软件具备ROI（感兴趣区域）重建功能，能够精准锁定细观区域并进行独立重构，聚焦关键部位分析，减少无关数据干扰，提高目标区域研究效率</w:t>
      </w:r>
      <w:r>
        <w:rPr>
          <w:rFonts w:hint="eastAsia"/>
          <w:szCs w:val="21"/>
          <w:shd w:val="clear" w:color="auto" w:fill="FFFFFF"/>
          <w:lang w:eastAsia="zh-CN"/>
        </w:rPr>
        <w:t>；</w:t>
      </w:r>
      <w:r>
        <w:rPr>
          <w:rFonts w:hint="eastAsia"/>
          <w:szCs w:val="21"/>
          <w:shd w:val="clear" w:color="auto" w:fill="FFFFFF"/>
        </w:rPr>
        <w:t>重构软件具备多种针对性的图像伪影校正功能，包括环状伪影校正、金属伪影校正、射束硬化伪影校正等，且支持灰度分布预览，可直观把控校正效果</w:t>
      </w:r>
      <w:r>
        <w:rPr>
          <w:rFonts w:hint="eastAsia"/>
          <w:szCs w:val="21"/>
          <w:shd w:val="clear" w:color="auto" w:fill="FFFFFF"/>
          <w:lang w:eastAsia="zh-CN"/>
        </w:rPr>
        <w:t>；</w:t>
      </w:r>
      <w:r>
        <w:rPr>
          <w:rFonts w:hint="eastAsia"/>
          <w:szCs w:val="21"/>
          <w:shd w:val="clear" w:color="auto" w:fill="FFFFFF"/>
        </w:rPr>
        <w:t>重构软件采用逐角度流式反投影算法，能实时处理投影数据并逐步累加反投影结果，在保证重构质量的同时有效加快重构速度，缩短数据处理周期。</w:t>
      </w:r>
    </w:p>
    <w:p w14:paraId="6DAB093D">
      <w:pPr>
        <w:spacing w:before="156" w:beforeLines="50" w:line="360" w:lineRule="auto"/>
        <w:rPr>
          <w:b/>
          <w:bCs/>
          <w:szCs w:val="21"/>
          <w:shd w:val="clear" w:color="auto" w:fill="FFFFFF"/>
        </w:rPr>
      </w:pPr>
      <w:r>
        <w:rPr>
          <w:rFonts w:hint="eastAsia"/>
          <w:b/>
          <w:bCs/>
          <w:szCs w:val="21"/>
          <w:shd w:val="clear" w:color="auto" w:fill="FFFFFF"/>
        </w:rPr>
        <w:t>6. 计算机工作站</w:t>
      </w:r>
    </w:p>
    <w:p w14:paraId="558E6CE2">
      <w:pPr>
        <w:spacing w:before="156" w:beforeLines="50" w:line="360" w:lineRule="auto"/>
        <w:rPr>
          <w:szCs w:val="21"/>
          <w:shd w:val="clear" w:color="auto" w:fill="FFFFFF"/>
        </w:rPr>
      </w:pPr>
      <w:r>
        <w:rPr>
          <w:rFonts w:hint="eastAsia"/>
          <w:szCs w:val="21"/>
          <w:shd w:val="clear" w:color="auto" w:fill="FFFFFF"/>
        </w:rPr>
        <w:t>6.1. 包含前端采集工作站、专业处理工作站各1台。</w:t>
      </w:r>
    </w:p>
    <w:p w14:paraId="53F40087">
      <w:pPr>
        <w:spacing w:before="156" w:beforeLines="50" w:line="360" w:lineRule="auto"/>
        <w:rPr>
          <w:szCs w:val="21"/>
          <w:shd w:val="clear" w:color="auto" w:fill="FFFFFF"/>
        </w:rPr>
      </w:pPr>
      <w:r>
        <w:rPr>
          <w:rFonts w:hint="eastAsia"/>
          <w:szCs w:val="21"/>
          <w:shd w:val="clear" w:color="auto" w:fill="FFFFFF"/>
        </w:rPr>
        <w:t>6.2. 前端采集计算机：</w:t>
      </w:r>
      <w:r>
        <w:rPr>
          <w:szCs w:val="21"/>
          <w:shd w:val="clear" w:color="auto" w:fill="FFFFFF"/>
        </w:rPr>
        <w:t>内存容量≥64GB并采用DDR5及以上内存接口规格，存储搭载≥512GB固态硬盘与≥8TB机械硬盘，配置1块性能不低于RTX5060Ti的独立显卡且独立显存≥8GB，搭载PCIE千兆四口网卡，配备额定功率≥850W、80 PLUS Gold金牌及以上认证电源，保障设备长期稳定运行，外设配套标准键盘、鼠标，同时配置27英寸2K</w:t>
      </w:r>
      <w:r>
        <w:rPr>
          <w:rFonts w:hint="eastAsia"/>
          <w:szCs w:val="21"/>
          <w:shd w:val="clear" w:color="auto" w:fill="FFFFFF"/>
        </w:rPr>
        <w:t>及以上</w:t>
      </w:r>
      <w:r>
        <w:rPr>
          <w:szCs w:val="21"/>
          <w:shd w:val="clear" w:color="auto" w:fill="FFFFFF"/>
        </w:rPr>
        <w:t>分辨率显示器。</w:t>
      </w:r>
      <w:r>
        <w:rPr>
          <w:rFonts w:hint="eastAsia"/>
          <w:szCs w:val="21"/>
          <w:shd w:val="clear" w:color="auto" w:fill="FFFFFF"/>
        </w:rPr>
        <w:t xml:space="preserve"> </w:t>
      </w:r>
    </w:p>
    <w:p w14:paraId="251782C8">
      <w:pPr>
        <w:spacing w:before="156" w:beforeLines="50" w:line="360" w:lineRule="auto"/>
        <w:rPr>
          <w:szCs w:val="21"/>
          <w:shd w:val="clear" w:color="auto" w:fill="FFFFFF"/>
        </w:rPr>
      </w:pPr>
      <w:r>
        <w:rPr>
          <w:rFonts w:hint="eastAsia"/>
          <w:szCs w:val="21"/>
          <w:shd w:val="clear" w:color="auto" w:fill="FFFFFF"/>
        </w:rPr>
        <w:t>6.3. 专业处理工作站：</w:t>
      </w:r>
      <w:r>
        <w:rPr>
          <w:szCs w:val="21"/>
          <w:shd w:val="clear" w:color="auto" w:fill="FFFFFF"/>
        </w:rPr>
        <w:t>内存≥256 GB，内存接口为DDR5；固态硬盘（SSD）≥2 TB，机械硬盘（HDD）≥16 TB；支持PCIe 5.0高速扩展，总PCIe插槽数量≥4个；配置2块同等性能独立显卡（RTX A4000及以上性能）；网络接口采用多网口设计，其中主板集成1×1G及1×10G高速网口，同时通过PCIe扩展提供≥2个额外高速网口；电源采用额定功率≥1600 W、80 PLUS Platinum及以上认证冗余电源，满足双GPU长期高负载稳定运行需求；配备鼠标、键盘及27寸2K及以上分辨率显示器。</w:t>
      </w:r>
    </w:p>
    <w:p w14:paraId="52C5207F">
      <w:pPr>
        <w:spacing w:before="156" w:beforeLines="50" w:line="360" w:lineRule="auto"/>
        <w:rPr>
          <w:rFonts w:hint="eastAsia" w:eastAsia="宋体"/>
          <w:szCs w:val="21"/>
          <w:shd w:val="clear" w:color="auto" w:fill="FFFFFF"/>
          <w:lang w:val="en-US" w:eastAsia="zh-CN"/>
        </w:rPr>
      </w:pPr>
      <w:r>
        <w:rPr>
          <w:rFonts w:hint="eastAsia"/>
          <w:szCs w:val="21"/>
          <w:shd w:val="clear" w:color="auto" w:fill="FFFFFF"/>
        </w:rPr>
        <w:t>6.4. 支持高速缓存能力与异步写入机制，确保投影数据的完整采集与稳定写入，不因数据传输或写入延迟导致扫描暂停、降速或中断</w:t>
      </w:r>
      <w:r>
        <w:rPr>
          <w:rFonts w:hint="eastAsia"/>
          <w:szCs w:val="21"/>
          <w:shd w:val="clear" w:color="auto" w:fill="FFFFFF"/>
          <w:lang w:eastAsia="zh-CN"/>
        </w:rPr>
        <w:t>。</w:t>
      </w:r>
    </w:p>
    <w:p w14:paraId="6F7C7FBA">
      <w:pPr>
        <w:spacing w:before="156" w:beforeLines="50" w:line="360" w:lineRule="auto"/>
        <w:rPr>
          <w:b/>
          <w:bCs/>
          <w:szCs w:val="21"/>
          <w:shd w:val="clear" w:color="auto" w:fill="FFFFFF"/>
        </w:rPr>
      </w:pPr>
      <w:r>
        <w:rPr>
          <w:rFonts w:hint="eastAsia"/>
          <w:b/>
          <w:bCs/>
          <w:szCs w:val="21"/>
          <w:shd w:val="clear" w:color="auto" w:fill="FFFFFF"/>
        </w:rPr>
        <w:t>7. 屏蔽结构</w:t>
      </w:r>
    </w:p>
    <w:p w14:paraId="163CE960">
      <w:pPr>
        <w:spacing w:before="156" w:beforeLines="50" w:line="360" w:lineRule="auto"/>
        <w:rPr>
          <w:szCs w:val="21"/>
          <w:shd w:val="clear" w:color="auto" w:fill="FFFFFF"/>
        </w:rPr>
      </w:pPr>
      <w:r>
        <w:rPr>
          <w:rFonts w:hint="eastAsia"/>
          <w:szCs w:val="21"/>
          <w:shd w:val="clear" w:color="auto" w:fill="FFFFFF"/>
        </w:rPr>
        <w:t>7.1. 屏蔽结构满足辐射安全许可要求。</w:t>
      </w:r>
    </w:p>
    <w:p w14:paraId="39D1C372">
      <w:pPr>
        <w:spacing w:before="156" w:beforeLines="50" w:line="360" w:lineRule="auto"/>
        <w:rPr>
          <w:szCs w:val="21"/>
          <w:shd w:val="clear" w:color="auto" w:fill="FFFFFF"/>
        </w:rPr>
      </w:pPr>
      <w:r>
        <w:rPr>
          <w:rFonts w:hint="eastAsia"/>
          <w:szCs w:val="21"/>
          <w:shd w:val="clear" w:color="auto" w:fill="FFFFFF"/>
        </w:rPr>
        <w:t>7.2. 采用钢铅钢复合式全封闭结构，不采用铅玻透视窗规避泄露风险。</w:t>
      </w:r>
    </w:p>
    <w:p w14:paraId="3F43AF66">
      <w:pPr>
        <w:spacing w:before="156" w:beforeLines="50" w:line="360" w:lineRule="auto"/>
        <w:rPr>
          <w:szCs w:val="21"/>
          <w:shd w:val="clear" w:color="auto" w:fill="FFFFFF"/>
        </w:rPr>
      </w:pPr>
      <w:r>
        <w:rPr>
          <w:rFonts w:hint="eastAsia"/>
          <w:szCs w:val="21"/>
          <w:shd w:val="clear" w:color="auto" w:fill="FFFFFF"/>
        </w:rPr>
        <w:t>7.3. 侧面装有显示器延伸式悬臂支架，支架可进行多自由度位置调整，便于人员操机。</w:t>
      </w:r>
    </w:p>
    <w:p w14:paraId="22ACC4BB">
      <w:pPr>
        <w:spacing w:before="156" w:beforeLines="50" w:line="360" w:lineRule="auto"/>
        <w:rPr>
          <w:b/>
          <w:bCs/>
          <w:szCs w:val="21"/>
          <w:shd w:val="clear" w:color="auto" w:fill="FFFFFF"/>
        </w:rPr>
      </w:pPr>
      <w:r>
        <w:rPr>
          <w:rFonts w:hint="eastAsia"/>
          <w:b/>
          <w:bCs/>
          <w:szCs w:val="21"/>
          <w:shd w:val="clear" w:color="auto" w:fill="FFFFFF"/>
        </w:rPr>
        <w:t>8. 热力耦合原位装置</w:t>
      </w:r>
    </w:p>
    <w:p w14:paraId="59040A41">
      <w:pPr>
        <w:spacing w:before="156" w:beforeLines="50" w:line="360" w:lineRule="auto"/>
        <w:rPr>
          <w:rFonts w:hint="eastAsia" w:eastAsia="宋体"/>
          <w:szCs w:val="21"/>
          <w:shd w:val="clear" w:color="auto" w:fill="FFFFFF"/>
          <w:lang w:eastAsia="zh-CN"/>
        </w:rPr>
      </w:pPr>
      <w:r>
        <w:rPr>
          <w:rFonts w:hint="eastAsia" w:ascii="楷体" w:hAnsi="楷体" w:eastAsia="楷体"/>
          <w:bCs/>
          <w:color w:val="auto"/>
          <w:sz w:val="22"/>
          <w:szCs w:val="22"/>
        </w:rPr>
        <w:t>*</w:t>
      </w:r>
      <w:r>
        <w:rPr>
          <w:rFonts w:hint="eastAsia"/>
          <w:szCs w:val="21"/>
          <w:shd w:val="clear" w:color="auto" w:fill="FFFFFF"/>
        </w:rPr>
        <w:t>8.1. 该装置可对样品施加热力耦合环境，可独立工作亦可集成于 CT 系统中使用，实现复杂工况下的原位 CT 表征；应为成熟产品，不接受改造、尚处于开发、设计、研制或试验阶段的产品（供应商应具备提供实物验证的能力，若招标人认为评审需要，有权提出现场演示或当场视频考察的要求）</w:t>
      </w:r>
    </w:p>
    <w:p w14:paraId="0B0A5508">
      <w:pPr>
        <w:spacing w:before="156" w:beforeLines="50" w:line="360" w:lineRule="auto"/>
        <w:rPr>
          <w:szCs w:val="21"/>
          <w:shd w:val="clear" w:color="auto" w:fill="FFFFFF"/>
        </w:rPr>
      </w:pPr>
      <w:r>
        <w:rPr>
          <w:rFonts w:hint="eastAsia"/>
          <w:szCs w:val="21"/>
          <w:shd w:val="clear" w:color="auto" w:fill="FFFFFF"/>
        </w:rPr>
        <w:t>8.2. 可实现室温加载模式、低温加载模式、高温加载模式、超高温加载模式四种热力耦合环境，可实现温度范围：-100℃~1200℃。</w:t>
      </w:r>
    </w:p>
    <w:p w14:paraId="266CB939">
      <w:pPr>
        <w:spacing w:before="156" w:beforeLines="50" w:line="360" w:lineRule="auto"/>
        <w:rPr>
          <w:szCs w:val="21"/>
          <w:shd w:val="clear" w:color="auto" w:fill="FFFFFF"/>
        </w:rPr>
      </w:pPr>
      <w:r>
        <w:rPr>
          <w:rFonts w:hint="eastAsia"/>
          <w:szCs w:val="21"/>
          <w:shd w:val="clear" w:color="auto" w:fill="FFFFFF"/>
        </w:rPr>
        <w:t>8.3. 低温加载模式与高温加载模式采用气氛均匀制冷/制热方式，在-100℃~350℃时，控温精度±2℃。</w:t>
      </w:r>
    </w:p>
    <w:p w14:paraId="340A84B8">
      <w:pPr>
        <w:spacing w:before="156" w:beforeLines="50" w:line="360" w:lineRule="auto"/>
        <w:rPr>
          <w:szCs w:val="21"/>
          <w:shd w:val="clear" w:color="auto" w:fill="FFFFFF"/>
        </w:rPr>
      </w:pPr>
      <w:r>
        <w:rPr>
          <w:rFonts w:hint="eastAsia"/>
          <w:szCs w:val="21"/>
          <w:shd w:val="clear" w:color="auto" w:fill="FFFFFF"/>
        </w:rPr>
        <w:t>8.4. 超高温加载模式采用非接触方式对样品标记段聚焦加热，减少对原位装置和CT高价值部件的安全威胁，控温精度±10℃。</w:t>
      </w:r>
    </w:p>
    <w:p w14:paraId="1292457D">
      <w:pPr>
        <w:spacing w:before="156" w:beforeLines="50" w:line="360" w:lineRule="auto"/>
        <w:rPr>
          <w:szCs w:val="21"/>
          <w:shd w:val="clear" w:color="auto" w:fill="FFFFFF"/>
        </w:rPr>
      </w:pPr>
      <w:r>
        <w:rPr>
          <w:rFonts w:hint="eastAsia" w:ascii="楷体" w:hAnsi="楷体" w:eastAsia="楷体"/>
          <w:bCs/>
          <w:color w:val="auto"/>
          <w:sz w:val="22"/>
          <w:szCs w:val="22"/>
        </w:rPr>
        <w:t>*</w:t>
      </w:r>
      <w:r>
        <w:rPr>
          <w:rFonts w:hint="eastAsia"/>
          <w:szCs w:val="21"/>
          <w:shd w:val="clear" w:color="auto" w:fill="FFFFFF"/>
        </w:rPr>
        <w:t>8.5. 装样后射线源到样品的最小距离（SOD）≤30 mm（提供含实物展示的技术方案书）。</w:t>
      </w:r>
    </w:p>
    <w:p w14:paraId="10807A32">
      <w:pPr>
        <w:spacing w:before="156" w:beforeLines="50" w:line="360" w:lineRule="auto"/>
        <w:rPr>
          <w:szCs w:val="21"/>
          <w:shd w:val="clear" w:color="auto" w:fill="FFFFFF"/>
        </w:rPr>
      </w:pPr>
      <w:r>
        <w:rPr>
          <w:rFonts w:hint="eastAsia"/>
          <w:szCs w:val="21"/>
          <w:shd w:val="clear" w:color="auto" w:fill="FFFFFF"/>
        </w:rPr>
        <w:t>8.6. 可实现最大载荷： 5 kN（@全部模式下），载荷测量精度≤ ±0.5%。</w:t>
      </w:r>
    </w:p>
    <w:p w14:paraId="2BDC82F8">
      <w:pPr>
        <w:spacing w:before="156" w:beforeLines="50" w:line="360" w:lineRule="auto"/>
        <w:rPr>
          <w:szCs w:val="21"/>
          <w:shd w:val="clear" w:color="auto" w:fill="FFFFFF"/>
        </w:rPr>
      </w:pPr>
      <w:r>
        <w:rPr>
          <w:rFonts w:hint="eastAsia"/>
          <w:szCs w:val="21"/>
          <w:shd w:val="clear" w:color="auto" w:fill="FFFFFF"/>
        </w:rPr>
        <w:t>8.7. 加载类型：拉伸、压缩；加载速率范围：0.1-100 μ</w:t>
      </w:r>
      <w:r>
        <w:rPr>
          <w:szCs w:val="21"/>
          <w:shd w:val="clear" w:color="auto" w:fill="FFFFFF"/>
        </w:rPr>
        <w:t>m/s</w:t>
      </w:r>
      <w:r>
        <w:rPr>
          <w:rFonts w:hint="eastAsia"/>
          <w:szCs w:val="21"/>
          <w:shd w:val="clear" w:color="auto" w:fill="FFFFFF"/>
        </w:rPr>
        <w:t>；控制模式：恒速加载。</w:t>
      </w:r>
    </w:p>
    <w:p w14:paraId="45991D6A">
      <w:pPr>
        <w:spacing w:before="156" w:beforeLines="50" w:line="360" w:lineRule="auto"/>
        <w:rPr>
          <w:szCs w:val="21"/>
          <w:shd w:val="clear" w:color="auto" w:fill="FFFFFF"/>
        </w:rPr>
      </w:pPr>
      <w:r>
        <w:rPr>
          <w:rFonts w:hint="eastAsia"/>
          <w:szCs w:val="21"/>
          <w:shd w:val="clear" w:color="auto" w:fill="FFFFFF"/>
        </w:rPr>
        <w:t>8.8. 原位套装为装置的核心模块，由加载主机、力学拉伸工装、力学压缩工装、气体冷却工装、气体加热工装、超高温与测温组件、光学测量组件构成，提供专用航空防护箱，统一交付。</w:t>
      </w:r>
    </w:p>
    <w:p w14:paraId="1E0A43A0">
      <w:pPr>
        <w:spacing w:before="156" w:beforeLines="50" w:line="360" w:lineRule="auto"/>
        <w:rPr>
          <w:szCs w:val="21"/>
          <w:shd w:val="clear" w:color="auto" w:fill="FFFFFF"/>
        </w:rPr>
      </w:pPr>
      <w:r>
        <w:rPr>
          <w:rFonts w:hint="eastAsia" w:ascii="楷体" w:hAnsi="楷体" w:eastAsia="楷体"/>
          <w:bCs/>
          <w:color w:val="auto"/>
          <w:sz w:val="22"/>
          <w:szCs w:val="22"/>
        </w:rPr>
        <w:t>*</w:t>
      </w:r>
      <w:r>
        <w:rPr>
          <w:rFonts w:hint="eastAsia"/>
          <w:szCs w:val="21"/>
          <w:shd w:val="clear" w:color="auto" w:fill="FFFFFF"/>
        </w:rPr>
        <w:t>8.9. 加载主机为立式圆柱体，采用全包围一体式外壳，无引出飞线，无裸露电机，无外露通风装置，主机自带电气接口，可与CT系统无线旋转样品台电路相连（提供含实物展示的技术方案书）。</w:t>
      </w:r>
    </w:p>
    <w:p w14:paraId="0AD11BFB">
      <w:pPr>
        <w:spacing w:before="156" w:beforeLines="50" w:line="360" w:lineRule="auto"/>
        <w:rPr>
          <w:szCs w:val="21"/>
          <w:shd w:val="clear" w:color="auto" w:fill="FFFFFF"/>
        </w:rPr>
      </w:pPr>
      <w:r>
        <w:rPr>
          <w:rFonts w:hint="eastAsia"/>
          <w:szCs w:val="21"/>
          <w:shd w:val="clear" w:color="auto" w:fill="FFFFFF"/>
        </w:rPr>
        <w:t>8.10. 力学拉伸工装、力学压缩工装、气体冷却工装、气体加热工装是夹持样品、环境实现的主要区域，与加载主机的装配方式均为旋拧链接，装样及工装切换过程均无需拆卸螺丝。</w:t>
      </w:r>
    </w:p>
    <w:p w14:paraId="132B3145">
      <w:pPr>
        <w:spacing w:before="156" w:beforeLines="50" w:line="360" w:lineRule="auto"/>
        <w:rPr>
          <w:szCs w:val="21"/>
          <w:shd w:val="clear" w:color="auto" w:fill="FFFFFF"/>
        </w:rPr>
      </w:pPr>
      <w:r>
        <w:rPr>
          <w:rFonts w:hint="eastAsia"/>
          <w:szCs w:val="21"/>
          <w:shd w:val="clear" w:color="auto" w:fill="FFFFFF"/>
        </w:rPr>
        <w:t>8.11. 超高温与测温组件具有风冷；具有过温/过流/过功率联锁保护；具有应急停机；具有可调同轴支架，焦距与工作距离标定刻度。</w:t>
      </w:r>
    </w:p>
    <w:p w14:paraId="7B0DE9AC">
      <w:pPr>
        <w:spacing w:before="156" w:beforeLines="50" w:line="360" w:lineRule="auto"/>
        <w:rPr>
          <w:szCs w:val="21"/>
          <w:shd w:val="clear" w:color="auto" w:fill="FFFFFF"/>
        </w:rPr>
      </w:pPr>
      <w:r>
        <w:rPr>
          <w:rFonts w:hint="eastAsia"/>
          <w:szCs w:val="21"/>
          <w:shd w:val="clear" w:color="auto" w:fill="FFFFFF"/>
        </w:rPr>
        <w:t>8.12 光学测量组件采用CMOS传感器，分辨率≥5400 × 3600</w:t>
      </w:r>
      <w:r>
        <w:rPr>
          <w:szCs w:val="21"/>
          <w:shd w:val="clear" w:color="auto" w:fill="FFFFFF"/>
        </w:rPr>
        <w:t xml:space="preserve"> </w:t>
      </w:r>
      <w:r>
        <w:rPr>
          <w:rFonts w:hint="eastAsia"/>
          <w:szCs w:val="21"/>
          <w:shd w:val="clear" w:color="auto" w:fill="FFFFFF"/>
        </w:rPr>
        <w:t>dpi。</w:t>
      </w:r>
    </w:p>
    <w:p w14:paraId="5FCA61DF">
      <w:pPr>
        <w:spacing w:before="156" w:beforeLines="50" w:line="360" w:lineRule="auto"/>
        <w:rPr>
          <w:szCs w:val="21"/>
          <w:shd w:val="clear" w:color="auto" w:fill="FFFFFF"/>
        </w:rPr>
      </w:pPr>
      <w:r>
        <w:rPr>
          <w:rFonts w:hint="eastAsia"/>
          <w:szCs w:val="21"/>
          <w:shd w:val="clear" w:color="auto" w:fill="FFFFFF"/>
        </w:rPr>
        <w:t>8.13 光学测量最大帧率≥ 5 fps，支持自动曝光、手动曝光、一键曝光模式。</w:t>
      </w:r>
    </w:p>
    <w:p w14:paraId="7219818C">
      <w:pPr>
        <w:spacing w:before="156" w:beforeLines="50" w:line="360" w:lineRule="auto"/>
        <w:rPr>
          <w:szCs w:val="21"/>
          <w:shd w:val="clear" w:color="auto" w:fill="FFFFFF"/>
        </w:rPr>
      </w:pPr>
      <w:r>
        <w:rPr>
          <w:rFonts w:hint="eastAsia"/>
          <w:szCs w:val="21"/>
          <w:shd w:val="clear" w:color="auto" w:fill="FFFFFF"/>
        </w:rPr>
        <w:t>8.14 配置多模块原位控制系统，预集成在CT系统采集工作站上，为全中文正版软件。</w:t>
      </w:r>
    </w:p>
    <w:p w14:paraId="578BDA62">
      <w:pPr>
        <w:spacing w:before="156" w:beforeLines="50" w:line="360" w:lineRule="auto"/>
        <w:rPr>
          <w:szCs w:val="21"/>
          <w:shd w:val="clear" w:color="auto" w:fill="FFFFFF"/>
        </w:rPr>
      </w:pPr>
      <w:r>
        <w:rPr>
          <w:rFonts w:hint="eastAsia"/>
          <w:szCs w:val="21"/>
          <w:shd w:val="clear" w:color="auto" w:fill="FFFFFF"/>
        </w:rPr>
        <w:t>8.15具有参数设置模块，可对加载模式、载荷量程、加热方式、测温方法、位移测量方法等维度进行设置。</w:t>
      </w:r>
    </w:p>
    <w:p w14:paraId="2B45CBA0">
      <w:pPr>
        <w:spacing w:before="156" w:beforeLines="50" w:line="360" w:lineRule="auto"/>
        <w:rPr>
          <w:szCs w:val="21"/>
          <w:shd w:val="clear" w:color="auto" w:fill="FFFFFF"/>
        </w:rPr>
      </w:pPr>
      <w:r>
        <w:rPr>
          <w:rFonts w:hint="eastAsia"/>
          <w:szCs w:val="21"/>
          <w:shd w:val="clear" w:color="auto" w:fill="FFFFFF"/>
        </w:rPr>
        <w:t>8.16具有设备调试模块，可在正式实验前对装置硬件设备进行参数设置。</w:t>
      </w:r>
    </w:p>
    <w:p w14:paraId="2FA193CA">
      <w:pPr>
        <w:spacing w:before="156" w:beforeLines="50" w:line="360" w:lineRule="auto"/>
        <w:rPr>
          <w:szCs w:val="21"/>
          <w:shd w:val="clear" w:color="auto" w:fill="FFFFFF"/>
        </w:rPr>
      </w:pPr>
      <w:r>
        <w:rPr>
          <w:rFonts w:hint="eastAsia"/>
          <w:szCs w:val="21"/>
          <w:shd w:val="clear" w:color="auto" w:fill="FFFFFF"/>
        </w:rPr>
        <w:t>8.17在热力耦合原位实验控制界面，软件支持一键加载、卸载环境，并可以实时记录测试数据，保存到指定路径。</w:t>
      </w:r>
    </w:p>
    <w:p w14:paraId="64AF7DFA">
      <w:pPr>
        <w:spacing w:before="156" w:beforeLines="50" w:line="360" w:lineRule="auto"/>
        <w:rPr>
          <w:szCs w:val="21"/>
          <w:shd w:val="clear" w:color="auto" w:fill="FFFFFF"/>
        </w:rPr>
      </w:pPr>
      <w:r>
        <w:rPr>
          <w:rFonts w:hint="eastAsia"/>
          <w:szCs w:val="21"/>
          <w:shd w:val="clear" w:color="auto" w:fill="FFFFFF"/>
        </w:rPr>
        <w:t>8.18具有应力-应变测量功能，可在进行室温、高温拉伸试验时实时展示应力-应变曲线。</w:t>
      </w:r>
    </w:p>
    <w:p w14:paraId="3B80D89B">
      <w:pPr>
        <w:spacing w:before="156" w:beforeLines="50" w:line="360" w:lineRule="auto"/>
        <w:rPr>
          <w:szCs w:val="21"/>
          <w:shd w:val="clear" w:color="auto" w:fill="FFFFFF"/>
        </w:rPr>
      </w:pPr>
      <w:r>
        <w:rPr>
          <w:rFonts w:hint="eastAsia"/>
          <w:szCs w:val="21"/>
          <w:shd w:val="clear" w:color="auto" w:fill="FFFFFF"/>
        </w:rPr>
        <w:t>8.19具有深部显影应变测量（DISM）功能，在进行非透光的原位实验时，可基于影像数据获取样品纵向应变数据，提供实时应力-应变数据曲线。</w:t>
      </w:r>
    </w:p>
    <w:p w14:paraId="198701BC">
      <w:pPr>
        <w:spacing w:before="156" w:beforeLines="50" w:line="360" w:lineRule="auto"/>
        <w:rPr>
          <w:rFonts w:hint="default" w:eastAsia="宋体"/>
          <w:szCs w:val="21"/>
          <w:shd w:val="clear" w:color="auto" w:fill="FFFFFF"/>
          <w:lang w:val="en-US" w:eastAsia="zh-CN"/>
        </w:rPr>
      </w:pPr>
      <w:r>
        <w:rPr>
          <w:rFonts w:hint="eastAsia"/>
          <w:szCs w:val="21"/>
          <w:shd w:val="clear" w:color="auto" w:fill="FFFFFF"/>
        </w:rPr>
        <w:t>8.20具有后期拓展潜力，用户可根据实际情况点击选择需要控制的模块，如热力耦合、热压烧结。</w:t>
      </w:r>
    </w:p>
    <w:p w14:paraId="77249B66">
      <w:pPr>
        <w:spacing w:before="156" w:beforeLines="50" w:line="360" w:lineRule="auto"/>
        <w:rPr>
          <w:b/>
          <w:bCs/>
          <w:szCs w:val="21"/>
          <w:highlight w:val="none"/>
          <w:shd w:val="clear" w:color="auto" w:fill="FFFFFF"/>
        </w:rPr>
      </w:pPr>
      <w:r>
        <w:rPr>
          <w:b/>
          <w:bCs/>
          <w:szCs w:val="21"/>
          <w:highlight w:val="none"/>
          <w:shd w:val="clear" w:color="auto" w:fill="FFFFFF"/>
        </w:rPr>
        <w:t>9.提供配件及易损耗件清单及对应价格</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如下表所示</w:t>
      </w:r>
      <w:r>
        <w:rPr>
          <w:b/>
          <w:bCs/>
          <w:szCs w:val="21"/>
          <w:highlight w:val="none"/>
          <w:shd w:val="clear" w:color="auto" w:fill="FFFFFF"/>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878"/>
        <w:gridCol w:w="2622"/>
        <w:gridCol w:w="1277"/>
        <w:gridCol w:w="1306"/>
      </w:tblGrid>
      <w:tr w14:paraId="04AB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5F8B670E">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rPr>
            </w:pPr>
            <w:r>
              <w:rPr>
                <w:rFonts w:hint="eastAsia"/>
              </w:rPr>
              <w:t>序号</w:t>
            </w:r>
          </w:p>
        </w:tc>
        <w:tc>
          <w:tcPr>
            <w:tcW w:w="2878" w:type="dxa"/>
            <w:vAlign w:val="center"/>
          </w:tcPr>
          <w:p w14:paraId="342EF7F4">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rPr>
            </w:pPr>
            <w:r>
              <w:rPr>
                <w:rFonts w:hint="eastAsia"/>
              </w:rPr>
              <w:t>配件/易损耗件</w:t>
            </w:r>
          </w:p>
          <w:p w14:paraId="01FD620D">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rPr>
            </w:pPr>
            <w:r>
              <w:rPr>
                <w:rFonts w:hint="eastAsia"/>
              </w:rPr>
              <w:t>名称</w:t>
            </w:r>
          </w:p>
        </w:tc>
        <w:tc>
          <w:tcPr>
            <w:tcW w:w="2622" w:type="dxa"/>
            <w:vAlign w:val="center"/>
          </w:tcPr>
          <w:p w14:paraId="70A737A7">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rPr>
            </w:pPr>
            <w:r>
              <w:rPr>
                <w:rFonts w:hint="eastAsia"/>
              </w:rPr>
              <w:t>规格说明</w:t>
            </w:r>
          </w:p>
        </w:tc>
        <w:tc>
          <w:tcPr>
            <w:tcW w:w="1277" w:type="dxa"/>
            <w:vAlign w:val="center"/>
          </w:tcPr>
          <w:p w14:paraId="5A0F04F2">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rPr>
            </w:pPr>
            <w:r>
              <w:rPr>
                <w:rFonts w:hint="eastAsia"/>
              </w:rPr>
              <w:t>单位</w:t>
            </w:r>
          </w:p>
        </w:tc>
        <w:tc>
          <w:tcPr>
            <w:tcW w:w="1306" w:type="dxa"/>
            <w:vAlign w:val="center"/>
          </w:tcPr>
          <w:p w14:paraId="0D3D8B76">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rPr>
            </w:pPr>
            <w:r>
              <w:rPr>
                <w:rFonts w:hint="eastAsia"/>
              </w:rPr>
              <w:t>含税单价（元）</w:t>
            </w:r>
          </w:p>
        </w:tc>
      </w:tr>
      <w:tr w14:paraId="7CA4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4B488B56">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1</w:t>
            </w:r>
          </w:p>
        </w:tc>
        <w:tc>
          <w:tcPr>
            <w:tcW w:w="2878" w:type="dxa"/>
            <w:vAlign w:val="center"/>
          </w:tcPr>
          <w:p w14:paraId="39164945">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X射线透射靶材</w:t>
            </w:r>
          </w:p>
        </w:tc>
        <w:tc>
          <w:tcPr>
            <w:tcW w:w="2622" w:type="dxa"/>
            <w:vAlign w:val="center"/>
          </w:tcPr>
          <w:p w14:paraId="2705AC8B">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适配微米级CT射线源，高温合金检测专用</w:t>
            </w:r>
          </w:p>
        </w:tc>
        <w:tc>
          <w:tcPr>
            <w:tcW w:w="1277" w:type="dxa"/>
            <w:vAlign w:val="center"/>
          </w:tcPr>
          <w:p w14:paraId="1FB9071F">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个</w:t>
            </w:r>
          </w:p>
        </w:tc>
        <w:tc>
          <w:tcPr>
            <w:tcW w:w="1306" w:type="dxa"/>
            <w:vAlign w:val="center"/>
          </w:tcPr>
          <w:p w14:paraId="1852F3B3">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eastAsia="宋体"/>
                <w:szCs w:val="21"/>
                <w:shd w:val="clear" w:color="auto" w:fill="FFFFFF"/>
                <w:lang w:eastAsia="zh-CN"/>
              </w:rPr>
            </w:pPr>
          </w:p>
        </w:tc>
      </w:tr>
      <w:tr w14:paraId="0D79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6A9E8A61">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eastAsia="宋体"/>
                <w:szCs w:val="21"/>
                <w:shd w:val="clear" w:color="auto" w:fill="FFFFFF"/>
                <w:lang w:eastAsia="zh-CN"/>
              </w:rPr>
            </w:pPr>
            <w:r>
              <w:rPr>
                <w:rFonts w:hint="eastAsia"/>
                <w:lang w:val="en-US" w:eastAsia="zh-CN"/>
              </w:rPr>
              <w:t>2</w:t>
            </w:r>
          </w:p>
        </w:tc>
        <w:tc>
          <w:tcPr>
            <w:tcW w:w="2878" w:type="dxa"/>
            <w:vAlign w:val="center"/>
          </w:tcPr>
          <w:p w14:paraId="5F2FA0CD">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高精度样品夹持工装</w:t>
            </w:r>
          </w:p>
        </w:tc>
        <w:tc>
          <w:tcPr>
            <w:tcW w:w="2622" w:type="dxa"/>
            <w:vAlign w:val="center"/>
          </w:tcPr>
          <w:p w14:paraId="4138B216">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高温合金试样专用夹具，耐腐蚀</w:t>
            </w:r>
          </w:p>
        </w:tc>
        <w:tc>
          <w:tcPr>
            <w:tcW w:w="1277" w:type="dxa"/>
            <w:vAlign w:val="center"/>
          </w:tcPr>
          <w:p w14:paraId="3714D920">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套</w:t>
            </w:r>
          </w:p>
        </w:tc>
        <w:tc>
          <w:tcPr>
            <w:tcW w:w="1306" w:type="dxa"/>
            <w:vAlign w:val="center"/>
          </w:tcPr>
          <w:p w14:paraId="35DA6004">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p>
        </w:tc>
      </w:tr>
      <w:tr w14:paraId="5BCA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5" w:type="dxa"/>
            <w:vAlign w:val="center"/>
          </w:tcPr>
          <w:p w14:paraId="0AF9005A">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eastAsia="宋体"/>
                <w:szCs w:val="21"/>
                <w:shd w:val="clear" w:color="auto" w:fill="FFFFFF"/>
                <w:lang w:eastAsia="zh-CN"/>
              </w:rPr>
            </w:pPr>
            <w:r>
              <w:rPr>
                <w:rFonts w:hint="eastAsia"/>
                <w:lang w:val="en-US" w:eastAsia="zh-CN"/>
              </w:rPr>
              <w:t>3</w:t>
            </w:r>
          </w:p>
        </w:tc>
        <w:tc>
          <w:tcPr>
            <w:tcW w:w="2878" w:type="dxa"/>
            <w:vAlign w:val="center"/>
          </w:tcPr>
          <w:p w14:paraId="0D8F3199">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eastAsia="宋体"/>
                <w:szCs w:val="21"/>
                <w:shd w:val="clear" w:color="auto" w:fill="FFFFFF"/>
                <w:lang w:eastAsia="zh-CN"/>
              </w:rPr>
            </w:pPr>
            <w:r>
              <w:rPr>
                <w:rFonts w:hint="eastAsia"/>
                <w:lang w:val="en-US" w:eastAsia="zh-CN"/>
              </w:rPr>
              <w:t>原位实验套筒</w:t>
            </w:r>
          </w:p>
        </w:tc>
        <w:tc>
          <w:tcPr>
            <w:tcW w:w="2622" w:type="dxa"/>
            <w:vAlign w:val="center"/>
          </w:tcPr>
          <w:p w14:paraId="496E7733">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default" w:eastAsia="宋体"/>
                <w:szCs w:val="21"/>
                <w:shd w:val="clear" w:color="auto" w:fill="FFFFFF"/>
                <w:lang w:val="en-US" w:eastAsia="zh-CN"/>
              </w:rPr>
            </w:pPr>
            <w:r>
              <w:rPr>
                <w:rFonts w:hint="eastAsia"/>
                <w:lang w:val="en-US" w:eastAsia="zh-CN"/>
              </w:rPr>
              <w:t>原位实验承载</w:t>
            </w:r>
          </w:p>
        </w:tc>
        <w:tc>
          <w:tcPr>
            <w:tcW w:w="1277" w:type="dxa"/>
            <w:vAlign w:val="center"/>
          </w:tcPr>
          <w:p w14:paraId="2DDFB758">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eastAsia="宋体"/>
                <w:szCs w:val="21"/>
                <w:shd w:val="clear" w:color="auto" w:fill="FFFFFF"/>
                <w:lang w:eastAsia="zh-CN"/>
              </w:rPr>
            </w:pPr>
            <w:r>
              <w:rPr>
                <w:rFonts w:hint="eastAsia"/>
                <w:lang w:val="en-US" w:eastAsia="zh-CN"/>
              </w:rPr>
              <w:t>个</w:t>
            </w:r>
          </w:p>
        </w:tc>
        <w:tc>
          <w:tcPr>
            <w:tcW w:w="1306" w:type="dxa"/>
            <w:vAlign w:val="center"/>
          </w:tcPr>
          <w:p w14:paraId="7A89804F">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p>
        </w:tc>
      </w:tr>
      <w:tr w14:paraId="0F7C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vAlign w:val="center"/>
          </w:tcPr>
          <w:p w14:paraId="3908FE4A">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eastAsia="宋体"/>
                <w:szCs w:val="21"/>
                <w:shd w:val="clear" w:color="auto" w:fill="FFFFFF"/>
                <w:lang w:eastAsia="zh-CN"/>
              </w:rPr>
            </w:pPr>
            <w:r>
              <w:rPr>
                <w:rFonts w:hint="eastAsia"/>
                <w:lang w:val="en-US" w:eastAsia="zh-CN"/>
              </w:rPr>
              <w:t>4</w:t>
            </w:r>
          </w:p>
        </w:tc>
        <w:tc>
          <w:tcPr>
            <w:tcW w:w="2878" w:type="dxa"/>
            <w:vAlign w:val="center"/>
          </w:tcPr>
          <w:p w14:paraId="29102723">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循环冷却纯化滤芯</w:t>
            </w:r>
          </w:p>
        </w:tc>
        <w:tc>
          <w:tcPr>
            <w:tcW w:w="2622" w:type="dxa"/>
            <w:vAlign w:val="center"/>
          </w:tcPr>
          <w:p w14:paraId="6BBA43C7">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水冷机组专用过滤芯</w:t>
            </w:r>
          </w:p>
        </w:tc>
        <w:tc>
          <w:tcPr>
            <w:tcW w:w="1277" w:type="dxa"/>
            <w:vAlign w:val="center"/>
          </w:tcPr>
          <w:p w14:paraId="63C70FDE">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r>
              <w:rPr>
                <w:rFonts w:hint="eastAsia"/>
              </w:rPr>
              <w:t>支</w:t>
            </w:r>
          </w:p>
        </w:tc>
        <w:tc>
          <w:tcPr>
            <w:tcW w:w="1306" w:type="dxa"/>
            <w:vAlign w:val="center"/>
          </w:tcPr>
          <w:p w14:paraId="66B8AB1C">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eastAsia"/>
                <w:szCs w:val="21"/>
                <w:shd w:val="clear" w:color="auto" w:fill="FFFFFF"/>
              </w:rPr>
            </w:pPr>
          </w:p>
        </w:tc>
      </w:tr>
    </w:tbl>
    <w:p w14:paraId="72409026">
      <w:pPr>
        <w:tabs>
          <w:tab w:val="left" w:pos="900"/>
        </w:tabs>
        <w:adjustRightInd w:val="0"/>
        <w:snapToGrid w:val="0"/>
        <w:spacing w:line="360" w:lineRule="auto"/>
        <w:ind w:firstLine="422" w:firstLineChars="200"/>
        <w:rPr>
          <w:rFonts w:hint="eastAsia" w:hAnsi="宋体"/>
          <w:b/>
          <w:szCs w:val="21"/>
        </w:rPr>
      </w:pPr>
    </w:p>
    <w:p w14:paraId="01373CFB">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标注“*”的技术参数为核心技术指标（实质性要求）。供应商须完全响应或优于该指标，并提供相应证明材料。任意一项标注“*”指标不满足的，其投标（响应）文件将被认定为无效投标。</w:t>
      </w:r>
    </w:p>
    <w:p w14:paraId="49F78356">
      <w:pPr>
        <w:tabs>
          <w:tab w:val="left" w:pos="900"/>
        </w:tabs>
        <w:adjustRightInd w:val="0"/>
        <w:snapToGrid w:val="0"/>
        <w:spacing w:line="360" w:lineRule="auto"/>
        <w:rPr>
          <w:rFonts w:hint="eastAsia" w:hAnsi="宋体"/>
          <w:b/>
          <w:szCs w:val="21"/>
        </w:rPr>
      </w:pPr>
    </w:p>
    <w:p w14:paraId="0E502799">
      <w:pPr>
        <w:tabs>
          <w:tab w:val="left" w:pos="900"/>
        </w:tabs>
        <w:adjustRightInd w:val="0"/>
        <w:snapToGrid w:val="0"/>
        <w:spacing w:line="360" w:lineRule="auto"/>
        <w:ind w:firstLine="422" w:firstLineChars="200"/>
        <w:rPr>
          <w:rFonts w:hint="eastAsia"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087735E4">
      <w:pPr>
        <w:tabs>
          <w:tab w:val="left" w:pos="420"/>
          <w:tab w:val="left" w:pos="900"/>
        </w:tabs>
        <w:adjustRightInd w:val="0"/>
        <w:snapToGrid w:val="0"/>
        <w:spacing w:line="360" w:lineRule="auto"/>
        <w:ind w:firstLine="422" w:firstLineChars="200"/>
        <w:rPr>
          <w:rFonts w:hint="eastAsia" w:ascii="宋体" w:hAnsi="宋体"/>
          <w:b/>
          <w:bCs/>
          <w:color w:val="EE0000"/>
          <w:szCs w:val="21"/>
          <w:highlight w:val="none"/>
        </w:rPr>
      </w:pPr>
      <w:r>
        <w:rPr>
          <w:rFonts w:hint="eastAsia" w:ascii="宋体" w:hAnsi="宋体"/>
          <w:b/>
          <w:bCs/>
          <w:szCs w:val="21"/>
          <w:highlight w:val="none"/>
        </w:rPr>
        <w:t>（四）供应商提供进口设备的，须在投标（响应）文件中明确外贸合同卖方信息。</w:t>
      </w:r>
    </w:p>
    <w:p w14:paraId="250BAB25">
      <w:pPr>
        <w:tabs>
          <w:tab w:val="left" w:pos="420"/>
          <w:tab w:val="left" w:pos="900"/>
        </w:tabs>
        <w:adjustRightInd w:val="0"/>
        <w:snapToGrid w:val="0"/>
        <w:spacing w:line="360" w:lineRule="auto"/>
        <w:ind w:firstLine="422" w:firstLineChars="200"/>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hint="eastAsia"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hint="eastAsia"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hint="eastAsia"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hint="eastAsia"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hint="eastAsia"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hint="eastAsia"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ascii="Segoe UI Symbol" w:hAnsi="Segoe UI Symbol" w:cs="Segoe UI Symbol"/>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hint="eastAsia" w:ascii="宋体" w:hAnsi="宋体"/>
                <w:color w:val="000000"/>
                <w:kern w:val="0"/>
                <w:szCs w:val="21"/>
              </w:rPr>
            </w:pPr>
            <w:r>
              <w:rPr>
                <w:rFonts w:ascii="Segoe UI Symbol" w:hAnsi="Segoe UI Symbol" w:cs="Segoe UI Symbol"/>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hint="eastAsia"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hint="eastAsia"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hint="eastAsia" w:ascii="宋体" w:hAnsi="宋体" w:cs="宋体"/>
                <w:color w:val="000000"/>
                <w:kern w:val="0"/>
                <w:szCs w:val="21"/>
              </w:rPr>
            </w:pPr>
          </w:p>
          <w:p w14:paraId="60F1F5C1">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ascii="Segoe UI Symbol" w:hAnsi="Segoe UI Symbol" w:cs="Segoe UI Symbol"/>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hint="eastAsia" w:ascii="宋体" w:hAnsi="宋体"/>
                <w:color w:val="000000"/>
                <w:kern w:val="0"/>
                <w:szCs w:val="21"/>
              </w:rPr>
            </w:pPr>
          </w:p>
          <w:p w14:paraId="3B30A560">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pPr>
        <w:adjustRightInd w:val="0"/>
        <w:snapToGrid w:val="0"/>
        <w:spacing w:line="360" w:lineRule="auto"/>
        <w:ind w:firstLine="440" w:firstLineChars="200"/>
        <w:rPr>
          <w:rFonts w:hint="eastAsia" w:ascii="楷体" w:hAnsi="楷体" w:eastAsia="楷体"/>
          <w:color w:val="FF0000"/>
          <w:sz w:val="22"/>
          <w:szCs w:val="22"/>
        </w:rPr>
      </w:pPr>
    </w:p>
    <w:p w14:paraId="7665E576">
      <w:pPr>
        <w:adjustRightInd w:val="0"/>
        <w:snapToGrid w:val="0"/>
        <w:spacing w:line="360" w:lineRule="auto"/>
      </w:pPr>
      <w:bookmarkStart w:id="8" w:name="_GoBack"/>
      <w:bookmarkEnd w:id="8"/>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5"/>
      <w:jc w:val="cente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24277"/>
    <w:rsid w:val="000345B6"/>
    <w:rsid w:val="00037EB6"/>
    <w:rsid w:val="00046C36"/>
    <w:rsid w:val="0004707F"/>
    <w:rsid w:val="000578DF"/>
    <w:rsid w:val="00060610"/>
    <w:rsid w:val="0006105D"/>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3AB"/>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15"/>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3B26"/>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250B"/>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54ED"/>
    <w:rsid w:val="00FF6875"/>
    <w:rsid w:val="00FF698C"/>
    <w:rsid w:val="06787BCD"/>
    <w:rsid w:val="1BC72B84"/>
    <w:rsid w:val="1DB61E5A"/>
    <w:rsid w:val="39A51203"/>
    <w:rsid w:val="3A45392C"/>
    <w:rsid w:val="45B8426B"/>
    <w:rsid w:val="4A3D5108"/>
    <w:rsid w:val="4FAF6015"/>
    <w:rsid w:val="62B44400"/>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Plain Text"/>
    <w:basedOn w:val="1"/>
    <w:link w:val="16"/>
    <w:qFormat/>
    <w:uiPriority w:val="0"/>
    <w:rPr>
      <w:rFonts w:ascii="宋体" w:hAnsi="Courier New" w:cstheme="minorBidi"/>
      <w:szCs w:val="22"/>
    </w:rPr>
  </w:style>
  <w:style w:type="paragraph" w:styleId="4">
    <w:name w:val="Balloon Text"/>
    <w:basedOn w:val="1"/>
    <w:link w:val="24"/>
    <w:semiHidden/>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8"/>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character" w:customStyle="1" w:styleId="16">
    <w:name w:val="纯文本 字符"/>
    <w:link w:val="3"/>
    <w:qFormat/>
    <w:uiPriority w:val="0"/>
    <w:rPr>
      <w:rFonts w:ascii="宋体" w:hAnsi="Courier New" w:eastAsia="宋体"/>
    </w:rPr>
  </w:style>
  <w:style w:type="character" w:customStyle="1" w:styleId="17">
    <w:name w:val="页脚 字符"/>
    <w:link w:val="5"/>
    <w:qFormat/>
    <w:uiPriority w:val="0"/>
    <w:rPr>
      <w:sz w:val="18"/>
    </w:rPr>
  </w:style>
  <w:style w:type="character" w:customStyle="1" w:styleId="18">
    <w:name w:val="标题 字符"/>
    <w:link w:val="7"/>
    <w:qFormat/>
    <w:uiPriority w:val="0"/>
    <w:rPr>
      <w:rFonts w:ascii="Arial" w:hAnsi="Arial" w:eastAsia="宋体" w:cs="Arial"/>
      <w:b/>
      <w:bCs/>
      <w:sz w:val="32"/>
      <w:szCs w:val="32"/>
    </w:rPr>
  </w:style>
  <w:style w:type="character" w:customStyle="1" w:styleId="19">
    <w:name w:val="页脚 Char"/>
    <w:basedOn w:val="11"/>
    <w:semiHidden/>
    <w:qFormat/>
    <w:uiPriority w:val="99"/>
    <w:rPr>
      <w:rFonts w:ascii="Times New Roman" w:hAnsi="Times New Roman" w:eastAsia="宋体" w:cs="Times New Roman"/>
      <w:sz w:val="18"/>
      <w:szCs w:val="18"/>
    </w:rPr>
  </w:style>
  <w:style w:type="character" w:customStyle="1" w:styleId="20">
    <w:name w:val="标题 Char"/>
    <w:basedOn w:val="11"/>
    <w:qFormat/>
    <w:uiPriority w:val="10"/>
    <w:rPr>
      <w:rFonts w:eastAsia="宋体" w:asciiTheme="majorHAnsi" w:hAnsiTheme="majorHAnsi" w:cstheme="majorBidi"/>
      <w:b/>
      <w:bCs/>
      <w:sz w:val="32"/>
      <w:szCs w:val="32"/>
    </w:rPr>
  </w:style>
  <w:style w:type="character" w:customStyle="1" w:styleId="21">
    <w:name w:val="纯文本 Char"/>
    <w:basedOn w:val="11"/>
    <w:semiHidden/>
    <w:qFormat/>
    <w:uiPriority w:val="99"/>
    <w:rPr>
      <w:rFonts w:ascii="宋体" w:hAnsi="Courier New" w:eastAsia="宋体" w:cs="Courier New"/>
      <w:szCs w:val="21"/>
    </w:rPr>
  </w:style>
  <w:style w:type="character" w:customStyle="1" w:styleId="22">
    <w:name w:val="页眉 字符"/>
    <w:basedOn w:val="11"/>
    <w:link w:val="6"/>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4"/>
    <w:semiHidden/>
    <w:qFormat/>
    <w:uiPriority w:val="99"/>
    <w:rPr>
      <w:rFonts w:ascii="Times New Roman" w:hAnsi="Times New Roman" w:eastAsia="宋体" w:cs="Times New Roman"/>
      <w:sz w:val="18"/>
      <w:szCs w:val="18"/>
    </w:rPr>
  </w:style>
  <w:style w:type="paragraph" w:customStyle="1" w:styleId="25">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6">
    <w:name w:val="批注文字 字符"/>
    <w:basedOn w:val="11"/>
    <w:link w:val="2"/>
    <w:semiHidden/>
    <w:qFormat/>
    <w:uiPriority w:val="99"/>
    <w:rPr>
      <w:rFonts w:ascii="Times New Roman" w:hAnsi="Times New Roman" w:eastAsia="宋体" w:cs="Times New Roman"/>
      <w:kern w:val="2"/>
      <w:sz w:val="21"/>
    </w:rPr>
  </w:style>
  <w:style w:type="character" w:customStyle="1" w:styleId="27">
    <w:name w:val="批注主题 字符"/>
    <w:basedOn w:val="26"/>
    <w:link w:val="8"/>
    <w:semiHidden/>
    <w:qFormat/>
    <w:uiPriority w:val="99"/>
    <w:rPr>
      <w:rFonts w:ascii="Times New Roman" w:hAnsi="Times New Roman" w:eastAsia="宋体" w:cs="Times New Roman"/>
      <w:b/>
      <w:bCs/>
      <w:kern w:val="2"/>
      <w:sz w:val="21"/>
    </w:rPr>
  </w:style>
  <w:style w:type="paragraph" w:customStyle="1" w:styleId="2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3037-DAE6-47B1-940D-A8281AF596F8}">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6012</Words>
  <Characters>6564</Characters>
  <Lines>156</Lines>
  <Paragraphs>176</Paragraphs>
  <TotalTime>8</TotalTime>
  <ScaleCrop>false</ScaleCrop>
  <LinksUpToDate>false</LinksUpToDate>
  <CharactersWithSpaces>6959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2026-05-13T10:24:00Z</dcterms:created>
  <dc:creator>User</dc:creator>
  <cp:lastModifiedBy>周子扬</cp:lastModifiedBy>
  <dcterms:modified xsi:type="dcterms:W3CDTF">2026-05-19T02:47:40Z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FD47254428C546C79753499200788EBF</vt:lpwstr>
  </property>
  <property fmtid="{D5CDD505-2E9C-101B-9397-08002B2CF9AE}" pid="4" name="KSOTemplateDocerSaveRecord">
    <vt:lpwstr>eyJoZGlkIjoiMzEwNTM5NzYwMDRjMzkwZTVkZjY2ODkwMGIxNGU0OTUiLCJ1c2VySWQiOiIxNzQ4MDgxNDk5In0=</vt:lpwstr>
  </property>
</Properties>
</file>