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94FF20">
      <w:pPr>
        <w:pStyle w:val="7"/>
        <w:adjustRightInd w:val="0"/>
        <w:snapToGrid w:val="0"/>
        <w:spacing w:before="0" w:after="0" w:line="360" w:lineRule="auto"/>
        <w:outlineLvl w:val="9"/>
        <w:rPr>
          <w:rFonts w:ascii="方正小标宋简体" w:hAnsi="宋体" w:eastAsia="方正小标宋简体"/>
          <w:b w:val="0"/>
          <w:bCs w:val="0"/>
          <w:sz w:val="36"/>
        </w:rPr>
      </w:pPr>
      <w:bookmarkStart w:id="0" w:name="_Toc38367762"/>
      <w:r>
        <w:rPr>
          <w:rFonts w:hint="eastAsia" w:ascii="方正小标宋简体" w:hAnsi="宋体" w:eastAsia="方正小标宋简体"/>
          <w:b w:val="0"/>
          <w:bCs w:val="0"/>
          <w:sz w:val="36"/>
        </w:rPr>
        <w:t>【</w:t>
      </w:r>
      <w:r>
        <w:rPr>
          <w:rFonts w:hint="eastAsia" w:ascii="宋体" w:hAnsi="宋体"/>
          <w:szCs w:val="21"/>
        </w:rPr>
        <w:t>可调进气道结构设计、加工与风洞试验</w:t>
      </w:r>
      <w:r>
        <w:rPr>
          <w:rFonts w:ascii="宋体" w:hAnsi="宋体"/>
          <w:szCs w:val="21"/>
        </w:rPr>
        <w:t xml:space="preserve">  </w:t>
      </w:r>
      <w:r>
        <w:rPr>
          <w:rFonts w:hint="eastAsia" w:ascii="方正小标宋简体" w:hAnsi="宋体" w:eastAsia="方正小标宋简体"/>
          <w:b w:val="0"/>
          <w:bCs w:val="0"/>
          <w:sz w:val="36"/>
        </w:rPr>
        <w:t>】采购需求</w:t>
      </w:r>
      <w:bookmarkEnd w:id="0"/>
    </w:p>
    <w:p w14:paraId="77C2D7A7">
      <w:pPr>
        <w:tabs>
          <w:tab w:val="left" w:pos="900"/>
        </w:tabs>
        <w:adjustRightInd w:val="0"/>
        <w:snapToGrid w:val="0"/>
        <w:spacing w:line="360" w:lineRule="auto"/>
        <w:ind w:firstLine="422" w:firstLineChars="200"/>
        <w:rPr>
          <w:b/>
          <w:szCs w:val="21"/>
        </w:rPr>
      </w:pPr>
      <w:bookmarkStart w:id="1" w:name="_Toc219271393"/>
      <w:bookmarkStart w:id="2" w:name="_Toc172360661"/>
      <w:bookmarkStart w:id="3" w:name="_Toc158978330"/>
      <w:r>
        <w:rPr>
          <w:rFonts w:hint="eastAsia" w:hAnsi="宋体"/>
          <w:b/>
          <w:szCs w:val="21"/>
        </w:rPr>
        <w:t>一、</w:t>
      </w:r>
      <w:r>
        <w:rPr>
          <w:rFonts w:hAnsi="宋体"/>
          <w:b/>
          <w:szCs w:val="21"/>
        </w:rPr>
        <w:t>采购</w:t>
      </w:r>
      <w:r>
        <w:rPr>
          <w:rFonts w:hint="eastAsia" w:hAnsi="宋体"/>
          <w:b/>
          <w:szCs w:val="21"/>
        </w:rPr>
        <w:t>标的</w:t>
      </w:r>
      <w:r>
        <w:rPr>
          <w:rFonts w:hAnsi="宋体"/>
          <w:b/>
          <w:szCs w:val="21"/>
        </w:rPr>
        <w:t>需实现的功能或者目标，以及为落实政府采购政策需满足的要求：</w:t>
      </w:r>
    </w:p>
    <w:p w14:paraId="08D81523">
      <w:pPr>
        <w:tabs>
          <w:tab w:val="left" w:pos="900"/>
        </w:tabs>
        <w:adjustRightInd w:val="0"/>
        <w:snapToGrid w:val="0"/>
        <w:spacing w:line="360" w:lineRule="auto"/>
        <w:ind w:firstLine="422" w:firstLineChars="200"/>
        <w:rPr>
          <w:b/>
          <w:szCs w:val="21"/>
        </w:rPr>
      </w:pPr>
      <w:r>
        <w:rPr>
          <w:rFonts w:hAnsi="宋体"/>
          <w:b/>
          <w:szCs w:val="21"/>
        </w:rPr>
        <w:t>（一）采购</w:t>
      </w:r>
      <w:r>
        <w:rPr>
          <w:rFonts w:hint="eastAsia" w:hAnsi="宋体"/>
          <w:b/>
          <w:szCs w:val="21"/>
        </w:rPr>
        <w:t>标的</w:t>
      </w:r>
      <w:r>
        <w:rPr>
          <w:rFonts w:hAnsi="宋体"/>
          <w:b/>
          <w:szCs w:val="21"/>
        </w:rPr>
        <w:t>需实现的功能或者目标</w:t>
      </w:r>
    </w:p>
    <w:p w14:paraId="4E2528FE">
      <w:pPr>
        <w:tabs>
          <w:tab w:val="left" w:pos="900"/>
        </w:tabs>
        <w:adjustRightInd w:val="0"/>
        <w:snapToGrid w:val="0"/>
        <w:spacing w:line="360" w:lineRule="auto"/>
        <w:ind w:firstLine="420" w:firstLineChars="200"/>
        <w:rPr>
          <w:szCs w:val="24"/>
        </w:rPr>
      </w:pPr>
      <w:r>
        <w:rPr>
          <w:szCs w:val="24"/>
        </w:rPr>
        <w:t>本项目采购可调进气道结构件设计、加工、装配及风洞试验验证一体化服务1项，主要</w:t>
      </w:r>
      <w:r>
        <w:rPr>
          <w:rFonts w:hint="eastAsia"/>
          <w:szCs w:val="24"/>
        </w:rPr>
        <w:t>完成</w:t>
      </w:r>
      <w:r>
        <w:rPr>
          <w:szCs w:val="24"/>
        </w:rPr>
        <w:t>可调进气道结构设计、加工制造、装配、调节机构调试</w:t>
      </w:r>
      <w:r>
        <w:rPr>
          <w:rFonts w:hint="eastAsia"/>
          <w:szCs w:val="24"/>
        </w:rPr>
        <w:t>、</w:t>
      </w:r>
      <w:r>
        <w:rPr>
          <w:szCs w:val="24"/>
        </w:rPr>
        <w:t>风洞安装调试、风洞试验及现场技术支持。风洞试验部分要求完成双流路进气道试验，同步进行沿程压力测量、纹影记录、进气道双通道流量测量，试验马赫数范围覆盖1.2＜M≤2.25、3.5＜M≤4.2、M=6等状态。</w:t>
      </w:r>
    </w:p>
    <w:p w14:paraId="7E45FA3A">
      <w:pPr>
        <w:tabs>
          <w:tab w:val="left" w:pos="900"/>
        </w:tabs>
        <w:adjustRightInd w:val="0"/>
        <w:snapToGrid w:val="0"/>
        <w:spacing w:line="360" w:lineRule="auto"/>
        <w:ind w:firstLine="422" w:firstLineChars="200"/>
        <w:rPr>
          <w:b/>
          <w:szCs w:val="21"/>
        </w:rPr>
      </w:pPr>
      <w:r>
        <w:rPr>
          <w:rFonts w:hAnsi="宋体"/>
          <w:b/>
          <w:szCs w:val="21"/>
        </w:rPr>
        <w:t>（二）政府采购政策</w:t>
      </w:r>
      <w:r>
        <w:rPr>
          <w:rFonts w:hint="eastAsia" w:hAnsi="宋体"/>
          <w:b/>
          <w:szCs w:val="21"/>
        </w:rPr>
        <w:t>落实</w:t>
      </w:r>
      <w:r>
        <w:rPr>
          <w:rFonts w:hAnsi="宋体"/>
          <w:b/>
          <w:szCs w:val="21"/>
        </w:rPr>
        <w:t>要求</w:t>
      </w:r>
    </w:p>
    <w:p w14:paraId="5D9D7DE0">
      <w:pPr>
        <w:tabs>
          <w:tab w:val="left" w:pos="900"/>
        </w:tabs>
        <w:adjustRightInd w:val="0"/>
        <w:snapToGrid w:val="0"/>
        <w:spacing w:line="360" w:lineRule="auto"/>
        <w:ind w:firstLine="420" w:firstLineChars="200"/>
        <w:rPr>
          <w:rFonts w:hAnsi="宋体"/>
          <w:szCs w:val="21"/>
        </w:rPr>
      </w:pPr>
      <w:r>
        <w:rPr>
          <w:rFonts w:hint="eastAsia" w:hAnsi="宋体"/>
          <w:szCs w:val="24"/>
        </w:rPr>
        <w:t>1</w:t>
      </w:r>
      <w:r>
        <w:rPr>
          <w:rFonts w:hAnsi="宋体"/>
          <w:szCs w:val="24"/>
        </w:rPr>
        <w:t xml:space="preserve">. </w:t>
      </w:r>
      <w:r>
        <w:rPr>
          <w:rFonts w:hint="eastAsia" w:hAnsi="宋体"/>
          <w:szCs w:val="24"/>
        </w:rPr>
        <w:t>中小企业扶持政策：</w:t>
      </w:r>
      <w:r>
        <w:rPr>
          <w:rFonts w:hAnsi="宋体"/>
          <w:szCs w:val="24"/>
        </w:rPr>
        <w:t>根据</w:t>
      </w:r>
      <w:r>
        <w:rPr>
          <w:rFonts w:hAnsi="宋体"/>
        </w:rPr>
        <w:t>《政府采购促进中小企业发展管理办法》</w:t>
      </w:r>
      <w:r>
        <w:rPr>
          <w:rFonts w:hint="eastAsia" w:hAnsi="宋体"/>
        </w:rPr>
        <w:t>（财库〔2</w:t>
      </w:r>
      <w:r>
        <w:rPr>
          <w:rFonts w:hAnsi="宋体"/>
        </w:rPr>
        <w:t>020</w:t>
      </w:r>
      <w:r>
        <w:rPr>
          <w:rFonts w:hint="eastAsia" w:hAnsi="宋体"/>
        </w:rPr>
        <w:t>〕4</w:t>
      </w:r>
      <w:r>
        <w:rPr>
          <w:rFonts w:hAnsi="宋体"/>
        </w:rPr>
        <w:t>6</w:t>
      </w:r>
      <w:r>
        <w:rPr>
          <w:rFonts w:hint="eastAsia" w:hAnsi="宋体"/>
        </w:rPr>
        <w:t>号）</w:t>
      </w:r>
      <w:r>
        <w:rPr>
          <w:rFonts w:hAnsi="宋体"/>
        </w:rPr>
        <w:t>规定，本项目</w:t>
      </w:r>
      <w:r>
        <w:rPr>
          <w:rFonts w:hint="eastAsia" w:hAnsi="宋体"/>
        </w:rPr>
        <w:t>采购标的</w:t>
      </w:r>
      <w:r>
        <w:rPr>
          <w:rFonts w:hAnsi="宋体"/>
        </w:rPr>
        <w:t>为</w:t>
      </w:r>
      <w:r>
        <w:rPr>
          <w:rFonts w:hint="eastAsia" w:hAnsi="宋体"/>
        </w:rPr>
        <w:t>中小</w:t>
      </w:r>
      <w:r>
        <w:rPr>
          <w:rFonts w:hAnsi="宋体"/>
        </w:rPr>
        <w:t>型企业</w:t>
      </w:r>
      <w:r>
        <w:rPr>
          <w:rFonts w:hint="eastAsia" w:hAnsi="宋体"/>
        </w:rPr>
        <w:t>制造、承建或承接</w:t>
      </w:r>
      <w:r>
        <w:rPr>
          <w:rFonts w:hAnsi="宋体"/>
          <w:szCs w:val="24"/>
        </w:rPr>
        <w:t>的，</w:t>
      </w:r>
      <w:r>
        <w:rPr>
          <w:rFonts w:hAnsi="宋体"/>
        </w:rPr>
        <w:t>投标人应</w:t>
      </w:r>
      <w:r>
        <w:rPr>
          <w:rFonts w:hint="eastAsia" w:hAnsi="宋体"/>
        </w:rPr>
        <w:t>提供办法规定的</w:t>
      </w:r>
      <w:r>
        <w:rPr>
          <w:rFonts w:hAnsi="宋体"/>
          <w:szCs w:val="21"/>
        </w:rPr>
        <w:t>《中小企业声明函》</w:t>
      </w:r>
      <w:r>
        <w:rPr>
          <w:rFonts w:hint="eastAsia" w:hAnsi="宋体"/>
          <w:szCs w:val="21"/>
        </w:rPr>
        <w:t>，否则不得享受相关中小企业扶持政策</w:t>
      </w:r>
      <w:r>
        <w:rPr>
          <w:rFonts w:hAnsi="宋体"/>
          <w:szCs w:val="24"/>
        </w:rPr>
        <w:t>。投标人应对提交的中小企业声明函的真实性负责，提交的中小企业声明函不真实的，应承担相应的法律责任</w:t>
      </w:r>
      <w:r>
        <w:rPr>
          <w:rFonts w:hAnsi="宋体"/>
          <w:szCs w:val="21"/>
        </w:rPr>
        <w:t>。</w:t>
      </w:r>
    </w:p>
    <w:p w14:paraId="10E82A49">
      <w:pPr>
        <w:tabs>
          <w:tab w:val="left" w:pos="900"/>
        </w:tabs>
        <w:adjustRightInd w:val="0"/>
        <w:snapToGrid w:val="0"/>
        <w:spacing w:line="360" w:lineRule="auto"/>
        <w:ind w:firstLine="420" w:firstLineChars="200"/>
        <w:rPr>
          <w:rFonts w:hAnsi="宋体"/>
          <w:szCs w:val="24"/>
        </w:rPr>
      </w:pPr>
      <w:r>
        <w:rPr>
          <w:rFonts w:hint="eastAsia" w:hAnsi="宋体"/>
          <w:szCs w:val="24"/>
        </w:rPr>
        <w:t>本项目</w:t>
      </w:r>
      <w:bookmarkStart w:id="4" w:name="OLE_LINK23"/>
      <w:r>
        <w:rPr>
          <w:rFonts w:hint="eastAsia" w:hAnsi="宋体"/>
          <w:szCs w:val="24"/>
        </w:rPr>
        <w:t>采购标的对应的《中小企业划型标准规定》所属行业</w:t>
      </w:r>
      <w:bookmarkEnd w:id="4"/>
      <w:r>
        <w:rPr>
          <w:rFonts w:hint="eastAsia" w:hAnsi="宋体"/>
          <w:szCs w:val="24"/>
        </w:rPr>
        <w:t>为：</w:t>
      </w:r>
      <w:r>
        <w:rPr>
          <w:rFonts w:hint="eastAsia" w:hAnsi="宋体"/>
          <w:szCs w:val="24"/>
          <w:u w:val="single"/>
        </w:rPr>
        <w:t xml:space="preserve"> </w:t>
      </w:r>
      <w:r>
        <w:rPr>
          <w:rFonts w:hAnsi="宋体"/>
          <w:szCs w:val="24"/>
          <w:u w:val="single"/>
        </w:rPr>
        <w:t xml:space="preserve">         </w:t>
      </w:r>
      <w:r>
        <w:rPr>
          <w:rFonts w:hint="eastAsia" w:hAnsi="宋体"/>
          <w:szCs w:val="24"/>
          <w:u w:val="single"/>
        </w:rPr>
        <w:t>工业</w:t>
      </w:r>
      <w:r>
        <w:rPr>
          <w:rFonts w:hAnsi="宋体"/>
          <w:szCs w:val="24"/>
          <w:u w:val="single"/>
        </w:rPr>
        <w:t xml:space="preserve">             </w:t>
      </w:r>
      <w:r>
        <w:rPr>
          <w:rFonts w:hint="eastAsia" w:hAnsi="宋体"/>
          <w:szCs w:val="24"/>
        </w:rPr>
        <w:t>。</w:t>
      </w:r>
    </w:p>
    <w:p w14:paraId="34515769">
      <w:pPr>
        <w:tabs>
          <w:tab w:val="left" w:pos="900"/>
        </w:tabs>
        <w:adjustRightInd w:val="0"/>
        <w:snapToGrid w:val="0"/>
        <w:spacing w:line="360" w:lineRule="auto"/>
        <w:ind w:firstLine="420" w:firstLineChars="200"/>
        <w:rPr>
          <w:rFonts w:hAnsi="宋体"/>
          <w:szCs w:val="24"/>
        </w:rPr>
      </w:pPr>
      <w:r>
        <w:rPr>
          <w:rFonts w:hAnsi="宋体"/>
          <w:szCs w:val="24"/>
        </w:rPr>
        <w:t xml:space="preserve">2. </w:t>
      </w:r>
      <w:r>
        <w:rPr>
          <w:rFonts w:hint="eastAsia" w:hAnsi="宋体"/>
          <w:szCs w:val="24"/>
        </w:rPr>
        <w:t>进口产品政策：本采购项目</w:t>
      </w:r>
      <w:r>
        <w:rPr>
          <w:rFonts w:hAnsi="宋体"/>
          <w:szCs w:val="24"/>
        </w:rPr>
        <w:t xml:space="preserve"> </w:t>
      </w:r>
      <w:r>
        <w:rPr>
          <w:rFonts w:hint="eastAsia" w:hAnsi="宋体"/>
          <w:szCs w:val="24"/>
        </w:rPr>
        <w:t>□允许</w:t>
      </w:r>
      <w:r>
        <w:rPr>
          <w:rFonts w:hAnsi="宋体"/>
          <w:szCs w:val="24"/>
        </w:rPr>
        <w:t xml:space="preserve"> </w:t>
      </w:r>
      <w:r>
        <w:rPr>
          <w:szCs w:val="24"/>
        </w:rPr>
        <w:sym w:font="Wingdings 2" w:char="F052"/>
      </w:r>
      <w:r>
        <w:rPr>
          <w:rFonts w:hint="eastAsia" w:hAnsi="宋体"/>
          <w:szCs w:val="24"/>
        </w:rPr>
        <w:t>不允许</w:t>
      </w:r>
      <w:r>
        <w:rPr>
          <w:rFonts w:hAnsi="宋体"/>
          <w:szCs w:val="24"/>
        </w:rPr>
        <w:t xml:space="preserve"> </w:t>
      </w:r>
      <w:r>
        <w:rPr>
          <w:rFonts w:hint="eastAsia" w:hAnsi="宋体"/>
          <w:szCs w:val="24"/>
        </w:rPr>
        <w:t>进口产品参加。（未进行勾选的，视为只接受本国产品参加）</w:t>
      </w:r>
    </w:p>
    <w:p w14:paraId="3A979E91">
      <w:pPr>
        <w:tabs>
          <w:tab w:val="left" w:pos="900"/>
        </w:tabs>
        <w:adjustRightInd w:val="0"/>
        <w:snapToGrid w:val="0"/>
        <w:spacing w:line="360" w:lineRule="auto"/>
        <w:ind w:firstLine="422" w:firstLineChars="200"/>
        <w:rPr>
          <w:rFonts w:hAnsi="宋体"/>
          <w:b/>
          <w:szCs w:val="21"/>
          <w:highlight w:val="none"/>
        </w:rPr>
      </w:pPr>
      <w:r>
        <w:rPr>
          <w:rFonts w:hint="eastAsia" w:hAnsi="宋体"/>
          <w:b/>
          <w:szCs w:val="21"/>
          <w:highlight w:val="none"/>
        </w:rPr>
        <w:t>二、</w:t>
      </w:r>
      <w:r>
        <w:rPr>
          <w:rFonts w:hAnsi="宋体"/>
          <w:b/>
          <w:szCs w:val="21"/>
          <w:highlight w:val="none"/>
        </w:rPr>
        <w:t>采购</w:t>
      </w:r>
      <w:r>
        <w:rPr>
          <w:rFonts w:hint="eastAsia" w:hAnsi="宋体"/>
          <w:b/>
          <w:szCs w:val="21"/>
          <w:highlight w:val="none"/>
        </w:rPr>
        <w:t>标的</w:t>
      </w:r>
      <w:r>
        <w:rPr>
          <w:rFonts w:hAnsi="宋体"/>
          <w:b/>
          <w:szCs w:val="21"/>
          <w:highlight w:val="none"/>
        </w:rPr>
        <w:t>需执行的国家相关标准、行业标准、地方标准或者其他标准、规范：</w:t>
      </w:r>
    </w:p>
    <w:p w14:paraId="65AAFC29">
      <w:pPr>
        <w:tabs>
          <w:tab w:val="left" w:pos="900"/>
        </w:tabs>
        <w:adjustRightInd w:val="0"/>
        <w:snapToGrid w:val="0"/>
        <w:spacing w:line="360" w:lineRule="auto"/>
        <w:ind w:firstLine="420" w:firstLineChars="200"/>
        <w:rPr>
          <w:rFonts w:hint="eastAsia"/>
          <w:szCs w:val="21"/>
          <w:highlight w:val="none"/>
        </w:rPr>
      </w:pPr>
      <w:r>
        <w:rPr>
          <w:rFonts w:hint="eastAsia"/>
          <w:szCs w:val="21"/>
          <w:highlight w:val="none"/>
        </w:rPr>
        <w:t>1.采购项目中所含的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18311891">
      <w:pPr>
        <w:tabs>
          <w:tab w:val="left" w:pos="900"/>
        </w:tabs>
        <w:adjustRightInd w:val="0"/>
        <w:snapToGrid w:val="0"/>
        <w:spacing w:line="360" w:lineRule="auto"/>
        <w:ind w:firstLine="422" w:firstLineChars="200"/>
        <w:rPr>
          <w:b/>
          <w:bCs/>
          <w:szCs w:val="21"/>
          <w:highlight w:val="none"/>
        </w:rPr>
      </w:pPr>
      <w:r>
        <w:rPr>
          <w:b/>
          <w:bCs/>
          <w:szCs w:val="21"/>
          <w:highlight w:val="none"/>
        </w:rPr>
        <w:t>1</w:t>
      </w:r>
      <w:r>
        <w:rPr>
          <w:rFonts w:hint="eastAsia"/>
          <w:b/>
          <w:bCs/>
          <w:szCs w:val="21"/>
          <w:highlight w:val="none"/>
        </w:rPr>
        <w:t>）</w:t>
      </w:r>
      <w:r>
        <w:rPr>
          <w:b/>
          <w:bCs/>
          <w:szCs w:val="21"/>
          <w:highlight w:val="none"/>
        </w:rPr>
        <w:t>适用法规及标准要求：</w:t>
      </w:r>
    </w:p>
    <w:p w14:paraId="3A862220">
      <w:pPr>
        <w:tabs>
          <w:tab w:val="left" w:pos="900"/>
        </w:tabs>
        <w:adjustRightInd w:val="0"/>
        <w:snapToGrid w:val="0"/>
        <w:spacing w:line="360" w:lineRule="auto"/>
        <w:ind w:firstLine="420" w:firstLineChars="200"/>
        <w:rPr>
          <w:szCs w:val="21"/>
          <w:highlight w:val="none"/>
        </w:rPr>
      </w:pPr>
      <w:r>
        <w:rPr>
          <w:szCs w:val="21"/>
          <w:highlight w:val="none"/>
        </w:rPr>
        <w:t>投标人提供的设计、加工制造、装配、</w:t>
      </w:r>
      <w:r>
        <w:rPr>
          <w:color w:val="000000" w:themeColor="text1"/>
          <w:szCs w:val="21"/>
          <w:highlight w:val="none"/>
          <w14:textFill>
            <w14:solidFill>
              <w14:schemeClr w14:val="tx1"/>
            </w14:solidFill>
          </w14:textFill>
        </w:rPr>
        <w:t>调节控制</w:t>
      </w:r>
      <w:r>
        <w:rPr>
          <w:szCs w:val="21"/>
          <w:highlight w:val="none"/>
        </w:rPr>
        <w:t>系统及风洞试验服务，应</w:t>
      </w:r>
      <w:r>
        <w:rPr>
          <w:rFonts w:hint="eastAsia"/>
          <w:szCs w:val="21"/>
          <w:highlight w:val="none"/>
          <w:lang w:val="en-US" w:eastAsia="zh-CN"/>
        </w:rPr>
        <w:t>符合</w:t>
      </w:r>
      <w:r>
        <w:rPr>
          <w:rFonts w:hint="eastAsia"/>
          <w:szCs w:val="21"/>
          <w:highlight w:val="none"/>
        </w:rPr>
        <w:t>高速风洞模型设计准</w:t>
      </w:r>
      <w:bookmarkStart w:id="8" w:name="_GoBack"/>
      <w:r>
        <w:rPr>
          <w:rFonts w:hint="eastAsia"/>
          <w:szCs w:val="21"/>
          <w:highlight w:val="none"/>
        </w:rPr>
        <w:t>则GJB 569A-2012</w:t>
      </w:r>
      <w:r>
        <w:rPr>
          <w:rFonts w:hint="eastAsia"/>
          <w:szCs w:val="21"/>
          <w:highlight w:val="none"/>
          <w:lang w:eastAsia="zh-CN"/>
        </w:rPr>
        <w:t>、飞行器进气道高速风洞试验方法GJB 8217-2014。</w:t>
      </w:r>
      <w:bookmarkEnd w:id="8"/>
      <w:r>
        <w:rPr>
          <w:szCs w:val="21"/>
          <w:highlight w:val="none"/>
        </w:rPr>
        <w:t>如国家、行业或对相关试验件、材料、计量器具、测试设备等有强制性规定或要求的，应符合相应规定或要求，并按要求提供相关证明文件。</w:t>
      </w:r>
    </w:p>
    <w:p w14:paraId="29090CB1">
      <w:pPr>
        <w:tabs>
          <w:tab w:val="left" w:pos="900"/>
        </w:tabs>
        <w:adjustRightInd w:val="0"/>
        <w:snapToGrid w:val="0"/>
        <w:spacing w:line="360" w:lineRule="auto"/>
        <w:ind w:firstLine="422" w:firstLineChars="200"/>
        <w:rPr>
          <w:b/>
          <w:bCs/>
          <w:szCs w:val="21"/>
          <w:highlight w:val="none"/>
        </w:rPr>
      </w:pPr>
      <w:r>
        <w:rPr>
          <w:rFonts w:hint="eastAsia"/>
          <w:b/>
          <w:bCs/>
          <w:szCs w:val="21"/>
          <w:highlight w:val="none"/>
        </w:rPr>
        <w:t>2）</w:t>
      </w:r>
      <w:r>
        <w:rPr>
          <w:b/>
          <w:bCs/>
          <w:szCs w:val="21"/>
          <w:highlight w:val="none"/>
        </w:rPr>
        <w:t>计量及测试设备要求：</w:t>
      </w:r>
    </w:p>
    <w:p w14:paraId="37D07BFB">
      <w:pPr>
        <w:tabs>
          <w:tab w:val="left" w:pos="900"/>
        </w:tabs>
        <w:adjustRightInd w:val="0"/>
        <w:snapToGrid w:val="0"/>
        <w:spacing w:line="360" w:lineRule="auto"/>
        <w:ind w:firstLine="420" w:firstLineChars="200"/>
        <w:rPr>
          <w:szCs w:val="21"/>
          <w:highlight w:val="none"/>
        </w:rPr>
      </w:pPr>
      <w:r>
        <w:rPr>
          <w:szCs w:val="21"/>
          <w:highlight w:val="none"/>
        </w:rPr>
        <w:t>用于本项目试验的压力传感器、流量测量设备及其他计量、测试设备应满足试验精度要求，并处于有效检定、校准或符合相关计量要求的状态。投标方应根据要求提供相应的检定、校准或测试证明文件。</w:t>
      </w:r>
    </w:p>
    <w:p w14:paraId="3E3DA482">
      <w:pPr>
        <w:tabs>
          <w:tab w:val="left" w:pos="900"/>
        </w:tabs>
        <w:adjustRightInd w:val="0"/>
        <w:snapToGrid w:val="0"/>
        <w:spacing w:line="360" w:lineRule="auto"/>
        <w:ind w:firstLine="422" w:firstLineChars="200"/>
        <w:rPr>
          <w:b/>
          <w:bCs/>
          <w:szCs w:val="21"/>
          <w:highlight w:val="none"/>
        </w:rPr>
      </w:pPr>
      <w:r>
        <w:rPr>
          <w:b/>
          <w:bCs/>
          <w:szCs w:val="21"/>
          <w:highlight w:val="none"/>
        </w:rPr>
        <w:t>3</w:t>
      </w:r>
      <w:r>
        <w:rPr>
          <w:rFonts w:hint="eastAsia"/>
          <w:b/>
          <w:bCs/>
          <w:szCs w:val="21"/>
          <w:highlight w:val="none"/>
        </w:rPr>
        <w:t>）</w:t>
      </w:r>
      <w:r>
        <w:rPr>
          <w:b/>
          <w:bCs/>
          <w:szCs w:val="21"/>
          <w:highlight w:val="none"/>
        </w:rPr>
        <w:t>材料及安全要求：</w:t>
      </w:r>
    </w:p>
    <w:p w14:paraId="2DE6F52C">
      <w:pPr>
        <w:tabs>
          <w:tab w:val="left" w:pos="900"/>
        </w:tabs>
        <w:adjustRightInd w:val="0"/>
        <w:snapToGrid w:val="0"/>
        <w:spacing w:line="360" w:lineRule="auto"/>
        <w:ind w:firstLine="420" w:firstLineChars="200"/>
        <w:rPr>
          <w:szCs w:val="21"/>
          <w:highlight w:val="none"/>
        </w:rPr>
      </w:pPr>
      <w:r>
        <w:rPr>
          <w:szCs w:val="21"/>
          <w:highlight w:val="none"/>
        </w:rPr>
        <w:t>试验件所采用的材料、标准件及配套电气元器件等应符合设计图纸、技术规范及相关国家或行业标准要求；试验件结构、调节机构及控制系统应满足风洞试验期间的强度、刚度、稳定性及运行安全要求，不得存在影响试验安全的设计、制造或装配缺陷。</w:t>
      </w:r>
    </w:p>
    <w:p w14:paraId="5A8FCC1C">
      <w:pPr>
        <w:tabs>
          <w:tab w:val="left" w:pos="900"/>
        </w:tabs>
        <w:adjustRightInd w:val="0"/>
        <w:snapToGrid w:val="0"/>
        <w:spacing w:line="360" w:lineRule="auto"/>
        <w:ind w:firstLine="422" w:firstLineChars="200"/>
        <w:rPr>
          <w:rFonts w:hAnsi="宋体"/>
          <w:b/>
          <w:szCs w:val="21"/>
        </w:rPr>
      </w:pPr>
      <w:r>
        <w:rPr>
          <w:rFonts w:hint="eastAsia" w:hAnsi="宋体"/>
          <w:b/>
          <w:szCs w:val="21"/>
        </w:rPr>
        <w:t>三、采购标的概况</w:t>
      </w:r>
    </w:p>
    <w:p w14:paraId="599624B6">
      <w:pPr>
        <w:adjustRightInd w:val="0"/>
        <w:snapToGrid w:val="0"/>
        <w:spacing w:line="360" w:lineRule="auto"/>
        <w:ind w:firstLine="420" w:firstLineChars="200"/>
        <w:rPr>
          <w:rFonts w:hAnsi="宋体"/>
          <w:szCs w:val="21"/>
        </w:rPr>
      </w:pPr>
      <w:r>
        <w:rPr>
          <w:rFonts w:hint="eastAsia" w:ascii="宋体" w:hAnsi="宋体"/>
          <w:szCs w:val="21"/>
        </w:rPr>
        <w:t>（一）采购项目名称：</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可调进气道结构设计、加工与风洞试验</w:t>
      </w:r>
      <w:r>
        <w:rPr>
          <w:rFonts w:ascii="宋体" w:hAnsi="宋体"/>
          <w:szCs w:val="21"/>
          <w:u w:val="single"/>
        </w:rPr>
        <w:t xml:space="preserve">      </w:t>
      </w:r>
    </w:p>
    <w:p w14:paraId="700B5273">
      <w:pPr>
        <w:adjustRightInd w:val="0"/>
        <w:snapToGrid w:val="0"/>
        <w:spacing w:line="360" w:lineRule="auto"/>
        <w:ind w:firstLine="420" w:firstLineChars="200"/>
        <w:rPr>
          <w:rFonts w:hAnsi="宋体"/>
          <w:szCs w:val="21"/>
          <w:u w:val="single"/>
        </w:rPr>
      </w:pPr>
      <w:r>
        <w:rPr>
          <w:rFonts w:hint="eastAsia" w:hAnsi="宋体"/>
          <w:szCs w:val="21"/>
        </w:rPr>
        <w:t>（二）采购数量及计量单位：</w:t>
      </w:r>
      <w:r>
        <w:rPr>
          <w:rFonts w:ascii="宋体" w:hAnsi="宋体"/>
          <w:szCs w:val="21"/>
          <w:u w:val="single"/>
        </w:rPr>
        <w:t xml:space="preserve">     </w:t>
      </w:r>
      <w:r>
        <w:rPr>
          <w:rFonts w:hint="eastAsia" w:ascii="宋体" w:hAnsi="宋体"/>
          <w:szCs w:val="21"/>
          <w:u w:val="single"/>
        </w:rPr>
        <w:t>1项</w:t>
      </w:r>
      <w:r>
        <w:rPr>
          <w:rFonts w:ascii="宋体" w:hAnsi="宋体"/>
          <w:szCs w:val="21"/>
          <w:u w:val="single"/>
        </w:rPr>
        <w:t xml:space="preserve">     </w:t>
      </w:r>
    </w:p>
    <w:p w14:paraId="7D66FB09">
      <w:pPr>
        <w:adjustRightInd w:val="0"/>
        <w:snapToGrid w:val="0"/>
        <w:spacing w:line="360" w:lineRule="auto"/>
        <w:ind w:firstLine="420" w:firstLineChars="200"/>
        <w:rPr>
          <w:rFonts w:hAnsi="宋体"/>
          <w:szCs w:val="21"/>
        </w:rPr>
      </w:pPr>
      <w:r>
        <w:rPr>
          <w:rFonts w:hint="eastAsia" w:hAnsi="宋体"/>
          <w:szCs w:val="21"/>
        </w:rPr>
        <w:t>（三）最高限价：人民币</w:t>
      </w:r>
      <w:r>
        <w:rPr>
          <w:rFonts w:hint="eastAsia" w:hAnsi="宋体"/>
          <w:szCs w:val="21"/>
          <w:u w:val="single"/>
        </w:rPr>
        <w:t xml:space="preserve"> </w:t>
      </w:r>
      <w:r>
        <w:rPr>
          <w:rFonts w:hAnsi="宋体"/>
          <w:szCs w:val="21"/>
          <w:u w:val="single"/>
        </w:rPr>
        <w:t xml:space="preserve">     </w:t>
      </w:r>
      <w:r>
        <w:rPr>
          <w:rFonts w:hint="eastAsia"/>
          <w:szCs w:val="21"/>
          <w:u w:val="single"/>
        </w:rPr>
        <w:t>80</w:t>
      </w:r>
      <w:r>
        <w:rPr>
          <w:szCs w:val="21"/>
          <w:u w:val="single"/>
        </w:rPr>
        <w:t>0000.00</w:t>
      </w:r>
      <w:r>
        <w:rPr>
          <w:rFonts w:hAnsi="宋体"/>
          <w:szCs w:val="21"/>
          <w:u w:val="single"/>
        </w:rPr>
        <w:t xml:space="preserve">    </w:t>
      </w:r>
      <w:r>
        <w:rPr>
          <w:rFonts w:hint="eastAsia" w:hAnsi="宋体"/>
          <w:szCs w:val="21"/>
        </w:rPr>
        <w:t>元（大写：</w:t>
      </w:r>
      <w:r>
        <w:rPr>
          <w:rFonts w:hAnsi="宋体"/>
          <w:szCs w:val="21"/>
          <w:u w:val="single"/>
        </w:rPr>
        <w:t xml:space="preserve">    </w:t>
      </w:r>
      <w:r>
        <w:rPr>
          <w:rFonts w:hint="eastAsia"/>
          <w:szCs w:val="21"/>
          <w:u w:val="single"/>
        </w:rPr>
        <w:t>捌拾万元整</w:t>
      </w:r>
      <w:r>
        <w:rPr>
          <w:rFonts w:hAnsi="宋体"/>
          <w:szCs w:val="21"/>
          <w:u w:val="single"/>
        </w:rPr>
        <w:t xml:space="preserve">             </w:t>
      </w:r>
      <w:r>
        <w:rPr>
          <w:rFonts w:hint="eastAsia" w:hAnsi="宋体"/>
          <w:szCs w:val="21"/>
        </w:rPr>
        <w:t>）</w:t>
      </w:r>
    </w:p>
    <w:p w14:paraId="72B992CF">
      <w:pPr>
        <w:adjustRightInd w:val="0"/>
        <w:snapToGrid w:val="0"/>
        <w:spacing w:line="360" w:lineRule="auto"/>
        <w:ind w:firstLine="420" w:firstLineChars="200"/>
        <w:rPr>
          <w:szCs w:val="21"/>
        </w:rPr>
      </w:pPr>
      <w:r>
        <w:rPr>
          <w:rFonts w:hint="eastAsia" w:hAnsi="宋体"/>
          <w:szCs w:val="21"/>
        </w:rPr>
        <w:t>（四）</w:t>
      </w:r>
      <w:r>
        <w:rPr>
          <w:rFonts w:hAnsi="宋体"/>
          <w:szCs w:val="21"/>
        </w:rPr>
        <w:t>交付时间：</w:t>
      </w:r>
      <w:r>
        <w:rPr>
          <w:rFonts w:hAnsi="宋体"/>
        </w:rPr>
        <w:t>合同签订后</w:t>
      </w:r>
      <w:r>
        <w:rPr>
          <w:rFonts w:hAnsi="宋体"/>
          <w:szCs w:val="21"/>
          <w:u w:val="single"/>
        </w:rPr>
        <w:t xml:space="preserve">  </w:t>
      </w:r>
      <w:r>
        <w:rPr>
          <w:rFonts w:hint="eastAsia" w:hAnsi="宋体"/>
          <w:szCs w:val="21"/>
          <w:u w:val="single"/>
        </w:rPr>
        <w:t>60</w:t>
      </w:r>
      <w:r>
        <w:rPr>
          <w:rFonts w:hAnsi="宋体"/>
          <w:szCs w:val="21"/>
          <w:u w:val="single"/>
        </w:rPr>
        <w:t xml:space="preserve">  </w:t>
      </w:r>
      <w:r>
        <w:rPr>
          <w:rFonts w:hint="eastAsia" w:hAnsi="宋体"/>
        </w:rPr>
        <w:t>天内</w:t>
      </w:r>
    </w:p>
    <w:p w14:paraId="544209DB">
      <w:pPr>
        <w:tabs>
          <w:tab w:val="left" w:pos="420"/>
          <w:tab w:val="left" w:pos="900"/>
        </w:tabs>
        <w:adjustRightInd w:val="0"/>
        <w:snapToGrid w:val="0"/>
        <w:spacing w:line="360" w:lineRule="auto"/>
        <w:ind w:firstLine="420" w:firstLineChars="200"/>
        <w:rPr>
          <w:rFonts w:ascii="宋体" w:hAnsi="宋体"/>
          <w:szCs w:val="21"/>
        </w:rPr>
      </w:pPr>
      <w:r>
        <w:rPr>
          <w:rFonts w:hint="eastAsia" w:hAnsi="宋体"/>
          <w:szCs w:val="21"/>
        </w:rPr>
        <w:t>（五）</w:t>
      </w:r>
      <w:r>
        <w:rPr>
          <w:rFonts w:hAnsi="宋体"/>
          <w:szCs w:val="21"/>
        </w:rPr>
        <w:t>交付地点：</w:t>
      </w:r>
      <w:r>
        <w:rPr>
          <w:rFonts w:hAnsi="宋体"/>
          <w:szCs w:val="21"/>
          <w:u w:val="single"/>
        </w:rPr>
        <w:t xml:space="preserve">    </w:t>
      </w:r>
      <w:r>
        <w:rPr>
          <w:rFonts w:hint="eastAsia"/>
          <w:szCs w:val="21"/>
          <w:u w:val="single"/>
        </w:rPr>
        <w:t xml:space="preserve">西安交通大学指定地点   </w:t>
      </w:r>
      <w:r>
        <w:rPr>
          <w:rFonts w:hAnsi="宋体"/>
          <w:szCs w:val="21"/>
          <w:u w:val="single"/>
        </w:rPr>
        <w:t xml:space="preserve"> </w:t>
      </w:r>
    </w:p>
    <w:p w14:paraId="179C3B80">
      <w:pPr>
        <w:tabs>
          <w:tab w:val="left" w:pos="900"/>
        </w:tabs>
        <w:adjustRightInd w:val="0"/>
        <w:snapToGrid w:val="0"/>
        <w:spacing w:line="360" w:lineRule="auto"/>
        <w:ind w:firstLine="420" w:firstLineChars="200"/>
        <w:rPr>
          <w:rFonts w:hAnsi="宋体"/>
          <w:szCs w:val="21"/>
        </w:rPr>
      </w:pPr>
      <w:r>
        <w:rPr>
          <w:rFonts w:hint="eastAsia" w:hAnsi="宋体"/>
          <w:szCs w:val="21"/>
        </w:rPr>
        <w:t>（六）付款进度安排：</w:t>
      </w:r>
      <w:r>
        <w:rPr>
          <w:szCs w:val="21"/>
        </w:rPr>
        <w:sym w:font="Wingdings 2" w:char="F052"/>
      </w:r>
      <w:r>
        <w:rPr>
          <w:szCs w:val="21"/>
        </w:rPr>
        <w:tab/>
      </w:r>
      <w:r>
        <w:rPr>
          <w:rFonts w:hint="eastAsia" w:hAnsi="宋体"/>
          <w:szCs w:val="21"/>
        </w:rPr>
        <w:t xml:space="preserve"> 按</w:t>
      </w:r>
      <w:r>
        <w:rPr>
          <w:rFonts w:hAnsi="宋体"/>
          <w:szCs w:val="21"/>
        </w:rPr>
        <w:t>采购文件</w:t>
      </w:r>
      <w:r>
        <w:rPr>
          <w:rFonts w:hint="eastAsia" w:hAnsi="宋体"/>
          <w:szCs w:val="21"/>
        </w:rPr>
        <w:t>要求。</w:t>
      </w:r>
    </w:p>
    <w:p w14:paraId="5FA361AF">
      <w:pPr>
        <w:tabs>
          <w:tab w:val="left" w:pos="900"/>
        </w:tabs>
        <w:adjustRightInd w:val="0"/>
        <w:snapToGrid w:val="0"/>
        <w:spacing w:line="360" w:lineRule="auto"/>
        <w:ind w:firstLine="402" w:firstLineChars="200"/>
        <w:rPr>
          <w:rFonts w:hAnsi="宋体"/>
          <w:szCs w:val="21"/>
        </w:rPr>
      </w:pPr>
      <w:r>
        <w:rPr>
          <w:rFonts w:cs="宋体" w:asciiTheme="minorEastAsia" w:hAnsiTheme="minorEastAsia"/>
          <w:b/>
          <w:color w:val="000000"/>
          <w:kern w:val="0"/>
          <w:sz w:val="20"/>
          <w:szCs w:val="21"/>
        </w:rPr>
        <w:tab/>
      </w:r>
      <w:r>
        <w:rPr>
          <w:rFonts w:cs="宋体" w:asciiTheme="minorEastAsia" w:hAnsiTheme="minorEastAsia"/>
          <w:b/>
          <w:color w:val="000000"/>
          <w:kern w:val="0"/>
          <w:sz w:val="20"/>
          <w:szCs w:val="21"/>
        </w:rPr>
        <w:tab/>
      </w:r>
      <w:r>
        <w:rPr>
          <w:rFonts w:cs="宋体" w:asciiTheme="minorEastAsia" w:hAnsiTheme="minorEastAsia"/>
          <w:b/>
          <w:color w:val="000000"/>
          <w:kern w:val="0"/>
          <w:sz w:val="20"/>
          <w:szCs w:val="21"/>
        </w:rPr>
        <w:tab/>
      </w:r>
      <w:r>
        <w:rPr>
          <w:rFonts w:cs="宋体" w:asciiTheme="minorEastAsia" w:hAnsiTheme="minorEastAsia"/>
          <w:b/>
          <w:color w:val="000000"/>
          <w:kern w:val="0"/>
          <w:sz w:val="20"/>
          <w:szCs w:val="21"/>
        </w:rPr>
        <w:tab/>
      </w:r>
      <w:r>
        <w:rPr>
          <w:rFonts w:cs="宋体" w:asciiTheme="minorEastAsia" w:hAnsiTheme="minorEastAsia"/>
          <w:b/>
          <w:color w:val="000000"/>
          <w:kern w:val="0"/>
          <w:sz w:val="20"/>
          <w:szCs w:val="21"/>
        </w:rPr>
        <w:tab/>
      </w:r>
      <w:r>
        <w:rPr>
          <w:rFonts w:hint="eastAsia" w:cs="宋体" w:asciiTheme="minorEastAsia" w:hAnsiTheme="minorEastAsia"/>
          <w:b/>
          <w:color w:val="000000"/>
          <w:kern w:val="0"/>
          <w:sz w:val="20"/>
          <w:szCs w:val="21"/>
        </w:rPr>
        <w:t>□</w:t>
      </w:r>
      <w:r>
        <w:rPr>
          <w:rFonts w:hAnsi="宋体"/>
          <w:szCs w:val="21"/>
        </w:rPr>
        <w:t>其他要求</w:t>
      </w:r>
      <w:r>
        <w:rPr>
          <w:rFonts w:hint="eastAsia" w:hAnsi="宋体"/>
          <w:szCs w:val="21"/>
        </w:rPr>
        <w:t>：</w:t>
      </w:r>
      <w:r>
        <w:rPr>
          <w:rFonts w:hAnsi="宋体"/>
          <w:szCs w:val="21"/>
          <w:u w:val="single"/>
        </w:rPr>
        <w:t xml:space="preserve">                                  </w:t>
      </w:r>
      <w:r>
        <w:rPr>
          <w:rFonts w:hAnsi="宋体"/>
          <w:szCs w:val="21"/>
        </w:rPr>
        <w:t xml:space="preserve"> </w:t>
      </w:r>
      <w:r>
        <w:rPr>
          <w:rFonts w:hint="eastAsia" w:hAnsi="宋体"/>
          <w:szCs w:val="21"/>
        </w:rPr>
        <w:t>。</w:t>
      </w:r>
    </w:p>
    <w:p w14:paraId="3C999C16">
      <w:pPr>
        <w:tabs>
          <w:tab w:val="left" w:pos="900"/>
        </w:tabs>
        <w:adjustRightInd w:val="0"/>
        <w:snapToGrid w:val="0"/>
        <w:spacing w:line="360" w:lineRule="auto"/>
        <w:ind w:firstLine="422" w:firstLineChars="200"/>
        <w:rPr>
          <w:rFonts w:hAnsi="宋体"/>
          <w:b/>
          <w:szCs w:val="21"/>
        </w:rPr>
      </w:pPr>
      <w:r>
        <w:rPr>
          <w:rFonts w:hint="eastAsia" w:hAnsi="宋体"/>
          <w:b/>
          <w:szCs w:val="21"/>
        </w:rPr>
        <w:t>四、采购标的需满足的质量、安全、技术规格、物理特性等要求：</w:t>
      </w:r>
    </w:p>
    <w:p w14:paraId="1D8C50BA">
      <w:pPr>
        <w:tabs>
          <w:tab w:val="left" w:pos="420"/>
          <w:tab w:val="left" w:pos="900"/>
        </w:tabs>
        <w:adjustRightInd w:val="0"/>
        <w:snapToGrid w:val="0"/>
        <w:spacing w:line="360" w:lineRule="auto"/>
        <w:ind w:firstLine="422" w:firstLineChars="200"/>
        <w:rPr>
          <w:b/>
          <w:bCs/>
          <w:szCs w:val="21"/>
        </w:rPr>
      </w:pPr>
      <w:r>
        <w:rPr>
          <w:b/>
          <w:bCs/>
          <w:szCs w:val="21"/>
        </w:rPr>
        <w:t>（一）总体要求</w:t>
      </w:r>
    </w:p>
    <w:p w14:paraId="221A9F79">
      <w:pPr>
        <w:tabs>
          <w:tab w:val="left" w:pos="420"/>
          <w:tab w:val="left" w:pos="900"/>
        </w:tabs>
        <w:adjustRightInd w:val="0"/>
        <w:snapToGrid w:val="0"/>
        <w:spacing w:line="360" w:lineRule="auto"/>
        <w:ind w:firstLine="420" w:firstLineChars="200"/>
        <w:rPr>
          <w:szCs w:val="21"/>
        </w:rPr>
      </w:pPr>
      <w:r>
        <w:rPr>
          <w:szCs w:val="21"/>
        </w:rPr>
        <w:t>本项目采购</w:t>
      </w:r>
      <w:r>
        <w:rPr>
          <w:b/>
          <w:bCs/>
          <w:szCs w:val="21"/>
        </w:rPr>
        <w:t>可调进气道结构件设计、加工、装配、</w:t>
      </w:r>
      <w:r>
        <w:rPr>
          <w:b/>
          <w:bCs/>
          <w:color w:val="000000" w:themeColor="text1"/>
          <w:szCs w:val="21"/>
          <w14:textFill>
            <w14:solidFill>
              <w14:schemeClr w14:val="tx1"/>
            </w14:solidFill>
          </w14:textFill>
        </w:rPr>
        <w:t>调节控制</w:t>
      </w:r>
      <w:r>
        <w:rPr>
          <w:b/>
          <w:bCs/>
          <w:szCs w:val="21"/>
        </w:rPr>
        <w:t>系统设计及风洞试验验证一体化服务1项</w:t>
      </w:r>
      <w:r>
        <w:rPr>
          <w:szCs w:val="21"/>
        </w:rPr>
        <w:t>，主要用于可调进气道试验件的设计、加工制造及风洞试验验证。</w:t>
      </w:r>
    </w:p>
    <w:p w14:paraId="721EDAFA">
      <w:pPr>
        <w:tabs>
          <w:tab w:val="left" w:pos="900"/>
        </w:tabs>
        <w:adjustRightInd w:val="0"/>
        <w:snapToGrid w:val="0"/>
        <w:spacing w:line="360" w:lineRule="auto"/>
        <w:ind w:firstLine="420" w:firstLineChars="200"/>
        <w:rPr>
          <w:szCs w:val="21"/>
        </w:rPr>
      </w:pPr>
      <w:r>
        <w:rPr>
          <w:szCs w:val="21"/>
        </w:rPr>
        <w:t>投标人应根据提供的总体技术方案及相关参数，完成可调进气道结构设计、加工制造、装配、调节机构调试、试验件整件调试及风洞安装调试，并配合完成风洞试验验证，提供试验期间现场技术支持。主要工作包括：结构设计、加工制造、装配、调节机构调试、试验件整件调试、风洞安装调试及现场技术支持。</w:t>
      </w:r>
    </w:p>
    <w:p w14:paraId="199FFBD5">
      <w:pPr>
        <w:tabs>
          <w:tab w:val="left" w:pos="420"/>
          <w:tab w:val="left" w:pos="900"/>
        </w:tabs>
        <w:adjustRightInd w:val="0"/>
        <w:snapToGrid w:val="0"/>
        <w:spacing w:line="360" w:lineRule="auto"/>
        <w:ind w:firstLine="420" w:firstLineChars="200"/>
        <w:rPr>
          <w:szCs w:val="21"/>
        </w:rPr>
      </w:pPr>
      <w:r>
        <w:rPr>
          <w:rFonts w:hint="eastAsia"/>
          <w:szCs w:val="21"/>
        </w:rPr>
        <w:t>加工完成的可调进气道试验件应在尺寸精度、形位公差、表面质量、装配接口方面符合GJB569-2012中粗糙度及公差要求，调节机构运动顺畅，不卡滞。</w:t>
      </w:r>
      <w:r>
        <w:rPr>
          <w:szCs w:val="21"/>
        </w:rPr>
        <w:t>并能够在约定的风洞试验工况下稳定、可靠、安全运行，满足试验数据获取及设计方案考核验证要求。</w:t>
      </w:r>
    </w:p>
    <w:p w14:paraId="298CE370">
      <w:pPr>
        <w:tabs>
          <w:tab w:val="left" w:pos="420"/>
          <w:tab w:val="left" w:pos="900"/>
        </w:tabs>
        <w:adjustRightInd w:val="0"/>
        <w:snapToGrid w:val="0"/>
        <w:spacing w:line="360" w:lineRule="auto"/>
        <w:ind w:firstLine="420" w:firstLineChars="200"/>
        <w:rPr>
          <w:szCs w:val="21"/>
        </w:rPr>
      </w:pPr>
      <w:r>
        <w:rPr>
          <w:szCs w:val="21"/>
        </w:rPr>
        <w:t>风洞试验应完成进气道吹风试验，并同步开展沿程压力测量、纹影记录及进气道双通道流量测量，试验马赫数范围覆盖</w:t>
      </w:r>
      <w:r>
        <w:rPr>
          <w:b/>
          <w:bCs/>
          <w:szCs w:val="21"/>
        </w:rPr>
        <w:t>1.2＜M≤2.25、3.5＜M≤4.2及M=6</w:t>
      </w:r>
      <w:r>
        <w:rPr>
          <w:szCs w:val="21"/>
        </w:rPr>
        <w:t>等状态。</w:t>
      </w:r>
    </w:p>
    <w:p w14:paraId="1CFDF6FD">
      <w:pPr>
        <w:tabs>
          <w:tab w:val="left" w:pos="420"/>
          <w:tab w:val="left" w:pos="900"/>
        </w:tabs>
        <w:adjustRightInd w:val="0"/>
        <w:snapToGrid w:val="0"/>
        <w:spacing w:line="360" w:lineRule="auto"/>
        <w:ind w:firstLine="420" w:firstLineChars="200"/>
        <w:rPr>
          <w:color w:val="auto"/>
          <w:szCs w:val="21"/>
        </w:rPr>
      </w:pPr>
      <w:r>
        <w:rPr>
          <w:color w:val="auto"/>
          <w:szCs w:val="21"/>
        </w:rPr>
        <w:t>所有设计、加工、检测及交付资料应符合相关航空行业标准。</w:t>
      </w:r>
    </w:p>
    <w:p w14:paraId="78ECF41F">
      <w:pPr>
        <w:pStyle w:val="23"/>
        <w:numPr>
          <w:ilvl w:val="0"/>
          <w:numId w:val="1"/>
        </w:numPr>
        <w:tabs>
          <w:tab w:val="left" w:pos="420"/>
          <w:tab w:val="left" w:pos="900"/>
        </w:tabs>
        <w:adjustRightInd w:val="0"/>
        <w:snapToGrid w:val="0"/>
        <w:spacing w:line="360" w:lineRule="auto"/>
        <w:ind w:firstLineChars="0"/>
        <w:rPr>
          <w:b/>
          <w:bCs/>
          <w:szCs w:val="21"/>
        </w:rPr>
      </w:pPr>
      <w:r>
        <w:rPr>
          <w:b/>
          <w:bCs/>
          <w:szCs w:val="21"/>
        </w:rPr>
        <w:t>结构设计要求</w:t>
      </w:r>
    </w:p>
    <w:p w14:paraId="6D0CEB70">
      <w:pPr>
        <w:tabs>
          <w:tab w:val="left" w:pos="420"/>
          <w:tab w:val="left" w:pos="900"/>
        </w:tabs>
        <w:adjustRightInd w:val="0"/>
        <w:snapToGrid w:val="0"/>
        <w:spacing w:line="360" w:lineRule="auto"/>
        <w:ind w:firstLine="420" w:firstLineChars="200"/>
        <w:rPr>
          <w:szCs w:val="21"/>
        </w:rPr>
      </w:pPr>
      <w:r>
        <w:rPr>
          <w:rFonts w:hint="eastAsia"/>
          <w:szCs w:val="21"/>
        </w:rPr>
        <w:t xml:space="preserve">1. </w:t>
      </w:r>
      <w:r>
        <w:rPr>
          <w:szCs w:val="21"/>
        </w:rPr>
        <w:t>根据提供的总体气动构型及相关技术参数，完成可调进气道结构设计。</w:t>
      </w:r>
    </w:p>
    <w:p w14:paraId="23B111F0">
      <w:pPr>
        <w:tabs>
          <w:tab w:val="left" w:pos="420"/>
          <w:tab w:val="left" w:pos="900"/>
        </w:tabs>
        <w:adjustRightInd w:val="0"/>
        <w:snapToGrid w:val="0"/>
        <w:spacing w:line="360" w:lineRule="auto"/>
        <w:ind w:firstLine="420" w:firstLineChars="200"/>
        <w:rPr>
          <w:szCs w:val="21"/>
        </w:rPr>
      </w:pPr>
      <w:r>
        <w:rPr>
          <w:rFonts w:hint="eastAsia"/>
          <w:szCs w:val="21"/>
        </w:rPr>
        <w:t xml:space="preserve">2. </w:t>
      </w:r>
      <w:r>
        <w:rPr>
          <w:szCs w:val="21"/>
        </w:rPr>
        <w:t>保证结构具有足够的强度、刚度及稳定性，满足风洞试验载荷要求。</w:t>
      </w:r>
    </w:p>
    <w:p w14:paraId="5B09ED8A">
      <w:pPr>
        <w:tabs>
          <w:tab w:val="left" w:pos="420"/>
          <w:tab w:val="left" w:pos="900"/>
        </w:tabs>
        <w:adjustRightInd w:val="0"/>
        <w:snapToGrid w:val="0"/>
        <w:spacing w:line="360" w:lineRule="auto"/>
        <w:ind w:firstLine="420" w:firstLineChars="200"/>
        <w:rPr>
          <w:szCs w:val="21"/>
        </w:rPr>
      </w:pPr>
      <w:r>
        <w:rPr>
          <w:rFonts w:hint="eastAsia"/>
          <w:szCs w:val="21"/>
        </w:rPr>
        <w:t xml:space="preserve">3. </w:t>
      </w:r>
      <w:r>
        <w:rPr>
          <w:szCs w:val="21"/>
        </w:rPr>
        <w:t>调节机构运动应灵活、平稳，无卡滞现象。</w:t>
      </w:r>
    </w:p>
    <w:p w14:paraId="26EAC0AB">
      <w:pPr>
        <w:tabs>
          <w:tab w:val="left" w:pos="420"/>
          <w:tab w:val="left" w:pos="900"/>
        </w:tabs>
        <w:adjustRightInd w:val="0"/>
        <w:snapToGrid w:val="0"/>
        <w:spacing w:line="360" w:lineRule="auto"/>
        <w:ind w:firstLine="420" w:firstLineChars="200"/>
        <w:rPr>
          <w:szCs w:val="21"/>
        </w:rPr>
      </w:pPr>
      <w:r>
        <w:rPr>
          <w:rFonts w:hint="eastAsia"/>
          <w:szCs w:val="21"/>
        </w:rPr>
        <w:t xml:space="preserve">4. </w:t>
      </w:r>
      <w:r>
        <w:rPr>
          <w:szCs w:val="21"/>
        </w:rPr>
        <w:t xml:space="preserve">满足风洞试验安装、连接及拆装要求。 </w:t>
      </w:r>
    </w:p>
    <w:p w14:paraId="16EE2B6D">
      <w:pPr>
        <w:tabs>
          <w:tab w:val="left" w:pos="420"/>
          <w:tab w:val="left" w:pos="900"/>
        </w:tabs>
        <w:adjustRightInd w:val="0"/>
        <w:snapToGrid w:val="0"/>
        <w:spacing w:line="360" w:lineRule="auto"/>
        <w:ind w:firstLine="420" w:firstLineChars="200"/>
        <w:rPr>
          <w:szCs w:val="21"/>
        </w:rPr>
      </w:pPr>
      <w:r>
        <w:rPr>
          <w:rFonts w:hint="eastAsia"/>
          <w:szCs w:val="21"/>
        </w:rPr>
        <w:t xml:space="preserve">5. </w:t>
      </w:r>
      <w:r>
        <w:rPr>
          <w:szCs w:val="21"/>
        </w:rPr>
        <w:t>进气道侧板采用模块化可拆卸设计。侧板与主体结构采用统一安装接口及定位基准，通过定位销与螺栓连接实现快速拆装，支持不同侧板构型（如直侧板、前掠侧板、后掠侧板等）快速更换。重复装配后应保证几何尺寸一致、安装定位可靠，并满足试验重复性要求，不影响主体结构刚度及调节机构性能。</w:t>
      </w:r>
    </w:p>
    <w:p w14:paraId="4A04BD21">
      <w:pPr>
        <w:tabs>
          <w:tab w:val="left" w:pos="420"/>
          <w:tab w:val="left" w:pos="900"/>
        </w:tabs>
        <w:adjustRightInd w:val="0"/>
        <w:snapToGrid w:val="0"/>
        <w:spacing w:line="360" w:lineRule="auto"/>
        <w:ind w:firstLine="420" w:firstLineChars="200"/>
        <w:rPr>
          <w:szCs w:val="21"/>
        </w:rPr>
      </w:pPr>
      <w:r>
        <w:rPr>
          <w:rFonts w:hint="eastAsia"/>
          <w:szCs w:val="21"/>
        </w:rPr>
        <w:t xml:space="preserve">6. </w:t>
      </w:r>
      <w:r>
        <w:rPr>
          <w:szCs w:val="21"/>
        </w:rPr>
        <w:t xml:space="preserve">投标方应完成关键承力结构及调节机构的结构强度校核，并提交结构强度分析报告。分析应覆盖典型试验工况下的气动力载荷及机构载荷，结构应满足强度、刚度及稳定性要求。 </w:t>
      </w:r>
    </w:p>
    <w:p w14:paraId="305DFE14">
      <w:pPr>
        <w:tabs>
          <w:tab w:val="left" w:pos="420"/>
          <w:tab w:val="left" w:pos="900"/>
        </w:tabs>
        <w:adjustRightInd w:val="0"/>
        <w:snapToGrid w:val="0"/>
        <w:spacing w:line="360" w:lineRule="auto"/>
        <w:ind w:firstLine="420" w:firstLineChars="200"/>
        <w:rPr>
          <w:szCs w:val="21"/>
        </w:rPr>
      </w:pPr>
      <w:r>
        <w:rPr>
          <w:rFonts w:hint="eastAsia"/>
          <w:szCs w:val="21"/>
        </w:rPr>
        <w:t xml:space="preserve">7. </w:t>
      </w:r>
      <w:r>
        <w:rPr>
          <w:szCs w:val="21"/>
        </w:rPr>
        <w:t>压缩面应可连续调节，并可在结构允许范围内的任意位置可靠停靠；在压缩面位置固定的情况下，分流板应可电动连续调节，实现正向/逆向通道切换。</w:t>
      </w:r>
    </w:p>
    <w:p w14:paraId="2582579A">
      <w:pPr>
        <w:adjustRightInd w:val="0"/>
        <w:snapToGrid w:val="0"/>
        <w:spacing w:line="360" w:lineRule="auto"/>
        <w:ind w:firstLine="422" w:firstLineChars="200"/>
        <w:rPr>
          <w:b/>
          <w:bCs/>
          <w:szCs w:val="21"/>
        </w:rPr>
      </w:pPr>
      <w:r>
        <w:rPr>
          <w:b/>
          <w:bCs/>
          <w:szCs w:val="21"/>
        </w:rPr>
        <w:t>（三）加工制造要求</w:t>
      </w:r>
    </w:p>
    <w:p w14:paraId="40C0024C">
      <w:pPr>
        <w:tabs>
          <w:tab w:val="left" w:pos="420"/>
          <w:tab w:val="left" w:pos="720"/>
          <w:tab w:val="left" w:pos="900"/>
        </w:tabs>
        <w:adjustRightInd w:val="0"/>
        <w:snapToGrid w:val="0"/>
        <w:spacing w:line="360" w:lineRule="auto"/>
        <w:ind w:left="420"/>
        <w:rPr>
          <w:szCs w:val="21"/>
        </w:rPr>
      </w:pPr>
      <w:r>
        <w:rPr>
          <w:rFonts w:hint="eastAsia"/>
          <w:szCs w:val="21"/>
        </w:rPr>
        <w:t xml:space="preserve">1. </w:t>
      </w:r>
      <w:r>
        <w:rPr>
          <w:szCs w:val="21"/>
        </w:rPr>
        <w:t>零部件加工应符合设计图纸及相关技术规范要求。</w:t>
      </w:r>
    </w:p>
    <w:p w14:paraId="2124E757">
      <w:pPr>
        <w:tabs>
          <w:tab w:val="left" w:pos="420"/>
          <w:tab w:val="left" w:pos="720"/>
          <w:tab w:val="left" w:pos="900"/>
        </w:tabs>
        <w:adjustRightInd w:val="0"/>
        <w:snapToGrid w:val="0"/>
        <w:spacing w:line="360" w:lineRule="auto"/>
        <w:ind w:left="420"/>
        <w:rPr>
          <w:szCs w:val="21"/>
        </w:rPr>
      </w:pPr>
      <w:r>
        <w:rPr>
          <w:rFonts w:hint="eastAsia"/>
          <w:szCs w:val="21"/>
        </w:rPr>
        <w:t xml:space="preserve">2. </w:t>
      </w:r>
      <w:r>
        <w:rPr>
          <w:szCs w:val="21"/>
        </w:rPr>
        <w:t>关键尺寸及形位公差应满足设计图纸要求。</w:t>
      </w:r>
    </w:p>
    <w:p w14:paraId="1FCBC442">
      <w:pPr>
        <w:tabs>
          <w:tab w:val="left" w:pos="420"/>
          <w:tab w:val="left" w:pos="720"/>
          <w:tab w:val="left" w:pos="900"/>
        </w:tabs>
        <w:adjustRightInd w:val="0"/>
        <w:snapToGrid w:val="0"/>
        <w:spacing w:line="360" w:lineRule="auto"/>
        <w:ind w:left="420"/>
        <w:rPr>
          <w:szCs w:val="21"/>
        </w:rPr>
      </w:pPr>
      <w:r>
        <w:rPr>
          <w:rFonts w:hint="eastAsia"/>
          <w:szCs w:val="21"/>
        </w:rPr>
        <w:t xml:space="preserve">3. </w:t>
      </w:r>
      <w:r>
        <w:rPr>
          <w:szCs w:val="21"/>
        </w:rPr>
        <w:t>表面加工质量应满足装配及风洞试验要求。</w:t>
      </w:r>
    </w:p>
    <w:p w14:paraId="6734CEAC">
      <w:pPr>
        <w:tabs>
          <w:tab w:val="left" w:pos="420"/>
          <w:tab w:val="left" w:pos="720"/>
          <w:tab w:val="left" w:pos="900"/>
        </w:tabs>
        <w:adjustRightInd w:val="0"/>
        <w:snapToGrid w:val="0"/>
        <w:spacing w:line="360" w:lineRule="auto"/>
        <w:ind w:left="420"/>
        <w:rPr>
          <w:szCs w:val="21"/>
        </w:rPr>
      </w:pPr>
      <w:r>
        <w:rPr>
          <w:rFonts w:hint="eastAsia"/>
          <w:szCs w:val="21"/>
        </w:rPr>
        <w:t xml:space="preserve">4. </w:t>
      </w:r>
      <w:r>
        <w:rPr>
          <w:szCs w:val="21"/>
        </w:rPr>
        <w:t>装配后各运动部件应运行可靠、平稳。压缩面调节机构及分流板电动调节机构应保证运动副配合精度，满足压缩面连续调节、任意位置可靠停靠及分流板正向/逆向通道切换等功能要求。</w:t>
      </w:r>
    </w:p>
    <w:p w14:paraId="2AA0361C">
      <w:pPr>
        <w:tabs>
          <w:tab w:val="left" w:pos="420"/>
          <w:tab w:val="left" w:pos="720"/>
          <w:tab w:val="left" w:pos="900"/>
        </w:tabs>
        <w:adjustRightInd w:val="0"/>
        <w:snapToGrid w:val="0"/>
        <w:spacing w:line="360" w:lineRule="auto"/>
        <w:ind w:left="420"/>
        <w:rPr>
          <w:szCs w:val="21"/>
        </w:rPr>
      </w:pPr>
      <w:r>
        <w:rPr>
          <w:rFonts w:hint="eastAsia"/>
          <w:szCs w:val="21"/>
        </w:rPr>
        <w:t xml:space="preserve">5. </w:t>
      </w:r>
      <w:r>
        <w:rPr>
          <w:szCs w:val="21"/>
        </w:rPr>
        <w:t>完成整机装配及调试后，应对调节机构的运动范围、定位精度、重复定位精度及运行可靠性进行检查和验证。</w:t>
      </w:r>
    </w:p>
    <w:p w14:paraId="7D29CD55">
      <w:pPr>
        <w:adjustRightInd w:val="0"/>
        <w:snapToGrid w:val="0"/>
        <w:spacing w:line="360" w:lineRule="auto"/>
        <w:ind w:firstLine="422" w:firstLineChars="200"/>
        <w:rPr>
          <w:b/>
          <w:bCs/>
          <w:szCs w:val="21"/>
        </w:rPr>
      </w:pPr>
      <w:r>
        <w:rPr>
          <w:b/>
          <w:bCs/>
          <w:szCs w:val="21"/>
        </w:rPr>
        <w:t>（四）调节机构及控制系统技术指标</w:t>
      </w:r>
    </w:p>
    <w:p w14:paraId="47B72A8B">
      <w:pPr>
        <w:tabs>
          <w:tab w:val="left" w:pos="720"/>
        </w:tabs>
        <w:adjustRightInd w:val="0"/>
        <w:snapToGrid w:val="0"/>
        <w:spacing w:line="360" w:lineRule="auto"/>
        <w:ind w:firstLine="420" w:firstLineChars="200"/>
        <w:rPr>
          <w:szCs w:val="21"/>
        </w:rPr>
      </w:pPr>
      <w:r>
        <w:rPr>
          <w:rFonts w:hint="eastAsia"/>
          <w:szCs w:val="21"/>
        </w:rPr>
        <w:t xml:space="preserve">1. </w:t>
      </w:r>
      <w:r>
        <w:rPr>
          <w:szCs w:val="21"/>
        </w:rPr>
        <w:t>喉道调节范围：10 mm～60 mm。</w:t>
      </w:r>
    </w:p>
    <w:p w14:paraId="58E7E94A">
      <w:pPr>
        <w:tabs>
          <w:tab w:val="left" w:pos="720"/>
        </w:tabs>
        <w:adjustRightInd w:val="0"/>
        <w:snapToGrid w:val="0"/>
        <w:spacing w:line="360" w:lineRule="auto"/>
        <w:ind w:firstLine="420" w:firstLineChars="200"/>
        <w:rPr>
          <w:szCs w:val="21"/>
        </w:rPr>
      </w:pPr>
      <w:r>
        <w:rPr>
          <w:rFonts w:hint="eastAsia"/>
          <w:szCs w:val="21"/>
        </w:rPr>
        <w:t xml:space="preserve">2. </w:t>
      </w:r>
      <w:r>
        <w:rPr>
          <w:szCs w:val="21"/>
        </w:rPr>
        <w:t>最小调节步长：≤1 mm。</w:t>
      </w:r>
    </w:p>
    <w:p w14:paraId="53EDB112">
      <w:pPr>
        <w:tabs>
          <w:tab w:val="left" w:pos="720"/>
        </w:tabs>
        <w:adjustRightInd w:val="0"/>
        <w:snapToGrid w:val="0"/>
        <w:spacing w:line="360" w:lineRule="auto"/>
        <w:ind w:firstLine="420" w:firstLineChars="200"/>
        <w:rPr>
          <w:szCs w:val="21"/>
        </w:rPr>
      </w:pPr>
      <w:r>
        <w:rPr>
          <w:rFonts w:hint="eastAsia"/>
          <w:szCs w:val="21"/>
        </w:rPr>
        <w:t xml:space="preserve">3. </w:t>
      </w:r>
      <w:r>
        <w:rPr>
          <w:szCs w:val="21"/>
        </w:rPr>
        <w:t>喉道位置</w:t>
      </w:r>
      <w:r>
        <w:rPr>
          <w:rFonts w:hint="eastAsia"/>
          <w:szCs w:val="21"/>
        </w:rPr>
        <w:t>反馈：</w:t>
      </w:r>
      <w:r>
        <w:rPr>
          <w:szCs w:val="21"/>
        </w:rPr>
        <w:t>采用电机编码器码值进行位置反馈，并实现位置实时显示。</w:t>
      </w:r>
    </w:p>
    <w:p w14:paraId="60AEDCAC">
      <w:pPr>
        <w:tabs>
          <w:tab w:val="left" w:pos="720"/>
        </w:tabs>
        <w:adjustRightInd w:val="0"/>
        <w:snapToGrid w:val="0"/>
        <w:spacing w:line="360" w:lineRule="auto"/>
        <w:ind w:firstLine="420" w:firstLineChars="200"/>
        <w:rPr>
          <w:szCs w:val="21"/>
        </w:rPr>
      </w:pPr>
      <w:r>
        <w:rPr>
          <w:rFonts w:hint="eastAsia"/>
          <w:szCs w:val="21"/>
        </w:rPr>
        <w:t xml:space="preserve">4. </w:t>
      </w:r>
      <w:r>
        <w:rPr>
          <w:szCs w:val="21"/>
        </w:rPr>
        <w:t>位移显示分辨率：≤0.1 mm。</w:t>
      </w:r>
    </w:p>
    <w:p w14:paraId="2F54AA39">
      <w:pPr>
        <w:tabs>
          <w:tab w:val="left" w:pos="720"/>
        </w:tabs>
        <w:adjustRightInd w:val="0"/>
        <w:snapToGrid w:val="0"/>
        <w:spacing w:line="360" w:lineRule="auto"/>
        <w:ind w:firstLine="420" w:firstLineChars="200"/>
        <w:rPr>
          <w:szCs w:val="21"/>
        </w:rPr>
      </w:pPr>
      <w:r>
        <w:rPr>
          <w:rFonts w:hint="eastAsia"/>
          <w:szCs w:val="21"/>
        </w:rPr>
        <w:t xml:space="preserve">5. </w:t>
      </w:r>
      <w:r>
        <w:rPr>
          <w:szCs w:val="21"/>
        </w:rPr>
        <w:t>定位误差：≤±0.5 mm。</w:t>
      </w:r>
    </w:p>
    <w:p w14:paraId="5E130A39">
      <w:pPr>
        <w:tabs>
          <w:tab w:val="left" w:pos="720"/>
        </w:tabs>
        <w:adjustRightInd w:val="0"/>
        <w:snapToGrid w:val="0"/>
        <w:spacing w:line="360" w:lineRule="auto"/>
        <w:ind w:firstLine="420" w:firstLineChars="200"/>
        <w:rPr>
          <w:szCs w:val="21"/>
        </w:rPr>
      </w:pPr>
      <w:r>
        <w:rPr>
          <w:rFonts w:hint="eastAsia"/>
          <w:szCs w:val="21"/>
        </w:rPr>
        <w:t xml:space="preserve">6. </w:t>
      </w:r>
      <w:r>
        <w:rPr>
          <w:szCs w:val="21"/>
        </w:rPr>
        <w:t>重复定位误差：≤±0.3 mm。</w:t>
      </w:r>
    </w:p>
    <w:p w14:paraId="1B7C0B6B">
      <w:pPr>
        <w:tabs>
          <w:tab w:val="left" w:pos="720"/>
        </w:tabs>
        <w:adjustRightInd w:val="0"/>
        <w:snapToGrid w:val="0"/>
        <w:spacing w:line="360" w:lineRule="auto"/>
        <w:ind w:firstLine="420" w:firstLineChars="200"/>
        <w:rPr>
          <w:szCs w:val="21"/>
        </w:rPr>
      </w:pPr>
      <w:r>
        <w:rPr>
          <w:rFonts w:hint="eastAsia"/>
          <w:szCs w:val="21"/>
        </w:rPr>
        <w:t xml:space="preserve">7. </w:t>
      </w:r>
      <w:r>
        <w:rPr>
          <w:szCs w:val="21"/>
        </w:rPr>
        <w:t>调节过程中运动平稳，无明显振动、冲击及卡滞现象。</w:t>
      </w:r>
    </w:p>
    <w:p w14:paraId="00CED221">
      <w:pPr>
        <w:tabs>
          <w:tab w:val="left" w:pos="720"/>
        </w:tabs>
        <w:adjustRightInd w:val="0"/>
        <w:snapToGrid w:val="0"/>
        <w:spacing w:line="360" w:lineRule="auto"/>
        <w:ind w:firstLine="420" w:firstLineChars="200"/>
        <w:rPr>
          <w:szCs w:val="21"/>
        </w:rPr>
      </w:pPr>
      <w:r>
        <w:rPr>
          <w:rFonts w:hint="eastAsia"/>
          <w:szCs w:val="21"/>
        </w:rPr>
        <w:t xml:space="preserve">8. </w:t>
      </w:r>
      <w:r>
        <w:rPr>
          <w:szCs w:val="21"/>
        </w:rPr>
        <w:t>控制系统具备手动/自动控制、行程限位保护、急停保护，并预留风洞测试系统通信接口。</w:t>
      </w:r>
    </w:p>
    <w:p w14:paraId="195FEFB1">
      <w:pPr>
        <w:tabs>
          <w:tab w:val="left" w:pos="720"/>
        </w:tabs>
        <w:adjustRightInd w:val="0"/>
        <w:snapToGrid w:val="0"/>
        <w:spacing w:line="360" w:lineRule="auto"/>
        <w:ind w:firstLine="420" w:firstLineChars="200"/>
        <w:rPr>
          <w:szCs w:val="21"/>
        </w:rPr>
      </w:pPr>
      <w:r>
        <w:rPr>
          <w:rFonts w:hint="eastAsia"/>
          <w:szCs w:val="21"/>
        </w:rPr>
        <w:t xml:space="preserve">9. </w:t>
      </w:r>
      <w:r>
        <w:rPr>
          <w:szCs w:val="21"/>
        </w:rPr>
        <w:t>调节机构驱动电机及配套驱动器</w:t>
      </w:r>
      <w:r>
        <w:rPr>
          <w:rFonts w:hint="eastAsia"/>
          <w:szCs w:val="21"/>
        </w:rPr>
        <w:t>、控制器等</w:t>
      </w:r>
      <w:r>
        <w:rPr>
          <w:szCs w:val="21"/>
        </w:rPr>
        <w:t>由投标方配套提供，电机应满足调节范围、调节步长、定位误差及重复定位误差等指标要求，并具备过载保护、限位保护功能；配套驱动器应与控制系统匹配，支持手动/自动控制及</w:t>
      </w:r>
      <w:r>
        <w:rPr>
          <w:rFonts w:hint="eastAsia"/>
          <w:szCs w:val="21"/>
        </w:rPr>
        <w:t>约定的</w:t>
      </w:r>
      <w:r>
        <w:rPr>
          <w:szCs w:val="21"/>
        </w:rPr>
        <w:t>通信接口要求。</w:t>
      </w:r>
    </w:p>
    <w:p w14:paraId="107B1985">
      <w:pPr>
        <w:adjustRightInd w:val="0"/>
        <w:snapToGrid w:val="0"/>
        <w:spacing w:line="360" w:lineRule="auto"/>
        <w:ind w:firstLine="422" w:firstLineChars="200"/>
        <w:rPr>
          <w:b/>
          <w:bCs/>
          <w:szCs w:val="21"/>
        </w:rPr>
      </w:pPr>
      <w:r>
        <w:rPr>
          <w:b/>
          <w:bCs/>
          <w:szCs w:val="21"/>
        </w:rPr>
        <w:t>（五）风洞试验要求</w:t>
      </w:r>
    </w:p>
    <w:p w14:paraId="260A2F43">
      <w:pPr>
        <w:tabs>
          <w:tab w:val="left" w:pos="720"/>
        </w:tabs>
        <w:adjustRightInd w:val="0"/>
        <w:snapToGrid w:val="0"/>
        <w:spacing w:line="360" w:lineRule="auto"/>
        <w:ind w:firstLine="420" w:firstLineChars="200"/>
        <w:rPr>
          <w:szCs w:val="21"/>
        </w:rPr>
      </w:pPr>
      <w:r>
        <w:rPr>
          <w:rFonts w:hint="eastAsia"/>
          <w:szCs w:val="21"/>
        </w:rPr>
        <w:t xml:space="preserve">1. </w:t>
      </w:r>
      <w:r>
        <w:rPr>
          <w:szCs w:val="21"/>
        </w:rPr>
        <w:t>试验状态：试验马赫数范围覆盖1.2＜M≤2.25、3.5＜M≤4.2及M=6等状态。</w:t>
      </w:r>
    </w:p>
    <w:p w14:paraId="6FC3F1B5">
      <w:pPr>
        <w:tabs>
          <w:tab w:val="left" w:pos="720"/>
        </w:tabs>
        <w:adjustRightInd w:val="0"/>
        <w:snapToGrid w:val="0"/>
        <w:spacing w:line="360" w:lineRule="auto"/>
        <w:ind w:firstLine="420" w:firstLineChars="200"/>
        <w:rPr>
          <w:szCs w:val="21"/>
        </w:rPr>
      </w:pPr>
      <w:r>
        <w:rPr>
          <w:rFonts w:hint="eastAsia"/>
          <w:szCs w:val="21"/>
        </w:rPr>
        <w:t xml:space="preserve">2. </w:t>
      </w:r>
      <w:r>
        <w:rPr>
          <w:szCs w:val="21"/>
        </w:rPr>
        <w:t>试验准备与调试：投标方负责完成风洞试验前试验件安装、调试及相关试验准备工作，确保试验件具备正常试验条件。</w:t>
      </w:r>
    </w:p>
    <w:p w14:paraId="4B1C9AD3">
      <w:pPr>
        <w:tabs>
          <w:tab w:val="left" w:pos="720"/>
        </w:tabs>
        <w:adjustRightInd w:val="0"/>
        <w:snapToGrid w:val="0"/>
        <w:spacing w:line="360" w:lineRule="auto"/>
        <w:ind w:firstLine="420" w:firstLineChars="200"/>
        <w:rPr>
          <w:szCs w:val="21"/>
        </w:rPr>
      </w:pPr>
      <w:r>
        <w:rPr>
          <w:rFonts w:hint="eastAsia"/>
          <w:szCs w:val="21"/>
        </w:rPr>
        <w:t xml:space="preserve">3. </w:t>
      </w:r>
      <w:r>
        <w:rPr>
          <w:szCs w:val="21"/>
        </w:rPr>
        <w:t>测试设备：采用动态压力传感器4个，由投标方负责提供、安装、调试及数据采集，并确保测试设备满足试验要求。</w:t>
      </w:r>
    </w:p>
    <w:p w14:paraId="236C640D">
      <w:pPr>
        <w:tabs>
          <w:tab w:val="left" w:pos="720"/>
        </w:tabs>
        <w:adjustRightInd w:val="0"/>
        <w:snapToGrid w:val="0"/>
        <w:spacing w:line="360" w:lineRule="auto"/>
        <w:ind w:firstLine="420" w:firstLineChars="200"/>
        <w:rPr>
          <w:szCs w:val="21"/>
        </w:rPr>
      </w:pPr>
      <w:r>
        <w:rPr>
          <w:rFonts w:hint="eastAsia"/>
          <w:szCs w:val="21"/>
        </w:rPr>
        <w:t xml:space="preserve">4. </w:t>
      </w:r>
      <w:r>
        <w:rPr>
          <w:szCs w:val="21"/>
        </w:rPr>
        <w:t>试验配合：投标方负责风洞试验期间的技术配合、现场协调及相关技术支持工作，配合完成试验实施。</w:t>
      </w:r>
    </w:p>
    <w:p w14:paraId="10470092">
      <w:pPr>
        <w:tabs>
          <w:tab w:val="left" w:pos="720"/>
        </w:tabs>
        <w:adjustRightInd w:val="0"/>
        <w:snapToGrid w:val="0"/>
        <w:spacing w:line="360" w:lineRule="auto"/>
        <w:ind w:firstLine="420" w:firstLineChars="200"/>
        <w:rPr>
          <w:szCs w:val="21"/>
        </w:rPr>
      </w:pPr>
      <w:r>
        <w:rPr>
          <w:rFonts w:hint="eastAsia"/>
          <w:szCs w:val="21"/>
        </w:rPr>
        <w:t xml:space="preserve">5. </w:t>
      </w:r>
      <w:r>
        <w:rPr>
          <w:szCs w:val="21"/>
        </w:rPr>
        <w:t>数据交付：投标方应提供吹风试验过程中形成的纹影记录、压力传感器记录、流量记录等完整试验数据及原始记录。</w:t>
      </w:r>
    </w:p>
    <w:p w14:paraId="60438E41">
      <w:pPr>
        <w:tabs>
          <w:tab w:val="left" w:pos="720"/>
        </w:tabs>
        <w:adjustRightInd w:val="0"/>
        <w:snapToGrid w:val="0"/>
        <w:spacing w:line="360" w:lineRule="auto"/>
        <w:ind w:firstLine="420" w:firstLineChars="200"/>
        <w:rPr>
          <w:szCs w:val="21"/>
        </w:rPr>
      </w:pPr>
      <w:r>
        <w:rPr>
          <w:rFonts w:hint="eastAsia"/>
          <w:szCs w:val="21"/>
        </w:rPr>
        <w:t xml:space="preserve">6. </w:t>
      </w:r>
      <w:r>
        <w:rPr>
          <w:szCs w:val="21"/>
        </w:rPr>
        <w:t>试验报告：投标方应根据试验结果编制吹风试验报告，内容应包括试验工况、试验过程、测试数据及结果分析等。</w:t>
      </w:r>
    </w:p>
    <w:p w14:paraId="605DB80C">
      <w:pPr>
        <w:tabs>
          <w:tab w:val="left" w:pos="720"/>
        </w:tabs>
        <w:adjustRightInd w:val="0"/>
        <w:snapToGrid w:val="0"/>
        <w:spacing w:line="360" w:lineRule="auto"/>
        <w:ind w:firstLine="422" w:firstLineChars="200"/>
        <w:rPr>
          <w:b/>
          <w:bCs/>
          <w:szCs w:val="21"/>
        </w:rPr>
      </w:pPr>
      <w:r>
        <w:rPr>
          <w:b/>
          <w:bCs/>
          <w:szCs w:val="21"/>
        </w:rPr>
        <w:t>（</w:t>
      </w:r>
      <w:r>
        <w:rPr>
          <w:rFonts w:hint="eastAsia"/>
          <w:b/>
          <w:bCs/>
          <w:szCs w:val="21"/>
        </w:rPr>
        <w:t>六</w:t>
      </w:r>
      <w:r>
        <w:rPr>
          <w:b/>
          <w:bCs/>
          <w:szCs w:val="21"/>
        </w:rPr>
        <w:t>）交付内容</w:t>
      </w:r>
    </w:p>
    <w:p w14:paraId="553936DC">
      <w:pPr>
        <w:tabs>
          <w:tab w:val="left" w:pos="720"/>
        </w:tabs>
        <w:adjustRightInd w:val="0"/>
        <w:snapToGrid w:val="0"/>
        <w:spacing w:line="360" w:lineRule="auto"/>
        <w:ind w:firstLine="420" w:firstLineChars="200"/>
        <w:rPr>
          <w:szCs w:val="21"/>
        </w:rPr>
      </w:pPr>
      <w:r>
        <w:rPr>
          <w:rFonts w:hint="eastAsia"/>
          <w:szCs w:val="21"/>
        </w:rPr>
        <w:t xml:space="preserve">1. </w:t>
      </w:r>
      <w:r>
        <w:rPr>
          <w:szCs w:val="21"/>
        </w:rPr>
        <w:t>进气道试验件整件交付：投标方应交付可调进气道整机1套，包括结构件、调节机构、控制电机、配套驱动器及电机控制程序。</w:t>
      </w:r>
    </w:p>
    <w:p w14:paraId="0EFA8558">
      <w:pPr>
        <w:tabs>
          <w:tab w:val="left" w:pos="720"/>
        </w:tabs>
        <w:adjustRightInd w:val="0"/>
        <w:snapToGrid w:val="0"/>
        <w:spacing w:line="360" w:lineRule="auto"/>
        <w:ind w:firstLine="420" w:firstLineChars="200"/>
        <w:rPr>
          <w:rFonts w:hint="eastAsia"/>
          <w:szCs w:val="21"/>
        </w:rPr>
      </w:pPr>
      <w:r>
        <w:rPr>
          <w:rFonts w:hint="eastAsia"/>
          <w:szCs w:val="21"/>
        </w:rPr>
        <w:t xml:space="preserve">2. </w:t>
      </w:r>
      <w:r>
        <w:rPr>
          <w:szCs w:val="21"/>
        </w:rPr>
        <w:t>三维数字模型交付：投标方应提供完整三维数字模型1套，包括装配模型及零部件模型，模型格式采用UG/NX、CATIA或双方约定的其他格式。</w:t>
      </w:r>
    </w:p>
    <w:p w14:paraId="3BDA3844">
      <w:pPr>
        <w:tabs>
          <w:tab w:val="left" w:pos="720"/>
        </w:tabs>
        <w:adjustRightInd w:val="0"/>
        <w:snapToGrid w:val="0"/>
        <w:spacing w:line="360" w:lineRule="auto"/>
        <w:ind w:firstLine="420" w:firstLineChars="200"/>
        <w:rPr>
          <w:szCs w:val="21"/>
        </w:rPr>
      </w:pPr>
      <w:r>
        <w:rPr>
          <w:rFonts w:hint="eastAsia"/>
          <w:szCs w:val="21"/>
        </w:rPr>
        <w:t xml:space="preserve">3. </w:t>
      </w:r>
      <w:r>
        <w:rPr>
          <w:szCs w:val="21"/>
        </w:rPr>
        <w:t>技术文件交付：投标方应提交结构强度分析报告、出厂检测报告及验收记录。其中，结构强度分析报告应包括关键承力部件及调节机构的静强度分析结果，并满足风洞试验载荷要求。</w:t>
      </w:r>
    </w:p>
    <w:p w14:paraId="3DAD647E">
      <w:pPr>
        <w:tabs>
          <w:tab w:val="left" w:pos="720"/>
        </w:tabs>
        <w:adjustRightInd w:val="0"/>
        <w:snapToGrid w:val="0"/>
        <w:spacing w:line="360" w:lineRule="auto"/>
        <w:ind w:firstLine="420" w:firstLineChars="200"/>
        <w:rPr>
          <w:szCs w:val="21"/>
        </w:rPr>
      </w:pPr>
      <w:r>
        <w:rPr>
          <w:rFonts w:hint="eastAsia"/>
          <w:szCs w:val="21"/>
        </w:rPr>
        <w:t xml:space="preserve">4. </w:t>
      </w:r>
      <w:r>
        <w:rPr>
          <w:szCs w:val="21"/>
        </w:rPr>
        <w:t>试验数据及报告交付：投标方应提供吹风试验过程中形成的纹影记录、压力传感器记录、流量记录及吹风试验报告。</w:t>
      </w:r>
    </w:p>
    <w:p w14:paraId="3B299051">
      <w:pPr>
        <w:tabs>
          <w:tab w:val="left" w:pos="720"/>
        </w:tabs>
        <w:adjustRightInd w:val="0"/>
        <w:snapToGrid w:val="0"/>
        <w:spacing w:line="360" w:lineRule="auto"/>
        <w:ind w:firstLine="420" w:firstLineChars="200"/>
        <w:rPr>
          <w:szCs w:val="21"/>
        </w:rPr>
      </w:pPr>
      <w:r>
        <w:rPr>
          <w:rFonts w:hint="eastAsia"/>
          <w:szCs w:val="21"/>
        </w:rPr>
        <w:t xml:space="preserve">5. </w:t>
      </w:r>
      <w:r>
        <w:rPr>
          <w:szCs w:val="21"/>
        </w:rPr>
        <w:t>现场技术支持：投标方应配合完成风洞试验，并提供试验期间的现场技术支持。</w:t>
      </w:r>
    </w:p>
    <w:p w14:paraId="31490242">
      <w:pPr>
        <w:tabs>
          <w:tab w:val="left" w:pos="720"/>
        </w:tabs>
        <w:adjustRightInd w:val="0"/>
        <w:snapToGrid w:val="0"/>
        <w:spacing w:line="360" w:lineRule="auto"/>
        <w:ind w:firstLine="420" w:firstLineChars="200"/>
        <w:rPr>
          <w:szCs w:val="21"/>
        </w:rPr>
      </w:pPr>
      <w:r>
        <w:rPr>
          <w:rFonts w:hint="eastAsia"/>
          <w:szCs w:val="21"/>
        </w:rPr>
        <w:t>（七</w:t>
      </w:r>
      <w:r>
        <w:rPr>
          <w:szCs w:val="21"/>
        </w:rPr>
        <w:t>）质量、安全与责任要求</w:t>
      </w:r>
    </w:p>
    <w:p w14:paraId="7835A20E">
      <w:pPr>
        <w:adjustRightInd w:val="0"/>
        <w:snapToGrid w:val="0"/>
        <w:spacing w:line="360" w:lineRule="auto"/>
        <w:ind w:firstLine="422" w:firstLineChars="200"/>
        <w:rPr>
          <w:b/>
          <w:bCs/>
          <w:szCs w:val="21"/>
        </w:rPr>
      </w:pPr>
      <w:r>
        <w:rPr>
          <w:b/>
          <w:bCs/>
          <w:szCs w:val="21"/>
        </w:rPr>
        <w:t>1. 设计责任：</w:t>
      </w:r>
    </w:p>
    <w:p w14:paraId="7D6640CA">
      <w:pPr>
        <w:adjustRightInd w:val="0"/>
        <w:snapToGrid w:val="0"/>
        <w:spacing w:line="360" w:lineRule="auto"/>
        <w:ind w:firstLine="420" w:firstLineChars="200"/>
        <w:rPr>
          <w:szCs w:val="21"/>
        </w:rPr>
      </w:pPr>
      <w:r>
        <w:rPr>
          <w:szCs w:val="21"/>
        </w:rPr>
        <w:t>投标人应对试验件结构设计、调节机构设计、控制系统设计及相关设计文件的完整性和正确性负责，并确保设计满足合同约定的技术指标及风洞试验载荷要求。因设计缺陷导致试验件无法满足使用或试验要求的，由投标人负责整改，并承担由此产生的相关费用。</w:t>
      </w:r>
    </w:p>
    <w:p w14:paraId="0B0EA280">
      <w:pPr>
        <w:adjustRightInd w:val="0"/>
        <w:snapToGrid w:val="0"/>
        <w:spacing w:line="360" w:lineRule="auto"/>
        <w:ind w:firstLine="422" w:firstLineChars="200"/>
        <w:rPr>
          <w:b/>
          <w:bCs/>
          <w:szCs w:val="21"/>
        </w:rPr>
      </w:pPr>
      <w:r>
        <w:rPr>
          <w:b/>
          <w:bCs/>
          <w:szCs w:val="21"/>
        </w:rPr>
        <w:t>2. 加工责任：</w:t>
      </w:r>
    </w:p>
    <w:p w14:paraId="1D1B44B8">
      <w:pPr>
        <w:adjustRightInd w:val="0"/>
        <w:snapToGrid w:val="0"/>
        <w:spacing w:line="360" w:lineRule="auto"/>
        <w:ind w:firstLine="420" w:firstLineChars="200"/>
        <w:rPr>
          <w:szCs w:val="21"/>
        </w:rPr>
      </w:pPr>
      <w:r>
        <w:rPr>
          <w:szCs w:val="21"/>
        </w:rPr>
        <w:t>投标人对试验件加工质量负全责。出现不合格品的，须在30日内完成重制，相关费用及由此造成的损失由投标人承担。</w:t>
      </w:r>
    </w:p>
    <w:p w14:paraId="2802F9B1">
      <w:pPr>
        <w:adjustRightInd w:val="0"/>
        <w:snapToGrid w:val="0"/>
        <w:spacing w:line="360" w:lineRule="auto"/>
        <w:ind w:firstLine="422" w:firstLineChars="200"/>
        <w:rPr>
          <w:b/>
          <w:bCs/>
          <w:szCs w:val="21"/>
        </w:rPr>
      </w:pPr>
      <w:r>
        <w:rPr>
          <w:b/>
          <w:bCs/>
          <w:szCs w:val="21"/>
        </w:rPr>
        <w:t>3. 运输责任：</w:t>
      </w:r>
    </w:p>
    <w:p w14:paraId="0734EB26">
      <w:pPr>
        <w:adjustRightInd w:val="0"/>
        <w:snapToGrid w:val="0"/>
        <w:spacing w:line="360" w:lineRule="auto"/>
        <w:ind w:firstLine="420" w:firstLineChars="200"/>
        <w:rPr>
          <w:szCs w:val="21"/>
        </w:rPr>
      </w:pPr>
      <w:r>
        <w:rPr>
          <w:szCs w:val="21"/>
        </w:rPr>
        <w:t>试验件运输全过程的安全由投标人负责。因运输造成试验件损伤的，由投标人负责免费修复；无法修复的，应在30日内完成重制，相关费用由投标人承担。</w:t>
      </w:r>
    </w:p>
    <w:p w14:paraId="6F1476BC">
      <w:pPr>
        <w:adjustRightInd w:val="0"/>
        <w:snapToGrid w:val="0"/>
        <w:spacing w:line="360" w:lineRule="auto"/>
        <w:ind w:firstLine="422" w:firstLineChars="200"/>
        <w:rPr>
          <w:b/>
          <w:bCs/>
          <w:szCs w:val="21"/>
        </w:rPr>
      </w:pPr>
      <w:r>
        <w:rPr>
          <w:b/>
          <w:bCs/>
          <w:szCs w:val="21"/>
        </w:rPr>
        <w:t>4. 质保责任：</w:t>
      </w:r>
    </w:p>
    <w:p w14:paraId="05E9C817">
      <w:pPr>
        <w:adjustRightInd w:val="0"/>
        <w:snapToGrid w:val="0"/>
        <w:spacing w:line="360" w:lineRule="auto"/>
        <w:ind w:firstLine="420" w:firstLineChars="200"/>
        <w:rPr>
          <w:szCs w:val="21"/>
        </w:rPr>
      </w:pPr>
      <w:r>
        <w:rPr>
          <w:szCs w:val="21"/>
        </w:rPr>
        <w:t>质保期内因设计、加工、装配或</w:t>
      </w:r>
      <w:r>
        <w:rPr>
          <w:color w:val="000000" w:themeColor="text1"/>
          <w:szCs w:val="21"/>
          <w14:textFill>
            <w14:solidFill>
              <w14:schemeClr w14:val="tx1"/>
            </w14:solidFill>
          </w14:textFill>
        </w:rPr>
        <w:t>调节控制</w:t>
      </w:r>
      <w:r>
        <w:rPr>
          <w:szCs w:val="21"/>
        </w:rPr>
        <w:t>系统等投标人原因出现问题的，投标人应在7日内提出处理方案，并负责免费返修或更换。</w:t>
      </w:r>
    </w:p>
    <w:p w14:paraId="23D6E2E5">
      <w:pPr>
        <w:adjustRightInd w:val="0"/>
        <w:snapToGrid w:val="0"/>
        <w:spacing w:line="360" w:lineRule="auto"/>
        <w:ind w:firstLine="422" w:firstLineChars="200"/>
        <w:rPr>
          <w:b/>
          <w:bCs/>
          <w:szCs w:val="21"/>
        </w:rPr>
      </w:pPr>
      <w:r>
        <w:rPr>
          <w:b/>
          <w:bCs/>
          <w:szCs w:val="21"/>
        </w:rPr>
        <w:t>5. 质量管理与安全要求：</w:t>
      </w:r>
    </w:p>
    <w:p w14:paraId="7E75200C">
      <w:pPr>
        <w:adjustRightInd w:val="0"/>
        <w:snapToGrid w:val="0"/>
        <w:spacing w:line="360" w:lineRule="auto"/>
        <w:ind w:firstLine="420" w:firstLineChars="200"/>
        <w:rPr>
          <w:szCs w:val="21"/>
        </w:rPr>
      </w:pPr>
      <w:r>
        <w:rPr>
          <w:szCs w:val="21"/>
        </w:rPr>
        <w:t>投标人应严格遵守国家及相关单位安全生产规定，因投标人原因或违规操作造成的安全事故及相关损失，由投标人承担相应责任。</w:t>
      </w:r>
    </w:p>
    <w:p w14:paraId="313B5C8B">
      <w:pPr>
        <w:adjustRightInd w:val="0"/>
        <w:snapToGrid w:val="0"/>
        <w:spacing w:line="360" w:lineRule="auto"/>
        <w:ind w:firstLine="422" w:firstLineChars="200"/>
        <w:rPr>
          <w:b/>
          <w:bCs/>
          <w:szCs w:val="21"/>
        </w:rPr>
      </w:pPr>
      <w:r>
        <w:rPr>
          <w:b/>
          <w:bCs/>
          <w:szCs w:val="21"/>
        </w:rPr>
        <w:t>6. 吹风试验责任：</w:t>
      </w:r>
    </w:p>
    <w:p w14:paraId="146D2F1D">
      <w:pPr>
        <w:adjustRightInd w:val="0"/>
        <w:snapToGrid w:val="0"/>
        <w:spacing w:line="360" w:lineRule="auto"/>
        <w:ind w:firstLine="420" w:firstLineChars="200"/>
        <w:rPr>
          <w:szCs w:val="21"/>
        </w:rPr>
      </w:pPr>
      <w:r>
        <w:rPr>
          <w:szCs w:val="21"/>
        </w:rPr>
        <w:t>投标人应按照合同约定配合开展风洞吹风试验，提供必要的现场技术支持。因试验件设计、加工、装配或调节控制系统质量问题影响吹风试验的，投标人应及时处理并承担由此产生的相关费用。</w:t>
      </w:r>
    </w:p>
    <w:p w14:paraId="0E502799">
      <w:pPr>
        <w:tabs>
          <w:tab w:val="left" w:pos="900"/>
        </w:tabs>
        <w:adjustRightInd w:val="0"/>
        <w:snapToGrid w:val="0"/>
        <w:spacing w:line="360" w:lineRule="auto"/>
        <w:ind w:firstLine="422" w:firstLineChars="200"/>
        <w:rPr>
          <w:rFonts w:hAnsi="宋体"/>
          <w:b/>
          <w:szCs w:val="21"/>
        </w:rPr>
      </w:pPr>
      <w:r>
        <w:rPr>
          <w:rFonts w:hint="eastAsia" w:hAnsi="宋体"/>
          <w:b/>
          <w:szCs w:val="21"/>
        </w:rPr>
        <w:t>五、采购标的需满足的服务标准、期限、效率等要求</w:t>
      </w:r>
    </w:p>
    <w:p w14:paraId="1D8DFDC5">
      <w:pPr>
        <w:tabs>
          <w:tab w:val="left" w:pos="420"/>
          <w:tab w:val="left" w:pos="900"/>
        </w:tabs>
        <w:adjustRightInd w:val="0"/>
        <w:snapToGrid w:val="0"/>
        <w:spacing w:line="360" w:lineRule="auto"/>
        <w:ind w:firstLine="420" w:firstLineChars="200"/>
        <w:rPr>
          <w:rFonts w:ascii="宋体" w:hAnsi="宋体"/>
          <w:szCs w:val="21"/>
        </w:rPr>
      </w:pPr>
      <w:r>
        <w:rPr>
          <w:rFonts w:hint="eastAsia" w:ascii="宋体" w:hAnsi="宋体"/>
          <w:szCs w:val="21"/>
        </w:rPr>
        <w:t>（一）质保期： 不少于</w:t>
      </w:r>
      <w:r>
        <w:rPr>
          <w:rFonts w:ascii="宋体" w:hAnsi="宋体"/>
          <w:szCs w:val="21"/>
          <w:u w:val="single"/>
        </w:rPr>
        <w:t xml:space="preserve">   3   </w:t>
      </w:r>
      <w:r>
        <w:rPr>
          <w:rFonts w:hint="eastAsia" w:ascii="宋体" w:hAnsi="宋体"/>
          <w:szCs w:val="21"/>
        </w:rPr>
        <w:t>年。</w:t>
      </w:r>
    </w:p>
    <w:p w14:paraId="446C43F0">
      <w:pPr>
        <w:tabs>
          <w:tab w:val="left" w:pos="420"/>
          <w:tab w:val="left" w:pos="900"/>
        </w:tabs>
        <w:adjustRightInd w:val="0"/>
        <w:snapToGrid w:val="0"/>
        <w:spacing w:line="360" w:lineRule="auto"/>
        <w:ind w:firstLine="420" w:firstLineChars="200"/>
        <w:rPr>
          <w:rFonts w:ascii="宋体" w:hAnsi="宋体"/>
          <w:szCs w:val="21"/>
        </w:rPr>
      </w:pPr>
      <w:r>
        <w:rPr>
          <w:rFonts w:hint="eastAsia" w:ascii="宋体" w:hAnsi="宋体"/>
          <w:szCs w:val="21"/>
        </w:rPr>
        <w:t>（二）服务响应时间：接到维修电话后4小时内给予明确答复，</w:t>
      </w:r>
      <w:r>
        <w:rPr>
          <w:rFonts w:ascii="宋体" w:hAnsi="宋体"/>
          <w:szCs w:val="21"/>
        </w:rPr>
        <w:t>24</w:t>
      </w:r>
      <w:r>
        <w:rPr>
          <w:rFonts w:hint="eastAsia" w:ascii="宋体" w:hAnsi="宋体"/>
          <w:szCs w:val="21"/>
        </w:rPr>
        <w:t>小时内到达现场维修。维修人员到现场后若问题特殊无法现场修复的，投标人需在</w:t>
      </w:r>
      <w:r>
        <w:rPr>
          <w:rFonts w:ascii="宋体" w:hAnsi="宋体"/>
          <w:szCs w:val="21"/>
        </w:rPr>
        <w:t>48</w:t>
      </w:r>
      <w:r>
        <w:rPr>
          <w:rFonts w:hint="eastAsia" w:ascii="宋体" w:hAnsi="宋体"/>
          <w:szCs w:val="21"/>
        </w:rPr>
        <w:t>小时内给出合理解决方案。</w:t>
      </w:r>
    </w:p>
    <w:p w14:paraId="79F6240D">
      <w:pPr>
        <w:tabs>
          <w:tab w:val="left" w:pos="420"/>
          <w:tab w:val="left" w:pos="900"/>
        </w:tabs>
        <w:adjustRightInd w:val="0"/>
        <w:snapToGrid w:val="0"/>
        <w:spacing w:line="360" w:lineRule="auto"/>
        <w:ind w:firstLine="420" w:firstLineChars="200"/>
        <w:rPr>
          <w:rFonts w:ascii="宋体" w:hAnsi="宋体"/>
          <w:szCs w:val="21"/>
        </w:rPr>
      </w:pPr>
      <w:r>
        <w:rPr>
          <w:rFonts w:hint="eastAsia" w:ascii="宋体" w:hAnsi="宋体"/>
          <w:szCs w:val="21"/>
        </w:rPr>
        <w:t>（三）</w:t>
      </w:r>
      <w:r>
        <w:rPr>
          <w:rFonts w:ascii="宋体" w:hAnsi="宋体"/>
          <w:szCs w:val="21"/>
        </w:rPr>
        <w:t>培训</w:t>
      </w:r>
      <w:r>
        <w:rPr>
          <w:rFonts w:hint="eastAsia" w:ascii="宋体" w:hAnsi="宋体"/>
          <w:szCs w:val="21"/>
        </w:rPr>
        <w:t>要求：投标人需</w:t>
      </w:r>
      <w:r>
        <w:rPr>
          <w:rFonts w:ascii="宋体" w:hAnsi="宋体"/>
          <w:szCs w:val="21"/>
        </w:rPr>
        <w:t>提供培训电子资料及视频；免费为用户培训至少</w:t>
      </w:r>
      <w:r>
        <w:rPr>
          <w:rFonts w:ascii="宋体" w:hAnsi="宋体"/>
          <w:szCs w:val="21"/>
          <w:u w:val="single"/>
        </w:rPr>
        <w:t xml:space="preserve">  2  </w:t>
      </w:r>
      <w:r>
        <w:rPr>
          <w:rFonts w:ascii="宋体" w:hAnsi="宋体"/>
          <w:szCs w:val="21"/>
        </w:rPr>
        <w:t>名操作人员进行为期至少</w:t>
      </w:r>
      <w:r>
        <w:rPr>
          <w:rFonts w:ascii="宋体" w:hAnsi="宋体"/>
          <w:szCs w:val="21"/>
          <w:u w:val="single"/>
        </w:rPr>
        <w:t xml:space="preserve">  1  </w:t>
      </w:r>
      <w:r>
        <w:rPr>
          <w:rFonts w:ascii="宋体" w:hAnsi="宋体"/>
          <w:szCs w:val="21"/>
        </w:rPr>
        <w:t>天的现场操作培训以及应用培训，保证用户掌握有关设备的使用、维护、管理和应用等工作要求</w:t>
      </w:r>
      <w:r>
        <w:rPr>
          <w:rFonts w:hint="eastAsia" w:ascii="宋体" w:hAnsi="宋体"/>
          <w:szCs w:val="21"/>
        </w:rPr>
        <w:t>；同时提供</w:t>
      </w:r>
      <w:r>
        <w:rPr>
          <w:rFonts w:ascii="宋体" w:hAnsi="宋体"/>
          <w:szCs w:val="21"/>
        </w:rPr>
        <w:t>不定期的免费提供相关设备应用方面的技术咨询等。</w:t>
      </w:r>
    </w:p>
    <w:p w14:paraId="087735E4">
      <w:pPr>
        <w:tabs>
          <w:tab w:val="left" w:pos="420"/>
          <w:tab w:val="left" w:pos="900"/>
        </w:tabs>
        <w:adjustRightInd w:val="0"/>
        <w:snapToGrid w:val="0"/>
        <w:spacing w:line="360" w:lineRule="auto"/>
        <w:ind w:firstLine="422" w:firstLineChars="200"/>
        <w:rPr>
          <w:rFonts w:ascii="宋体" w:hAnsi="宋体"/>
          <w:b/>
          <w:bCs/>
          <w:szCs w:val="21"/>
        </w:rPr>
      </w:pPr>
      <w:r>
        <w:rPr>
          <w:rFonts w:hint="eastAsia" w:ascii="宋体" w:hAnsi="宋体"/>
          <w:b/>
          <w:bCs/>
          <w:szCs w:val="21"/>
        </w:rPr>
        <w:t>（四）供应商提供进口设备的，须在投标（响应）文件中明确外贸合同卖方信息。</w:t>
      </w:r>
    </w:p>
    <w:p w14:paraId="250BAB25">
      <w:pPr>
        <w:tabs>
          <w:tab w:val="left" w:pos="420"/>
          <w:tab w:val="left" w:pos="900"/>
        </w:tabs>
        <w:adjustRightInd w:val="0"/>
        <w:snapToGrid w:val="0"/>
        <w:spacing w:line="360" w:lineRule="auto"/>
        <w:ind w:firstLine="422" w:firstLineChars="200"/>
        <w:rPr>
          <w:rFonts w:ascii="宋体" w:hAnsi="宋体"/>
          <w:b/>
          <w:szCs w:val="21"/>
        </w:rPr>
      </w:pPr>
      <w:r>
        <w:rPr>
          <w:rFonts w:hint="eastAsia" w:ascii="宋体" w:hAnsi="宋体"/>
          <w:b/>
          <w:szCs w:val="21"/>
        </w:rPr>
        <w:t>六、</w:t>
      </w:r>
      <w:r>
        <w:rPr>
          <w:rFonts w:ascii="宋体" w:hAnsi="宋体"/>
          <w:b/>
          <w:szCs w:val="21"/>
        </w:rPr>
        <w:t>采购标的的</w:t>
      </w:r>
      <w:r>
        <w:rPr>
          <w:rFonts w:hint="eastAsia" w:ascii="宋体" w:hAnsi="宋体"/>
          <w:b/>
          <w:szCs w:val="21"/>
        </w:rPr>
        <w:t>履约验收标准</w:t>
      </w:r>
    </w:p>
    <w:bookmarkEnd w:id="1"/>
    <w:bookmarkEnd w:id="2"/>
    <w:bookmarkEnd w:id="3"/>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5"/>
        <w:gridCol w:w="3694"/>
        <w:gridCol w:w="4601"/>
      </w:tblGrid>
      <w:tr w14:paraId="7ECB7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9060" w:type="dxa"/>
            <w:gridSpan w:val="3"/>
            <w:vAlign w:val="center"/>
          </w:tcPr>
          <w:p w14:paraId="7541F7C7">
            <w:pPr>
              <w:widowControl/>
              <w:adjustRightInd w:val="0"/>
              <w:snapToGrid w:val="0"/>
              <w:jc w:val="left"/>
              <w:textAlignment w:val="baseline"/>
              <w:rPr>
                <w:rFonts w:ascii="宋体" w:hAnsi="宋体"/>
                <w:b/>
                <w:bCs/>
                <w:color w:val="000000"/>
                <w:kern w:val="0"/>
                <w:szCs w:val="21"/>
              </w:rPr>
            </w:pPr>
            <w:bookmarkStart w:id="5" w:name="OLE_LINK3"/>
            <w:r>
              <w:rPr>
                <w:rFonts w:hint="eastAsia" w:ascii="宋体" w:hAnsi="宋体"/>
                <w:b/>
                <w:bCs/>
                <w:color w:val="000000"/>
                <w:kern w:val="0"/>
                <w:szCs w:val="21"/>
              </w:rPr>
              <w:t>一、货物类项目验收要求</w:t>
            </w:r>
          </w:p>
        </w:tc>
      </w:tr>
      <w:tr w14:paraId="1BB82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5" w:type="dxa"/>
            <w:vAlign w:val="center"/>
          </w:tcPr>
          <w:p w14:paraId="5E00C0EC">
            <w:pPr>
              <w:widowControl/>
              <w:adjustRightInd w:val="0"/>
              <w:snapToGrid w:val="0"/>
              <w:jc w:val="center"/>
              <w:textAlignment w:val="baseline"/>
              <w:rPr>
                <w:rFonts w:ascii="宋体" w:hAnsi="宋体"/>
                <w:color w:val="000000"/>
                <w:kern w:val="0"/>
                <w:szCs w:val="21"/>
              </w:rPr>
            </w:pPr>
            <w:r>
              <w:rPr>
                <w:rFonts w:hint="eastAsia" w:ascii="宋体" w:hAnsi="宋体"/>
                <w:color w:val="000000"/>
                <w:kern w:val="0"/>
                <w:szCs w:val="21"/>
              </w:rPr>
              <w:t>序号</w:t>
            </w:r>
          </w:p>
        </w:tc>
        <w:tc>
          <w:tcPr>
            <w:tcW w:w="3694" w:type="dxa"/>
            <w:vAlign w:val="center"/>
          </w:tcPr>
          <w:p w14:paraId="5DF60775">
            <w:pPr>
              <w:widowControl/>
              <w:adjustRightInd w:val="0"/>
              <w:snapToGrid w:val="0"/>
              <w:jc w:val="center"/>
              <w:textAlignment w:val="baseline"/>
              <w:rPr>
                <w:rFonts w:ascii="宋体" w:hAnsi="宋体"/>
                <w:color w:val="000000"/>
                <w:kern w:val="0"/>
                <w:szCs w:val="21"/>
              </w:rPr>
            </w:pPr>
            <w:r>
              <w:rPr>
                <w:rFonts w:hint="eastAsia" w:ascii="宋体" w:hAnsi="宋体"/>
                <w:color w:val="000000"/>
                <w:kern w:val="0"/>
                <w:szCs w:val="21"/>
              </w:rPr>
              <w:t>功能或指标</w:t>
            </w:r>
          </w:p>
        </w:tc>
        <w:tc>
          <w:tcPr>
            <w:tcW w:w="4601" w:type="dxa"/>
            <w:vAlign w:val="center"/>
          </w:tcPr>
          <w:p w14:paraId="4288F8A8">
            <w:pPr>
              <w:widowControl/>
              <w:adjustRightInd w:val="0"/>
              <w:snapToGrid w:val="0"/>
              <w:jc w:val="center"/>
              <w:textAlignment w:val="baseline"/>
              <w:rPr>
                <w:rFonts w:ascii="宋体" w:hAnsi="宋体"/>
                <w:color w:val="000000"/>
                <w:kern w:val="0"/>
                <w:szCs w:val="21"/>
              </w:rPr>
            </w:pPr>
            <w:r>
              <w:rPr>
                <w:rFonts w:hint="eastAsia" w:ascii="宋体" w:hAnsi="宋体"/>
                <w:color w:val="000000"/>
                <w:kern w:val="0"/>
                <w:szCs w:val="21"/>
              </w:rPr>
              <w:t>验收或测试方法</w:t>
            </w:r>
          </w:p>
        </w:tc>
      </w:tr>
      <w:tr w14:paraId="4DD1E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60" w:type="dxa"/>
            <w:gridSpan w:val="3"/>
            <w:vAlign w:val="center"/>
          </w:tcPr>
          <w:p w14:paraId="02C15476">
            <w:pPr>
              <w:widowControl/>
              <w:adjustRightInd w:val="0"/>
              <w:snapToGrid w:val="0"/>
              <w:jc w:val="left"/>
              <w:textAlignment w:val="baseline"/>
              <w:rPr>
                <w:rFonts w:ascii="宋体" w:hAnsi="宋体"/>
                <w:b/>
                <w:color w:val="000000"/>
                <w:kern w:val="0"/>
                <w:szCs w:val="21"/>
              </w:rPr>
            </w:pPr>
            <w:r>
              <w:rPr>
                <w:rFonts w:hint="eastAsia" w:ascii="宋体" w:hAnsi="宋体"/>
                <w:b/>
                <w:color w:val="000000"/>
                <w:kern w:val="0"/>
                <w:szCs w:val="21"/>
              </w:rPr>
              <w:t>项目建设单位验收要求：</w:t>
            </w:r>
          </w:p>
        </w:tc>
      </w:tr>
      <w:tr w14:paraId="5919C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5" w:type="dxa"/>
            <w:vAlign w:val="center"/>
          </w:tcPr>
          <w:p w14:paraId="097B8444">
            <w:pPr>
              <w:widowControl/>
              <w:adjustRightInd w:val="0"/>
              <w:snapToGrid w:val="0"/>
              <w:jc w:val="center"/>
              <w:textAlignment w:val="baseline"/>
              <w:rPr>
                <w:rFonts w:ascii="宋体" w:hAnsi="宋体"/>
                <w:color w:val="000000"/>
                <w:kern w:val="0"/>
                <w:szCs w:val="21"/>
              </w:rPr>
            </w:pPr>
            <w:r>
              <w:rPr>
                <w:rFonts w:ascii="宋体" w:hAnsi="宋体"/>
                <w:color w:val="000000"/>
                <w:kern w:val="0"/>
                <w:szCs w:val="21"/>
              </w:rPr>
              <w:t>1</w:t>
            </w:r>
          </w:p>
        </w:tc>
        <w:tc>
          <w:tcPr>
            <w:tcW w:w="3694" w:type="dxa"/>
            <w:vAlign w:val="center"/>
          </w:tcPr>
          <w:p w14:paraId="628DDD59">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货物外包装与外观无损伤</w:t>
            </w:r>
          </w:p>
        </w:tc>
        <w:tc>
          <w:tcPr>
            <w:tcW w:w="4601" w:type="dxa"/>
            <w:vAlign w:val="center"/>
          </w:tcPr>
          <w:p w14:paraId="77718575">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现场核查</w:t>
            </w:r>
          </w:p>
        </w:tc>
      </w:tr>
      <w:tr w14:paraId="3668E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5" w:type="dxa"/>
            <w:vAlign w:val="center"/>
          </w:tcPr>
          <w:p w14:paraId="4D5202A4">
            <w:pPr>
              <w:widowControl/>
              <w:adjustRightInd w:val="0"/>
              <w:snapToGrid w:val="0"/>
              <w:jc w:val="center"/>
              <w:textAlignment w:val="baseline"/>
              <w:rPr>
                <w:rFonts w:ascii="宋体" w:hAnsi="宋体"/>
                <w:color w:val="000000"/>
                <w:kern w:val="0"/>
                <w:szCs w:val="21"/>
              </w:rPr>
            </w:pPr>
            <w:r>
              <w:rPr>
                <w:rFonts w:ascii="宋体" w:hAnsi="宋体"/>
                <w:color w:val="000000"/>
                <w:kern w:val="0"/>
                <w:szCs w:val="21"/>
              </w:rPr>
              <w:t>2</w:t>
            </w:r>
          </w:p>
        </w:tc>
        <w:tc>
          <w:tcPr>
            <w:tcW w:w="3694" w:type="dxa"/>
            <w:vAlign w:val="center"/>
          </w:tcPr>
          <w:p w14:paraId="5E3C1A74">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货物配置、包括备品备件、耗品耗材等提供齐全，货物实物品牌、规格、型号、配置数量与采购结果、合同约定相符。</w:t>
            </w:r>
          </w:p>
        </w:tc>
        <w:tc>
          <w:tcPr>
            <w:tcW w:w="4601" w:type="dxa"/>
            <w:vAlign w:val="center"/>
          </w:tcPr>
          <w:p w14:paraId="42CFBBEB">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依据《合同》及其附件（包括但不限于《采购需求》《供应商投标（响应）文件》《投标澄清函》《技术协议》等）约定，现场核查。</w:t>
            </w:r>
          </w:p>
        </w:tc>
      </w:tr>
      <w:tr w14:paraId="5150B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5" w:type="dxa"/>
            <w:vAlign w:val="center"/>
          </w:tcPr>
          <w:p w14:paraId="72C4659C">
            <w:pPr>
              <w:widowControl/>
              <w:adjustRightInd w:val="0"/>
              <w:snapToGrid w:val="0"/>
              <w:jc w:val="center"/>
              <w:textAlignment w:val="baseline"/>
              <w:rPr>
                <w:rFonts w:ascii="宋体" w:hAnsi="宋体"/>
                <w:color w:val="000000"/>
                <w:kern w:val="0"/>
                <w:szCs w:val="21"/>
              </w:rPr>
            </w:pPr>
            <w:r>
              <w:rPr>
                <w:rFonts w:ascii="宋体" w:hAnsi="宋体"/>
                <w:color w:val="000000"/>
                <w:kern w:val="0"/>
                <w:szCs w:val="21"/>
              </w:rPr>
              <w:t>3</w:t>
            </w:r>
          </w:p>
        </w:tc>
        <w:tc>
          <w:tcPr>
            <w:tcW w:w="3694" w:type="dxa"/>
            <w:vAlign w:val="center"/>
          </w:tcPr>
          <w:p w14:paraId="737AFF37">
            <w:pPr>
              <w:widowControl/>
              <w:adjustRightInd w:val="0"/>
              <w:snapToGrid w:val="0"/>
              <w:textAlignment w:val="baseline"/>
              <w:rPr>
                <w:rFonts w:ascii="宋体" w:hAnsi="宋体"/>
                <w:color w:val="000000" w:themeColor="text1"/>
                <w:kern w:val="0"/>
                <w:szCs w:val="21"/>
                <w14:textFill>
                  <w14:solidFill>
                    <w14:schemeClr w14:val="tx1"/>
                  </w14:solidFill>
                </w14:textFill>
              </w:rPr>
            </w:pPr>
            <w:r>
              <w:rPr>
                <w:rFonts w:hint="eastAsia" w:ascii="宋体" w:hAnsi="宋体"/>
                <w:color w:val="000000"/>
                <w:kern w:val="0"/>
                <w:szCs w:val="21"/>
              </w:rPr>
              <w:t>所有功能和指标参数（包括边界极限值）达到采购结果合同约定要求。</w:t>
            </w:r>
          </w:p>
        </w:tc>
        <w:tc>
          <w:tcPr>
            <w:tcW w:w="4601" w:type="dxa"/>
            <w:vAlign w:val="center"/>
          </w:tcPr>
          <w:p w14:paraId="509DD066">
            <w:pPr>
              <w:adjustRightInd w:val="0"/>
              <w:snapToGrid w:val="0"/>
              <w:rPr>
                <w:rFonts w:ascii="宋体" w:hAnsi="宋体"/>
                <w:kern w:val="0"/>
                <w:szCs w:val="21"/>
              </w:rPr>
            </w:pPr>
            <w:r>
              <w:rPr>
                <w:rFonts w:hint="eastAsia" w:ascii="宋体" w:hAnsi="宋体"/>
                <w:color w:val="000000"/>
                <w:kern w:val="0"/>
                <w:szCs w:val="21"/>
              </w:rPr>
              <w:t>依据《合同》及其附件（包括但不限于《采购需求》《供应商投标（响应）文件》《投标澄清函》《技术协议》等）约定，通过现场核查、现场测试、供应商应提供《供应商货物类项目完工报告》《产品出厂检测报告》《产品合格证书》《第三方检测报告》（如有）等一种或多种方式进行验收。</w:t>
            </w:r>
          </w:p>
        </w:tc>
      </w:tr>
      <w:tr w14:paraId="1AFC3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5" w:type="dxa"/>
            <w:vAlign w:val="center"/>
          </w:tcPr>
          <w:p w14:paraId="20814624">
            <w:pPr>
              <w:widowControl/>
              <w:adjustRightInd w:val="0"/>
              <w:snapToGrid w:val="0"/>
              <w:jc w:val="center"/>
              <w:textAlignment w:val="baseline"/>
              <w:rPr>
                <w:rFonts w:ascii="宋体" w:hAnsi="宋体"/>
                <w:color w:val="000000"/>
                <w:kern w:val="0"/>
                <w:szCs w:val="21"/>
              </w:rPr>
            </w:pPr>
            <w:r>
              <w:rPr>
                <w:rFonts w:ascii="宋体" w:hAnsi="宋体"/>
                <w:color w:val="000000"/>
                <w:kern w:val="0"/>
                <w:szCs w:val="21"/>
              </w:rPr>
              <w:t>4</w:t>
            </w:r>
          </w:p>
        </w:tc>
        <w:tc>
          <w:tcPr>
            <w:tcW w:w="3694" w:type="dxa"/>
            <w:vAlign w:val="center"/>
          </w:tcPr>
          <w:p w14:paraId="1A6C95FE">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培训等合同服务要求完成情况。</w:t>
            </w:r>
          </w:p>
        </w:tc>
        <w:tc>
          <w:tcPr>
            <w:tcW w:w="4601" w:type="dxa"/>
            <w:vAlign w:val="center"/>
          </w:tcPr>
          <w:p w14:paraId="52C2EC9E">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现场核查。供应商须根据合同约定提供《培训视频》影像资料等。</w:t>
            </w:r>
          </w:p>
        </w:tc>
      </w:tr>
      <w:tr w14:paraId="08382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5" w:type="dxa"/>
            <w:vAlign w:val="center"/>
          </w:tcPr>
          <w:p w14:paraId="59DD5624">
            <w:pPr>
              <w:widowControl/>
              <w:adjustRightInd w:val="0"/>
              <w:snapToGrid w:val="0"/>
              <w:jc w:val="center"/>
              <w:textAlignment w:val="baseline"/>
              <w:rPr>
                <w:rFonts w:ascii="宋体" w:hAnsi="宋体"/>
                <w:color w:val="000000"/>
                <w:kern w:val="0"/>
                <w:szCs w:val="21"/>
              </w:rPr>
            </w:pPr>
            <w:r>
              <w:rPr>
                <w:rFonts w:ascii="宋体" w:hAnsi="宋体"/>
                <w:color w:val="000000"/>
                <w:kern w:val="0"/>
                <w:szCs w:val="21"/>
              </w:rPr>
              <w:t>5</w:t>
            </w:r>
          </w:p>
        </w:tc>
        <w:tc>
          <w:tcPr>
            <w:tcW w:w="3694" w:type="dxa"/>
            <w:vAlign w:val="center"/>
          </w:tcPr>
          <w:p w14:paraId="1B3E98A5">
            <w:pPr>
              <w:widowControl/>
              <w:adjustRightInd w:val="0"/>
              <w:snapToGrid w:val="0"/>
              <w:textAlignment w:val="baseline"/>
              <w:rPr>
                <w:rFonts w:ascii="宋体" w:hAnsi="宋体"/>
                <w:color w:val="000000" w:themeColor="text1"/>
                <w:kern w:val="0"/>
                <w:szCs w:val="21"/>
                <w14:textFill>
                  <w14:solidFill>
                    <w14:schemeClr w14:val="tx1"/>
                  </w14:solidFill>
                </w14:textFill>
              </w:rPr>
            </w:pPr>
            <w:r>
              <w:rPr>
                <w:rFonts w:hint="eastAsia" w:ascii="宋体" w:hAnsi="宋体"/>
                <w:color w:val="000000"/>
                <w:kern w:val="0"/>
                <w:szCs w:val="21"/>
              </w:rPr>
              <w:t>验证测试设备的运行稳定性</w:t>
            </w:r>
          </w:p>
        </w:tc>
        <w:tc>
          <w:tcPr>
            <w:tcW w:w="4601" w:type="dxa"/>
            <w:vAlign w:val="center"/>
          </w:tcPr>
          <w:p w14:paraId="4B72A531">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试运行验证测试设备运行稳定达标</w:t>
            </w:r>
          </w:p>
        </w:tc>
      </w:tr>
      <w:tr w14:paraId="66010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5" w:type="dxa"/>
            <w:vAlign w:val="center"/>
          </w:tcPr>
          <w:p w14:paraId="6DFA2F36">
            <w:pPr>
              <w:widowControl/>
              <w:adjustRightInd w:val="0"/>
              <w:snapToGrid w:val="0"/>
              <w:jc w:val="center"/>
              <w:textAlignment w:val="baseline"/>
              <w:rPr>
                <w:rFonts w:ascii="宋体" w:hAnsi="宋体"/>
                <w:color w:val="000000"/>
                <w:kern w:val="0"/>
                <w:szCs w:val="21"/>
              </w:rPr>
            </w:pPr>
            <w:r>
              <w:rPr>
                <w:rFonts w:ascii="宋体" w:hAnsi="宋体"/>
                <w:color w:val="000000"/>
                <w:kern w:val="0"/>
                <w:szCs w:val="21"/>
              </w:rPr>
              <w:t>6</w:t>
            </w:r>
          </w:p>
        </w:tc>
        <w:tc>
          <w:tcPr>
            <w:tcW w:w="8295" w:type="dxa"/>
            <w:gridSpan w:val="2"/>
            <w:vAlign w:val="center"/>
          </w:tcPr>
          <w:p w14:paraId="31F21E15">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提示：</w:t>
            </w:r>
          </w:p>
          <w:p w14:paraId="3078E206">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1.经费负责人应当按照采购合同及其附件规定的每一项技术、服务、安全标准组织对供应商履约情况进行验收。</w:t>
            </w:r>
          </w:p>
          <w:p w14:paraId="2883C437">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2.《供应商货物类项目完工报告》《项目建设单位货物类项目完工自验收报告》《第三方检测报告》（如有）等与验收相关的材料由经费负责人妥善保管存档。</w:t>
            </w:r>
          </w:p>
          <w:p w14:paraId="620B491F">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3.</w:t>
            </w:r>
            <w:bookmarkStart w:id="6" w:name="OLE_LINK4"/>
            <w:r>
              <w:rPr>
                <w:rFonts w:hint="eastAsia" w:ascii="宋体" w:hAnsi="宋体"/>
                <w:color w:val="000000"/>
                <w:kern w:val="0"/>
                <w:szCs w:val="21"/>
              </w:rPr>
              <w:t>《技术协议》</w:t>
            </w:r>
            <w:bookmarkEnd w:id="6"/>
            <w:r>
              <w:rPr>
                <w:rFonts w:hint="eastAsia" w:ascii="宋体" w:hAnsi="宋体"/>
                <w:color w:val="000000"/>
                <w:kern w:val="0"/>
                <w:szCs w:val="21"/>
              </w:rPr>
              <w:t>作为合同有效组成部分，由经费负责人和供应商应在招标完成后第一时间根据采购招标结果（即《采购需求》、《供应商投标（响应）文件》和《投标澄清函》等文件）签订，其内容应与采购招标结果保持一致。《技术协议》中一般包含配置、数量、价格、功能指标参数、服务承诺等内容。</w:t>
            </w:r>
            <w:r>
              <w:rPr>
                <w:rFonts w:ascii="宋体" w:hAnsi="宋体"/>
                <w:color w:val="000000"/>
                <w:kern w:val="0"/>
                <w:szCs w:val="21"/>
              </w:rPr>
              <w:t xml:space="preserve"> </w:t>
            </w:r>
          </w:p>
        </w:tc>
      </w:tr>
      <w:tr w14:paraId="72FC7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60" w:type="dxa"/>
            <w:gridSpan w:val="3"/>
            <w:vAlign w:val="center"/>
          </w:tcPr>
          <w:p w14:paraId="51743AB1">
            <w:pPr>
              <w:widowControl/>
              <w:adjustRightInd w:val="0"/>
              <w:snapToGrid w:val="0"/>
              <w:textAlignment w:val="baseline"/>
              <w:rPr>
                <w:rFonts w:ascii="宋体" w:hAnsi="宋体"/>
                <w:color w:val="000000"/>
                <w:kern w:val="0"/>
                <w:szCs w:val="21"/>
              </w:rPr>
            </w:pPr>
            <w:r>
              <w:rPr>
                <w:rFonts w:hint="eastAsia" w:ascii="宋体" w:hAnsi="宋体"/>
                <w:b/>
                <w:color w:val="000000"/>
                <w:kern w:val="0"/>
                <w:szCs w:val="21"/>
              </w:rPr>
              <w:t>学校验收复核要求：</w:t>
            </w:r>
            <w:r>
              <w:rPr>
                <w:rFonts w:hint="eastAsia" w:ascii="宋体" w:hAnsi="宋体"/>
                <w:color w:val="000000"/>
                <w:kern w:val="0"/>
                <w:szCs w:val="21"/>
              </w:rPr>
              <w:t>经费负责人自验收通过后，将《学校采购货物类项目验收复核申请表》《学校采购项目验收报告》《供应商履约情况评价表》《供应商货物类项目完工报告》《项目建设单位货物类项目完工自验收报告》等相关资料，递交学校国资处，由国资处组织专家现场验收复核。</w:t>
            </w:r>
          </w:p>
        </w:tc>
      </w:tr>
      <w:tr w14:paraId="5D456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459" w:type="dxa"/>
            <w:gridSpan w:val="2"/>
            <w:vAlign w:val="center"/>
          </w:tcPr>
          <w:p w14:paraId="14AE30AD">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验收时是否需要供应商提供样品</w:t>
            </w:r>
          </w:p>
        </w:tc>
        <w:tc>
          <w:tcPr>
            <w:tcW w:w="4601" w:type="dxa"/>
            <w:vAlign w:val="center"/>
          </w:tcPr>
          <w:p w14:paraId="798E259A">
            <w:pPr>
              <w:widowControl/>
              <w:adjustRightInd w:val="0"/>
              <w:snapToGrid w:val="0"/>
              <w:textAlignment w:val="baseline"/>
              <w:rPr>
                <w:rFonts w:ascii="宋体" w:hAnsi="宋体"/>
                <w:color w:val="000000"/>
                <w:kern w:val="0"/>
                <w:szCs w:val="21"/>
              </w:rPr>
            </w:pPr>
            <w:r>
              <w:rPr>
                <w:rFonts w:hint="eastAsia" w:ascii="宋体" w:hAnsi="宋体" w:cs="宋体"/>
                <w:color w:val="000000"/>
                <w:kern w:val="0"/>
                <w:szCs w:val="21"/>
              </w:rPr>
              <w:t>□</w:t>
            </w:r>
            <w:r>
              <w:rPr>
                <w:rFonts w:hint="eastAsia" w:ascii="宋体" w:hAnsi="宋体"/>
                <w:color w:val="000000"/>
                <w:kern w:val="0"/>
                <w:szCs w:val="21"/>
              </w:rPr>
              <w:t xml:space="preserve">是 </w:t>
            </w:r>
            <w:r>
              <w:rPr>
                <w:szCs w:val="21"/>
              </w:rPr>
              <w:sym w:font="Wingdings 2" w:char="F052"/>
            </w:r>
            <w:r>
              <w:rPr>
                <w:rFonts w:hint="eastAsia" w:ascii="宋体" w:hAnsi="宋体"/>
                <w:color w:val="000000"/>
                <w:kern w:val="0"/>
                <w:szCs w:val="21"/>
              </w:rPr>
              <w:t>否</w:t>
            </w:r>
          </w:p>
        </w:tc>
      </w:tr>
      <w:tr w14:paraId="38BCC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459" w:type="dxa"/>
            <w:gridSpan w:val="2"/>
            <w:vAlign w:val="center"/>
          </w:tcPr>
          <w:p w14:paraId="4B771E24">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验收时是否需供应商提供必要的其他设备</w:t>
            </w:r>
          </w:p>
        </w:tc>
        <w:tc>
          <w:tcPr>
            <w:tcW w:w="4601" w:type="dxa"/>
            <w:vAlign w:val="center"/>
          </w:tcPr>
          <w:p w14:paraId="33CC1E8D">
            <w:pPr>
              <w:widowControl/>
              <w:adjustRightInd w:val="0"/>
              <w:snapToGrid w:val="0"/>
              <w:textAlignment w:val="baseline"/>
              <w:rPr>
                <w:rFonts w:ascii="宋体" w:hAnsi="宋体"/>
                <w:color w:val="000000"/>
                <w:kern w:val="0"/>
                <w:szCs w:val="21"/>
              </w:rPr>
            </w:pPr>
            <w:r>
              <w:rPr>
                <w:rFonts w:hint="eastAsia" w:ascii="宋体" w:hAnsi="宋体" w:cs="宋体"/>
                <w:color w:val="000000"/>
                <w:kern w:val="0"/>
                <w:szCs w:val="21"/>
              </w:rPr>
              <w:t>□</w:t>
            </w:r>
            <w:r>
              <w:rPr>
                <w:rFonts w:ascii="宋体" w:hAnsi="宋体"/>
                <w:color w:val="000000"/>
                <w:kern w:val="0"/>
                <w:szCs w:val="21"/>
              </w:rPr>
              <w:t>是</w:t>
            </w:r>
            <w:r>
              <w:rPr>
                <w:rFonts w:hint="eastAsia" w:ascii="宋体" w:hAnsi="宋体"/>
                <w:color w:val="000000"/>
                <w:kern w:val="0"/>
                <w:szCs w:val="21"/>
              </w:rPr>
              <w:t xml:space="preserve"> </w:t>
            </w:r>
            <w:r>
              <w:rPr>
                <w:szCs w:val="21"/>
              </w:rPr>
              <w:sym w:font="Wingdings 2" w:char="F052"/>
            </w:r>
            <w:r>
              <w:rPr>
                <w:rFonts w:ascii="宋体" w:hAnsi="宋体"/>
                <w:color w:val="000000"/>
                <w:kern w:val="0"/>
                <w:szCs w:val="21"/>
              </w:rPr>
              <w:t>否</w:t>
            </w:r>
          </w:p>
        </w:tc>
      </w:tr>
      <w:tr w14:paraId="2F5BE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60" w:type="dxa"/>
            <w:gridSpan w:val="3"/>
            <w:vAlign w:val="center"/>
          </w:tcPr>
          <w:p w14:paraId="3D52DFAE">
            <w:pPr>
              <w:widowControl/>
              <w:adjustRightInd w:val="0"/>
              <w:snapToGrid w:val="0"/>
              <w:textAlignment w:val="baseline"/>
              <w:rPr>
                <w:rFonts w:ascii="宋体" w:hAnsi="宋体" w:cs="宋体"/>
                <w:color w:val="000000"/>
                <w:kern w:val="0"/>
                <w:szCs w:val="21"/>
              </w:rPr>
            </w:pPr>
            <w:r>
              <w:rPr>
                <w:rFonts w:hint="eastAsia" w:ascii="宋体" w:hAnsi="宋体"/>
                <w:color w:val="000000"/>
                <w:kern w:val="0"/>
                <w:szCs w:val="21"/>
              </w:rPr>
              <w:t>二、</w:t>
            </w:r>
            <w:r>
              <w:rPr>
                <w:rFonts w:hint="eastAsia" w:ascii="宋体" w:hAnsi="宋体"/>
                <w:b/>
                <w:bCs/>
                <w:color w:val="000000"/>
                <w:kern w:val="0"/>
                <w:szCs w:val="21"/>
              </w:rPr>
              <w:t>服务类项目验收要求</w:t>
            </w:r>
          </w:p>
        </w:tc>
      </w:tr>
      <w:tr w14:paraId="753C7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60" w:type="dxa"/>
            <w:gridSpan w:val="3"/>
            <w:vAlign w:val="center"/>
          </w:tcPr>
          <w:p w14:paraId="31302BE2">
            <w:pPr>
              <w:widowControl/>
              <w:adjustRightInd w:val="0"/>
              <w:snapToGrid w:val="0"/>
              <w:textAlignment w:val="baseline"/>
              <w:rPr>
                <w:rFonts w:ascii="宋体" w:hAnsi="宋体"/>
                <w:szCs w:val="21"/>
              </w:rPr>
            </w:pPr>
            <w:r>
              <w:rPr>
                <w:rFonts w:hint="eastAsia" w:ascii="宋体" w:hAnsi="宋体"/>
                <w:b/>
                <w:color w:val="000000"/>
                <w:kern w:val="0"/>
                <w:szCs w:val="21"/>
              </w:rPr>
              <w:t>项目建设单位验收要求：</w:t>
            </w:r>
            <w:bookmarkStart w:id="7" w:name="OLE_LINK35"/>
            <w:r>
              <w:rPr>
                <w:rFonts w:hint="eastAsia" w:ascii="宋体" w:hAnsi="宋体"/>
                <w:szCs w:val="21"/>
              </w:rPr>
              <w:t>根据项目特点对服务期内的服务履约实施情况进行考核，结合考核情况和服务效果进行验收。验收报告须经国资处备案。</w:t>
            </w:r>
            <w:bookmarkEnd w:id="7"/>
          </w:p>
          <w:p w14:paraId="16AED6CD">
            <w:pPr>
              <w:adjustRightInd w:val="0"/>
              <w:snapToGrid w:val="0"/>
              <w:spacing w:line="360" w:lineRule="auto"/>
              <w:ind w:firstLine="422" w:firstLineChars="200"/>
              <w:rPr>
                <w:b/>
                <w:bCs/>
                <w:szCs w:val="21"/>
              </w:rPr>
            </w:pPr>
            <w:r>
              <w:rPr>
                <w:b/>
                <w:bCs/>
                <w:szCs w:val="21"/>
              </w:rPr>
              <w:t>1. 设计验收</w:t>
            </w:r>
          </w:p>
          <w:p w14:paraId="4C73418D">
            <w:pPr>
              <w:adjustRightInd w:val="0"/>
              <w:snapToGrid w:val="0"/>
              <w:spacing w:line="360" w:lineRule="auto"/>
              <w:ind w:firstLine="420" w:firstLineChars="200"/>
              <w:rPr>
                <w:szCs w:val="21"/>
              </w:rPr>
            </w:pPr>
            <w:r>
              <w:rPr>
                <w:szCs w:val="21"/>
              </w:rPr>
              <w:t>投标方完成结构设计、调节机构设计及控制系统设计后，应向提交相关设计文件。依据总体技术方案、设计图纸及本技术要求进行设计审查。设计内容经确认后方可进入加工制造阶段。</w:t>
            </w:r>
          </w:p>
          <w:p w14:paraId="7CA69835">
            <w:pPr>
              <w:adjustRightInd w:val="0"/>
              <w:snapToGrid w:val="0"/>
              <w:spacing w:line="360" w:lineRule="auto"/>
              <w:ind w:firstLine="422" w:firstLineChars="200"/>
              <w:rPr>
                <w:b/>
                <w:bCs/>
                <w:szCs w:val="21"/>
              </w:rPr>
            </w:pPr>
            <w:r>
              <w:rPr>
                <w:b/>
                <w:bCs/>
                <w:szCs w:val="21"/>
              </w:rPr>
              <w:t>2. 加工制造验收</w:t>
            </w:r>
          </w:p>
          <w:p w14:paraId="1E2A2F3A">
            <w:pPr>
              <w:adjustRightInd w:val="0"/>
              <w:snapToGrid w:val="0"/>
              <w:spacing w:line="360" w:lineRule="auto"/>
              <w:ind w:firstLine="420" w:firstLineChars="200"/>
              <w:rPr>
                <w:szCs w:val="21"/>
              </w:rPr>
            </w:pPr>
            <w:r>
              <w:rPr>
                <w:szCs w:val="21"/>
              </w:rPr>
              <w:t>试验件加工完成后，投标方应按照设计图纸及相关技术规范进行检验，并提交出厂检测报告。对试验件的关键尺寸、形位公差、表面质量、装配接口等进行检查，验收结果应符合设计图纸及技术要求。</w:t>
            </w:r>
          </w:p>
          <w:p w14:paraId="53629537">
            <w:pPr>
              <w:adjustRightInd w:val="0"/>
              <w:snapToGrid w:val="0"/>
              <w:spacing w:line="360" w:lineRule="auto"/>
              <w:ind w:firstLine="422" w:firstLineChars="200"/>
              <w:rPr>
                <w:b/>
                <w:bCs/>
                <w:szCs w:val="21"/>
              </w:rPr>
            </w:pPr>
            <w:r>
              <w:rPr>
                <w:b/>
                <w:bCs/>
                <w:szCs w:val="21"/>
              </w:rPr>
              <w:t>3. 装配及调节机构验收</w:t>
            </w:r>
          </w:p>
          <w:p w14:paraId="08035452">
            <w:pPr>
              <w:adjustRightInd w:val="0"/>
              <w:snapToGrid w:val="0"/>
              <w:spacing w:line="360" w:lineRule="auto"/>
              <w:ind w:firstLine="420" w:firstLineChars="200"/>
              <w:rPr>
                <w:szCs w:val="21"/>
              </w:rPr>
            </w:pPr>
            <w:r>
              <w:rPr>
                <w:szCs w:val="21"/>
              </w:rPr>
              <w:t>完成整机装配后，应对试验件进行整</w:t>
            </w:r>
            <w:r>
              <w:rPr>
                <w:rFonts w:hint="eastAsia"/>
                <w:szCs w:val="21"/>
              </w:rPr>
              <w:t>件</w:t>
            </w:r>
            <w:r>
              <w:rPr>
                <w:szCs w:val="21"/>
              </w:rPr>
              <w:t>调试。压缩面及分流板调节机构应运行平稳、灵活，无卡滞、异常振动及明显冲击；喉道调节范围、最小调节步长、定位误差、重复定位误差等应满足本技术要求。调节控制系统的手动/自动控制、位置反馈、实时显示、限位保护及急停保护等功能应正常。</w:t>
            </w:r>
          </w:p>
          <w:p w14:paraId="02C69281">
            <w:pPr>
              <w:adjustRightInd w:val="0"/>
              <w:snapToGrid w:val="0"/>
              <w:spacing w:line="360" w:lineRule="auto"/>
              <w:ind w:firstLine="422" w:firstLineChars="200"/>
              <w:rPr>
                <w:b/>
                <w:bCs/>
                <w:szCs w:val="21"/>
              </w:rPr>
            </w:pPr>
            <w:r>
              <w:rPr>
                <w:b/>
                <w:bCs/>
                <w:szCs w:val="21"/>
              </w:rPr>
              <w:t>4. 强度及安全验收</w:t>
            </w:r>
          </w:p>
          <w:p w14:paraId="16EF01A2">
            <w:pPr>
              <w:adjustRightInd w:val="0"/>
              <w:snapToGrid w:val="0"/>
              <w:spacing w:line="360" w:lineRule="auto"/>
              <w:ind w:firstLine="420" w:firstLineChars="200"/>
              <w:rPr>
                <w:szCs w:val="21"/>
              </w:rPr>
            </w:pPr>
            <w:r>
              <w:rPr>
                <w:szCs w:val="21"/>
              </w:rPr>
              <w:t>投标方应提交结构强度分析报告，报告应包括关键承力结构及调节机构的强度、刚度和稳定性校核结果。试验件应满足约定风洞试验载荷及安全运行要求。涉及风洞安装、连接及运行安全的相关接口和防护措施应满足试验要求。</w:t>
            </w:r>
          </w:p>
          <w:p w14:paraId="6A1E621E">
            <w:pPr>
              <w:adjustRightInd w:val="0"/>
              <w:snapToGrid w:val="0"/>
              <w:spacing w:line="360" w:lineRule="auto"/>
              <w:ind w:firstLine="422" w:firstLineChars="200"/>
              <w:rPr>
                <w:b/>
                <w:bCs/>
                <w:szCs w:val="21"/>
              </w:rPr>
            </w:pPr>
            <w:r>
              <w:rPr>
                <w:b/>
                <w:bCs/>
                <w:szCs w:val="21"/>
              </w:rPr>
              <w:t>5. 风洞试验验收</w:t>
            </w:r>
          </w:p>
          <w:p w14:paraId="2AA70792">
            <w:pPr>
              <w:adjustRightInd w:val="0"/>
              <w:snapToGrid w:val="0"/>
              <w:spacing w:line="360" w:lineRule="auto"/>
              <w:ind w:firstLine="420" w:firstLineChars="200"/>
              <w:rPr>
                <w:szCs w:val="21"/>
              </w:rPr>
            </w:pPr>
            <w:r>
              <w:rPr>
                <w:szCs w:val="21"/>
              </w:rPr>
              <w:t>试验件通过前述验收并具备试验条件后，配合完成风洞吹风试验。试验马赫数范围应覆盖</w:t>
            </w:r>
            <w:r>
              <w:rPr>
                <w:b/>
                <w:bCs/>
                <w:szCs w:val="21"/>
              </w:rPr>
              <w:t>1.2＜M≤2.25、3.5＜M≤4.2及M=6</w:t>
            </w:r>
            <w:r>
              <w:rPr>
                <w:szCs w:val="21"/>
              </w:rPr>
              <w:t>等状态，并完成沿程压力测量、纹影记录及进气道双通道流量测量。投标方应负责试验期间的现场技术支持及相关技术配合。</w:t>
            </w:r>
          </w:p>
          <w:p w14:paraId="64DA2A61">
            <w:pPr>
              <w:adjustRightInd w:val="0"/>
              <w:snapToGrid w:val="0"/>
              <w:spacing w:line="360" w:lineRule="auto"/>
              <w:ind w:firstLine="422" w:firstLineChars="200"/>
              <w:rPr>
                <w:b/>
                <w:bCs/>
                <w:szCs w:val="21"/>
              </w:rPr>
            </w:pPr>
            <w:r>
              <w:rPr>
                <w:b/>
                <w:bCs/>
                <w:szCs w:val="21"/>
              </w:rPr>
              <w:t>6. 试验数据及资料验收</w:t>
            </w:r>
          </w:p>
          <w:p w14:paraId="2098A9E0">
            <w:pPr>
              <w:adjustRightInd w:val="0"/>
              <w:snapToGrid w:val="0"/>
              <w:spacing w:line="360" w:lineRule="auto"/>
              <w:ind w:firstLine="420" w:firstLineChars="200"/>
              <w:rPr>
                <w:szCs w:val="21"/>
              </w:rPr>
            </w:pPr>
            <w:r>
              <w:rPr>
                <w:szCs w:val="21"/>
              </w:rPr>
              <w:t>投标方应按要求提交完整的交付资料，包括可调进气道整机、三维数字模型、结构强度分析报告、出厂检测报告、验收记录、吹风试验报告，以及试验过程中形成的纹影记录、压力传感器记录、流量记录等。资料应完整、真实、可读，并符合约定格式和技术要求。</w:t>
            </w:r>
          </w:p>
          <w:p w14:paraId="1BB9B9AA">
            <w:pPr>
              <w:adjustRightInd w:val="0"/>
              <w:snapToGrid w:val="0"/>
              <w:spacing w:line="360" w:lineRule="auto"/>
              <w:ind w:firstLine="422" w:firstLineChars="200"/>
              <w:rPr>
                <w:b/>
                <w:bCs/>
                <w:szCs w:val="21"/>
              </w:rPr>
            </w:pPr>
            <w:r>
              <w:rPr>
                <w:b/>
                <w:bCs/>
                <w:szCs w:val="21"/>
              </w:rPr>
              <w:t>7. 最终验收</w:t>
            </w:r>
          </w:p>
          <w:p w14:paraId="3F146694">
            <w:pPr>
              <w:adjustRightInd w:val="0"/>
              <w:snapToGrid w:val="0"/>
              <w:spacing w:line="360" w:lineRule="auto"/>
              <w:ind w:firstLine="420" w:firstLineChars="200"/>
              <w:rPr>
                <w:szCs w:val="21"/>
              </w:rPr>
            </w:pPr>
            <w:r>
              <w:rPr>
                <w:szCs w:val="21"/>
              </w:rPr>
              <w:t>上述各阶段验收合格后，</w:t>
            </w:r>
            <w:r>
              <w:rPr>
                <w:szCs w:val="21"/>
                <w:highlight w:val="none"/>
              </w:rPr>
              <w:t>组织最终验收</w:t>
            </w:r>
            <w:r>
              <w:rPr>
                <w:szCs w:val="21"/>
              </w:rPr>
              <w:t>。最终验收以</w:t>
            </w:r>
            <w:r>
              <w:rPr>
                <w:b/>
                <w:bCs/>
                <w:szCs w:val="21"/>
              </w:rPr>
              <w:t>试验件实物、设计及技术文件、调节控制功能、风洞试验完成情况及试验数据资料</w:t>
            </w:r>
            <w:r>
              <w:rPr>
                <w:szCs w:val="21"/>
              </w:rPr>
              <w:t>均符合合同及本技术要求为依据。验收合格后，双方签署最终验收记录。</w:t>
            </w:r>
          </w:p>
          <w:p w14:paraId="0CB021F9">
            <w:pPr>
              <w:adjustRightInd w:val="0"/>
              <w:snapToGrid w:val="0"/>
              <w:spacing w:line="360" w:lineRule="auto"/>
              <w:ind w:firstLine="422" w:firstLineChars="200"/>
              <w:rPr>
                <w:b/>
                <w:bCs/>
                <w:szCs w:val="21"/>
              </w:rPr>
            </w:pPr>
            <w:r>
              <w:rPr>
                <w:b/>
                <w:bCs/>
                <w:szCs w:val="21"/>
              </w:rPr>
              <w:t>8. 验收不合格处理</w:t>
            </w:r>
          </w:p>
          <w:p w14:paraId="74517D30">
            <w:pPr>
              <w:adjustRightInd w:val="0"/>
              <w:snapToGrid w:val="0"/>
              <w:spacing w:line="360" w:lineRule="auto"/>
              <w:ind w:firstLine="420" w:firstLineChars="200"/>
              <w:rPr>
                <w:szCs w:val="21"/>
              </w:rPr>
            </w:pPr>
            <w:r>
              <w:rPr>
                <w:szCs w:val="21"/>
              </w:rPr>
              <w:t>验收过程中发现不符合合同或本技术要求的项目，投标方应根据提出的整改要求及时完成整改，并承担由此产生的相关费用。整改完成后重新进行验收；因投标方原因导致多次整改仍不能满足合同要求的，按照合同约定承担相应违约责任。</w:t>
            </w:r>
          </w:p>
        </w:tc>
      </w:tr>
      <w:tr w14:paraId="45622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60" w:type="dxa"/>
            <w:gridSpan w:val="3"/>
            <w:vAlign w:val="center"/>
          </w:tcPr>
          <w:p w14:paraId="2CF4C624">
            <w:pPr>
              <w:widowControl/>
              <w:adjustRightInd w:val="0"/>
              <w:snapToGrid w:val="0"/>
              <w:textAlignment w:val="baseline"/>
              <w:rPr>
                <w:rFonts w:ascii="宋体" w:hAnsi="宋体" w:cs="宋体"/>
                <w:color w:val="000000"/>
                <w:kern w:val="0"/>
                <w:szCs w:val="21"/>
              </w:rPr>
            </w:pPr>
            <w:r>
              <w:rPr>
                <w:rFonts w:hint="eastAsia" w:ascii="宋体" w:hAnsi="宋体"/>
                <w:b/>
                <w:color w:val="000000"/>
                <w:kern w:val="0"/>
                <w:szCs w:val="21"/>
              </w:rPr>
              <w:t>学校验收备案要求：</w:t>
            </w:r>
            <w:r>
              <w:rPr>
                <w:rFonts w:hint="eastAsia" w:ascii="宋体" w:hAnsi="宋体"/>
                <w:bCs/>
                <w:color w:val="000000"/>
                <w:kern w:val="0"/>
                <w:szCs w:val="21"/>
              </w:rPr>
              <w:t>项目单位提供《学校采购服务类项目验收报告》《服务类供应商履约情况评价表》</w:t>
            </w:r>
            <w:r>
              <w:rPr>
                <w:rFonts w:hint="eastAsia" w:ascii="宋体" w:hAnsi="宋体"/>
                <w:szCs w:val="21"/>
              </w:rPr>
              <w:t>。国资处可根据项目情况采用抽查等方式进行复核。</w:t>
            </w:r>
          </w:p>
        </w:tc>
      </w:tr>
      <w:tr w14:paraId="51A8B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60" w:type="dxa"/>
            <w:gridSpan w:val="3"/>
            <w:vAlign w:val="center"/>
          </w:tcPr>
          <w:p w14:paraId="62B84129">
            <w:pPr>
              <w:widowControl/>
              <w:adjustRightInd w:val="0"/>
              <w:snapToGrid w:val="0"/>
              <w:jc w:val="left"/>
              <w:textAlignment w:val="baseline"/>
              <w:rPr>
                <w:rFonts w:ascii="宋体" w:hAnsi="宋体"/>
                <w:color w:val="000000"/>
                <w:kern w:val="0"/>
                <w:szCs w:val="21"/>
              </w:rPr>
            </w:pPr>
            <w:r>
              <w:rPr>
                <w:rFonts w:hint="eastAsia" w:ascii="宋体" w:hAnsi="宋体"/>
                <w:b/>
                <w:bCs/>
                <w:color w:val="000000"/>
                <w:kern w:val="0"/>
                <w:szCs w:val="21"/>
              </w:rPr>
              <w:t>三、除现场验收外，需提供的其他验收要求</w:t>
            </w:r>
          </w:p>
        </w:tc>
      </w:tr>
      <w:tr w14:paraId="43173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459" w:type="dxa"/>
            <w:gridSpan w:val="2"/>
            <w:vAlign w:val="center"/>
          </w:tcPr>
          <w:p w14:paraId="50D21A46">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验收时是否</w:t>
            </w:r>
            <w:r>
              <w:rPr>
                <w:rFonts w:ascii="宋体" w:hAnsi="宋体"/>
                <w:color w:val="000000"/>
                <w:kern w:val="0"/>
                <w:szCs w:val="21"/>
              </w:rPr>
              <w:t>需提供第三方检测报告</w:t>
            </w:r>
          </w:p>
        </w:tc>
        <w:tc>
          <w:tcPr>
            <w:tcW w:w="4601" w:type="dxa"/>
            <w:vAlign w:val="center"/>
          </w:tcPr>
          <w:p w14:paraId="2746C4A0">
            <w:pPr>
              <w:widowControl/>
              <w:adjustRightInd w:val="0"/>
              <w:snapToGrid w:val="0"/>
              <w:textAlignment w:val="baseline"/>
              <w:rPr>
                <w:rFonts w:ascii="宋体" w:hAnsi="宋体" w:cs="宋体"/>
                <w:color w:val="000000"/>
                <w:kern w:val="0"/>
                <w:szCs w:val="21"/>
              </w:rPr>
            </w:pPr>
          </w:p>
          <w:p w14:paraId="60F1F5C1">
            <w:pPr>
              <w:widowControl/>
              <w:adjustRightInd w:val="0"/>
              <w:snapToGrid w:val="0"/>
              <w:textAlignment w:val="baseline"/>
              <w:rPr>
                <w:rFonts w:ascii="宋体" w:hAnsi="宋体"/>
                <w:color w:val="000000"/>
                <w:kern w:val="0"/>
                <w:szCs w:val="21"/>
              </w:rPr>
            </w:pPr>
            <w:r>
              <w:rPr>
                <w:rFonts w:hint="eastAsia" w:ascii="宋体" w:hAnsi="宋体" w:cs="宋体"/>
                <w:color w:val="000000"/>
                <w:kern w:val="0"/>
                <w:szCs w:val="21"/>
              </w:rPr>
              <w:t>□</w:t>
            </w:r>
            <w:r>
              <w:rPr>
                <w:rFonts w:ascii="宋体" w:hAnsi="宋体"/>
                <w:color w:val="000000"/>
                <w:kern w:val="0"/>
                <w:szCs w:val="21"/>
              </w:rPr>
              <w:t>是</w:t>
            </w:r>
            <w:r>
              <w:rPr>
                <w:rFonts w:hint="eastAsia" w:ascii="宋体" w:hAnsi="宋体"/>
                <w:color w:val="000000"/>
                <w:kern w:val="0"/>
                <w:szCs w:val="21"/>
              </w:rPr>
              <w:t xml:space="preserve"> </w:t>
            </w:r>
            <w:r>
              <w:rPr>
                <w:szCs w:val="21"/>
              </w:rPr>
              <w:sym w:font="Wingdings 2" w:char="F052"/>
            </w:r>
            <w:r>
              <w:rPr>
                <w:rFonts w:ascii="宋体" w:hAnsi="宋体"/>
                <w:color w:val="000000"/>
                <w:kern w:val="0"/>
                <w:szCs w:val="21"/>
              </w:rPr>
              <w:t>否</w:t>
            </w:r>
          </w:p>
          <w:p w14:paraId="3D6DDFD4">
            <w:pPr>
              <w:widowControl/>
              <w:adjustRightInd w:val="0"/>
              <w:snapToGrid w:val="0"/>
              <w:textAlignment w:val="baseline"/>
              <w:rPr>
                <w:rFonts w:ascii="宋体" w:hAnsi="宋体"/>
                <w:color w:val="000000"/>
                <w:kern w:val="0"/>
                <w:szCs w:val="21"/>
              </w:rPr>
            </w:pPr>
          </w:p>
          <w:p w14:paraId="3B30A560">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如需提供第三方检测报告，需满足下列要求：</w:t>
            </w:r>
          </w:p>
          <w:p w14:paraId="54453A27">
            <w:pPr>
              <w:widowControl/>
              <w:adjustRightInd w:val="0"/>
              <w:snapToGrid w:val="0"/>
              <w:textAlignment w:val="baseline"/>
              <w:rPr>
                <w:rFonts w:ascii="宋体" w:hAnsi="宋体"/>
                <w:color w:val="000000"/>
                <w:kern w:val="0"/>
                <w:szCs w:val="21"/>
              </w:rPr>
            </w:pPr>
            <w:r>
              <w:rPr>
                <w:rFonts w:ascii="宋体" w:hAnsi="宋体"/>
                <w:color w:val="000000"/>
                <w:kern w:val="0"/>
                <w:szCs w:val="21"/>
              </w:rPr>
              <w:t>对于检测机构的要求：国家正规检测机构，出具的检测报告由验收复核专家认可之后作为验收复核通过的主要依据。</w:t>
            </w:r>
          </w:p>
          <w:p w14:paraId="7ED4C1AE">
            <w:pPr>
              <w:widowControl/>
              <w:adjustRightInd w:val="0"/>
              <w:snapToGrid w:val="0"/>
              <w:textAlignment w:val="baseline"/>
              <w:rPr>
                <w:rFonts w:ascii="宋体" w:hAnsi="宋体"/>
                <w:color w:val="000000"/>
                <w:kern w:val="0"/>
                <w:szCs w:val="21"/>
              </w:rPr>
            </w:pPr>
            <w:r>
              <w:rPr>
                <w:rFonts w:ascii="宋体" w:hAnsi="宋体"/>
                <w:color w:val="000000"/>
                <w:kern w:val="0"/>
                <w:szCs w:val="21"/>
              </w:rPr>
              <w:t>对于检测执行标准的要求：各项检测项目标准以检测机构按照行业相关要求最新适用并执行的标准为准。</w:t>
            </w:r>
          </w:p>
        </w:tc>
      </w:tr>
      <w:bookmarkEnd w:id="5"/>
    </w:tbl>
    <w:p w14:paraId="38F80FC0">
      <w:pPr>
        <w:adjustRightInd w:val="0"/>
        <w:snapToGrid w:val="0"/>
        <w:spacing w:line="360" w:lineRule="auto"/>
        <w:ind w:firstLine="440" w:firstLineChars="200"/>
        <w:rPr>
          <w:rFonts w:ascii="楷体" w:hAnsi="楷体" w:eastAsia="楷体"/>
          <w:color w:val="FF0000"/>
          <w:sz w:val="22"/>
          <w:szCs w:val="22"/>
        </w:rPr>
      </w:pPr>
    </w:p>
    <w:p w14:paraId="35F239AF">
      <w:pPr>
        <w:adjustRightInd w:val="0"/>
        <w:snapToGrid w:val="0"/>
        <w:spacing w:line="360" w:lineRule="auto"/>
        <w:ind w:firstLine="440" w:firstLineChars="200"/>
        <w:rPr>
          <w:rFonts w:ascii="楷体" w:hAnsi="楷体" w:eastAsia="楷体"/>
          <w:color w:val="FF0000"/>
          <w:sz w:val="22"/>
          <w:szCs w:val="22"/>
        </w:rPr>
      </w:pPr>
    </w:p>
    <w:p w14:paraId="793C7502">
      <w:pPr>
        <w:adjustRightInd w:val="0"/>
        <w:snapToGrid w:val="0"/>
        <w:spacing w:line="360" w:lineRule="auto"/>
        <w:ind w:firstLine="420" w:firstLineChars="200"/>
      </w:pPr>
    </w:p>
    <w:sectPr>
      <w:footerReference r:id="rId3" w:type="default"/>
      <w:pgSz w:w="11906" w:h="16838"/>
      <w:pgMar w:top="1871" w:right="1418" w:bottom="1588" w:left="1418"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方正小标宋简体">
    <w:altName w:val="微软雅黑"/>
    <w:panose1 w:val="00000000000000000000"/>
    <w:charset w:val="86"/>
    <w:family w:val="auto"/>
    <w:pitch w:val="default"/>
    <w:sig w:usb0="00000000" w:usb1="00000000" w:usb2="00000012" w:usb3="00000000" w:csb0="00040001" w:csb1="00000000"/>
  </w:font>
  <w:font w:name="微软雅黑">
    <w:panose1 w:val="020B0503020204020204"/>
    <w:charset w:val="86"/>
    <w:family w:val="auto"/>
    <w:pitch w:val="default"/>
    <w:sig w:usb0="80000287" w:usb1="2ACF3C50" w:usb2="00000016" w:usb3="00000000" w:csb0="0004001F" w:csb1="00000000"/>
  </w:font>
  <w:font w:name="Wingdings 2">
    <w:panose1 w:val="05020102010507070707"/>
    <w:charset w:val="02"/>
    <w:family w:val="roman"/>
    <w:pitch w:val="default"/>
    <w:sig w:usb0="00000000" w:usb1="00000000" w:usb2="00000000" w:usb3="00000000" w:csb0="8000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ADA28B">
    <w:pPr>
      <w:pStyle w:val="5"/>
      <w:jc w:val="center"/>
    </w:pPr>
    <w:r>
      <w:fldChar w:fldCharType="begin"/>
    </w:r>
    <w:r>
      <w:instrText xml:space="preserve">PAGE   \* MERGEFORMAT</w:instrText>
    </w:r>
    <w:r>
      <w:fldChar w:fldCharType="separate"/>
    </w:r>
    <w:r>
      <w:rPr>
        <w:lang w:val="zh-CN"/>
      </w:rPr>
      <w:t>5</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F37D06"/>
    <w:multiLevelType w:val="multilevel"/>
    <w:tmpl w:val="4BF37D06"/>
    <w:lvl w:ilvl="0" w:tentative="0">
      <w:start w:val="2"/>
      <w:numFmt w:val="japaneseCounting"/>
      <w:lvlText w:val="（%1）"/>
      <w:lvlJc w:val="left"/>
      <w:pPr>
        <w:ind w:left="1140" w:hanging="720"/>
      </w:pPr>
      <w:rPr>
        <w:rFonts w:hint="default"/>
      </w:r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61FC"/>
    <w:rsid w:val="00000ADB"/>
    <w:rsid w:val="000045B7"/>
    <w:rsid w:val="0000609F"/>
    <w:rsid w:val="00012B28"/>
    <w:rsid w:val="000170BA"/>
    <w:rsid w:val="00017928"/>
    <w:rsid w:val="00017C9A"/>
    <w:rsid w:val="00021421"/>
    <w:rsid w:val="000345B6"/>
    <w:rsid w:val="00037EB6"/>
    <w:rsid w:val="0004707F"/>
    <w:rsid w:val="00051FD9"/>
    <w:rsid w:val="000549C3"/>
    <w:rsid w:val="000578DF"/>
    <w:rsid w:val="00060610"/>
    <w:rsid w:val="00063B9E"/>
    <w:rsid w:val="00067C91"/>
    <w:rsid w:val="00080CEB"/>
    <w:rsid w:val="000816A4"/>
    <w:rsid w:val="00087950"/>
    <w:rsid w:val="00090056"/>
    <w:rsid w:val="00090B56"/>
    <w:rsid w:val="00092B2E"/>
    <w:rsid w:val="00094C16"/>
    <w:rsid w:val="000A209A"/>
    <w:rsid w:val="000A21C5"/>
    <w:rsid w:val="000A57A8"/>
    <w:rsid w:val="000B55F6"/>
    <w:rsid w:val="000B5F74"/>
    <w:rsid w:val="000C588B"/>
    <w:rsid w:val="000C5FD7"/>
    <w:rsid w:val="000D1438"/>
    <w:rsid w:val="000D55E4"/>
    <w:rsid w:val="000E50F5"/>
    <w:rsid w:val="000F1FA8"/>
    <w:rsid w:val="000F2A29"/>
    <w:rsid w:val="00102045"/>
    <w:rsid w:val="00105428"/>
    <w:rsid w:val="001118D9"/>
    <w:rsid w:val="0011348A"/>
    <w:rsid w:val="00121267"/>
    <w:rsid w:val="001218F7"/>
    <w:rsid w:val="00121B7F"/>
    <w:rsid w:val="001262EF"/>
    <w:rsid w:val="0012727F"/>
    <w:rsid w:val="0013226A"/>
    <w:rsid w:val="00134751"/>
    <w:rsid w:val="00140AF0"/>
    <w:rsid w:val="00140C41"/>
    <w:rsid w:val="00141299"/>
    <w:rsid w:val="0014178C"/>
    <w:rsid w:val="0014654A"/>
    <w:rsid w:val="001507CE"/>
    <w:rsid w:val="00150952"/>
    <w:rsid w:val="00150BB2"/>
    <w:rsid w:val="0015496B"/>
    <w:rsid w:val="00157667"/>
    <w:rsid w:val="001609FC"/>
    <w:rsid w:val="00162A76"/>
    <w:rsid w:val="00163196"/>
    <w:rsid w:val="001745B7"/>
    <w:rsid w:val="00175FDF"/>
    <w:rsid w:val="00176534"/>
    <w:rsid w:val="001767CE"/>
    <w:rsid w:val="00177BD4"/>
    <w:rsid w:val="0018461B"/>
    <w:rsid w:val="00192B6A"/>
    <w:rsid w:val="001B03C0"/>
    <w:rsid w:val="001B0A84"/>
    <w:rsid w:val="001B1B91"/>
    <w:rsid w:val="001B38ED"/>
    <w:rsid w:val="001B712C"/>
    <w:rsid w:val="001C0880"/>
    <w:rsid w:val="001C19BA"/>
    <w:rsid w:val="001C3356"/>
    <w:rsid w:val="001C3D78"/>
    <w:rsid w:val="001C41C3"/>
    <w:rsid w:val="001C5915"/>
    <w:rsid w:val="001C7C84"/>
    <w:rsid w:val="001E0980"/>
    <w:rsid w:val="001E1FDF"/>
    <w:rsid w:val="001E5B8B"/>
    <w:rsid w:val="001E5D47"/>
    <w:rsid w:val="001E5DD9"/>
    <w:rsid w:val="001F03E8"/>
    <w:rsid w:val="001F2F73"/>
    <w:rsid w:val="0021026B"/>
    <w:rsid w:val="00214F3E"/>
    <w:rsid w:val="002204EA"/>
    <w:rsid w:val="00225A15"/>
    <w:rsid w:val="002262A0"/>
    <w:rsid w:val="0022749C"/>
    <w:rsid w:val="00230B96"/>
    <w:rsid w:val="00232CD3"/>
    <w:rsid w:val="00233C66"/>
    <w:rsid w:val="00237253"/>
    <w:rsid w:val="002440C5"/>
    <w:rsid w:val="00244594"/>
    <w:rsid w:val="00244A77"/>
    <w:rsid w:val="00245208"/>
    <w:rsid w:val="002461E3"/>
    <w:rsid w:val="002501FD"/>
    <w:rsid w:val="002529C7"/>
    <w:rsid w:val="00255503"/>
    <w:rsid w:val="00255550"/>
    <w:rsid w:val="002569F5"/>
    <w:rsid w:val="00264031"/>
    <w:rsid w:val="0027521E"/>
    <w:rsid w:val="00277679"/>
    <w:rsid w:val="00280353"/>
    <w:rsid w:val="002815C8"/>
    <w:rsid w:val="002878EA"/>
    <w:rsid w:val="00290359"/>
    <w:rsid w:val="00293B6E"/>
    <w:rsid w:val="00297819"/>
    <w:rsid w:val="002A4902"/>
    <w:rsid w:val="002A6571"/>
    <w:rsid w:val="002B0A5D"/>
    <w:rsid w:val="002B287A"/>
    <w:rsid w:val="002B2D79"/>
    <w:rsid w:val="002B3A1B"/>
    <w:rsid w:val="002C0CC3"/>
    <w:rsid w:val="002C1D63"/>
    <w:rsid w:val="002C7863"/>
    <w:rsid w:val="002D06B9"/>
    <w:rsid w:val="002D68DE"/>
    <w:rsid w:val="002D6EAB"/>
    <w:rsid w:val="002D7991"/>
    <w:rsid w:val="002D7EBC"/>
    <w:rsid w:val="002E1EFE"/>
    <w:rsid w:val="002F0BEB"/>
    <w:rsid w:val="002F45B8"/>
    <w:rsid w:val="00300CA8"/>
    <w:rsid w:val="003027D7"/>
    <w:rsid w:val="00302DF4"/>
    <w:rsid w:val="00303423"/>
    <w:rsid w:val="00305D95"/>
    <w:rsid w:val="00306DA8"/>
    <w:rsid w:val="003078A0"/>
    <w:rsid w:val="00310E17"/>
    <w:rsid w:val="003113D4"/>
    <w:rsid w:val="00311434"/>
    <w:rsid w:val="00311594"/>
    <w:rsid w:val="00312DDB"/>
    <w:rsid w:val="0031502A"/>
    <w:rsid w:val="00323357"/>
    <w:rsid w:val="003243F0"/>
    <w:rsid w:val="00327213"/>
    <w:rsid w:val="003302CA"/>
    <w:rsid w:val="0033313D"/>
    <w:rsid w:val="003458D7"/>
    <w:rsid w:val="00345D8D"/>
    <w:rsid w:val="00351AB0"/>
    <w:rsid w:val="00353168"/>
    <w:rsid w:val="00353C03"/>
    <w:rsid w:val="00353EC3"/>
    <w:rsid w:val="00361390"/>
    <w:rsid w:val="00362533"/>
    <w:rsid w:val="00362C87"/>
    <w:rsid w:val="0036352F"/>
    <w:rsid w:val="003649AF"/>
    <w:rsid w:val="00365116"/>
    <w:rsid w:val="00371949"/>
    <w:rsid w:val="0037326C"/>
    <w:rsid w:val="00373ABC"/>
    <w:rsid w:val="00375975"/>
    <w:rsid w:val="0037638F"/>
    <w:rsid w:val="00381C4A"/>
    <w:rsid w:val="00390F4C"/>
    <w:rsid w:val="0039534F"/>
    <w:rsid w:val="003A1AAB"/>
    <w:rsid w:val="003A243E"/>
    <w:rsid w:val="003B1B61"/>
    <w:rsid w:val="003B4712"/>
    <w:rsid w:val="003C207F"/>
    <w:rsid w:val="003C277F"/>
    <w:rsid w:val="003C2D42"/>
    <w:rsid w:val="003D06DB"/>
    <w:rsid w:val="003D4AEF"/>
    <w:rsid w:val="003E4113"/>
    <w:rsid w:val="003E4FDA"/>
    <w:rsid w:val="003E5394"/>
    <w:rsid w:val="003E675E"/>
    <w:rsid w:val="003F1D71"/>
    <w:rsid w:val="003F341A"/>
    <w:rsid w:val="003F37A4"/>
    <w:rsid w:val="003F4F91"/>
    <w:rsid w:val="003F5577"/>
    <w:rsid w:val="003F57FA"/>
    <w:rsid w:val="003F7CB0"/>
    <w:rsid w:val="003F7E54"/>
    <w:rsid w:val="00400968"/>
    <w:rsid w:val="00401C2B"/>
    <w:rsid w:val="00406295"/>
    <w:rsid w:val="00410B1E"/>
    <w:rsid w:val="004151CD"/>
    <w:rsid w:val="004159A0"/>
    <w:rsid w:val="00415A37"/>
    <w:rsid w:val="00426CB3"/>
    <w:rsid w:val="00436B73"/>
    <w:rsid w:val="004374DA"/>
    <w:rsid w:val="00440EDB"/>
    <w:rsid w:val="00442A4D"/>
    <w:rsid w:val="0044333B"/>
    <w:rsid w:val="00453832"/>
    <w:rsid w:val="00455ED6"/>
    <w:rsid w:val="004572AB"/>
    <w:rsid w:val="004712B7"/>
    <w:rsid w:val="0048154C"/>
    <w:rsid w:val="00481EE9"/>
    <w:rsid w:val="00490D0E"/>
    <w:rsid w:val="00491E5A"/>
    <w:rsid w:val="00492DD3"/>
    <w:rsid w:val="004951D7"/>
    <w:rsid w:val="00495B30"/>
    <w:rsid w:val="0049724F"/>
    <w:rsid w:val="0049740A"/>
    <w:rsid w:val="004A43F0"/>
    <w:rsid w:val="004A4DD1"/>
    <w:rsid w:val="004A69FE"/>
    <w:rsid w:val="004B3DFE"/>
    <w:rsid w:val="004C0EDE"/>
    <w:rsid w:val="004C6E57"/>
    <w:rsid w:val="004D47EE"/>
    <w:rsid w:val="004D7FAC"/>
    <w:rsid w:val="004E36C2"/>
    <w:rsid w:val="004E4B14"/>
    <w:rsid w:val="004F27FB"/>
    <w:rsid w:val="00501176"/>
    <w:rsid w:val="00501E8E"/>
    <w:rsid w:val="0051081D"/>
    <w:rsid w:val="00510891"/>
    <w:rsid w:val="0051141F"/>
    <w:rsid w:val="00523459"/>
    <w:rsid w:val="00524AB7"/>
    <w:rsid w:val="00524EB8"/>
    <w:rsid w:val="0052535A"/>
    <w:rsid w:val="005307ED"/>
    <w:rsid w:val="0053111A"/>
    <w:rsid w:val="00531F1B"/>
    <w:rsid w:val="00537D96"/>
    <w:rsid w:val="00544653"/>
    <w:rsid w:val="00545874"/>
    <w:rsid w:val="00551F52"/>
    <w:rsid w:val="00555D36"/>
    <w:rsid w:val="00557A2C"/>
    <w:rsid w:val="00557F71"/>
    <w:rsid w:val="00562382"/>
    <w:rsid w:val="00562C62"/>
    <w:rsid w:val="00562FB7"/>
    <w:rsid w:val="005633CE"/>
    <w:rsid w:val="00571ADE"/>
    <w:rsid w:val="00572CCF"/>
    <w:rsid w:val="005732C7"/>
    <w:rsid w:val="005737B7"/>
    <w:rsid w:val="00575012"/>
    <w:rsid w:val="005774B1"/>
    <w:rsid w:val="00582A16"/>
    <w:rsid w:val="00583251"/>
    <w:rsid w:val="005853E9"/>
    <w:rsid w:val="00585AD7"/>
    <w:rsid w:val="00586153"/>
    <w:rsid w:val="0059304A"/>
    <w:rsid w:val="005951EF"/>
    <w:rsid w:val="005A2194"/>
    <w:rsid w:val="005A7A6F"/>
    <w:rsid w:val="005B02D0"/>
    <w:rsid w:val="005B0AC7"/>
    <w:rsid w:val="005B317C"/>
    <w:rsid w:val="005B3E71"/>
    <w:rsid w:val="005B5B9E"/>
    <w:rsid w:val="005B62C9"/>
    <w:rsid w:val="005B698D"/>
    <w:rsid w:val="005B6A13"/>
    <w:rsid w:val="005C3DA0"/>
    <w:rsid w:val="005C5840"/>
    <w:rsid w:val="005D1A12"/>
    <w:rsid w:val="005E0008"/>
    <w:rsid w:val="005E373A"/>
    <w:rsid w:val="005E5D3F"/>
    <w:rsid w:val="005E6A0A"/>
    <w:rsid w:val="005E7748"/>
    <w:rsid w:val="005E7C85"/>
    <w:rsid w:val="005F06FA"/>
    <w:rsid w:val="005F1571"/>
    <w:rsid w:val="005F26A4"/>
    <w:rsid w:val="005F271F"/>
    <w:rsid w:val="005F3727"/>
    <w:rsid w:val="005F401F"/>
    <w:rsid w:val="0060360E"/>
    <w:rsid w:val="00605B14"/>
    <w:rsid w:val="006067FA"/>
    <w:rsid w:val="00611202"/>
    <w:rsid w:val="00611E61"/>
    <w:rsid w:val="00612DB7"/>
    <w:rsid w:val="006139E7"/>
    <w:rsid w:val="00620197"/>
    <w:rsid w:val="00620652"/>
    <w:rsid w:val="0062187D"/>
    <w:rsid w:val="006237BE"/>
    <w:rsid w:val="00634FF1"/>
    <w:rsid w:val="00636F27"/>
    <w:rsid w:val="00640733"/>
    <w:rsid w:val="00642B2A"/>
    <w:rsid w:val="0064334B"/>
    <w:rsid w:val="00643D51"/>
    <w:rsid w:val="006538FB"/>
    <w:rsid w:val="00661866"/>
    <w:rsid w:val="006706FD"/>
    <w:rsid w:val="00675232"/>
    <w:rsid w:val="006772FA"/>
    <w:rsid w:val="00681FDD"/>
    <w:rsid w:val="006873DB"/>
    <w:rsid w:val="006878E9"/>
    <w:rsid w:val="00694C72"/>
    <w:rsid w:val="006A6A2F"/>
    <w:rsid w:val="006C2706"/>
    <w:rsid w:val="006C2918"/>
    <w:rsid w:val="006C4154"/>
    <w:rsid w:val="006C511C"/>
    <w:rsid w:val="006C687D"/>
    <w:rsid w:val="006C7681"/>
    <w:rsid w:val="006C782C"/>
    <w:rsid w:val="006D095D"/>
    <w:rsid w:val="006D2C2D"/>
    <w:rsid w:val="006D3A11"/>
    <w:rsid w:val="006E1E8B"/>
    <w:rsid w:val="006E330A"/>
    <w:rsid w:val="006E358B"/>
    <w:rsid w:val="006E3907"/>
    <w:rsid w:val="006F3B7B"/>
    <w:rsid w:val="006F5B28"/>
    <w:rsid w:val="006F5E53"/>
    <w:rsid w:val="006F7061"/>
    <w:rsid w:val="007011DF"/>
    <w:rsid w:val="00703AC6"/>
    <w:rsid w:val="00710AA5"/>
    <w:rsid w:val="00711E56"/>
    <w:rsid w:val="007132C5"/>
    <w:rsid w:val="00715B3F"/>
    <w:rsid w:val="0071642D"/>
    <w:rsid w:val="00717C94"/>
    <w:rsid w:val="00721306"/>
    <w:rsid w:val="007234E0"/>
    <w:rsid w:val="00725D8A"/>
    <w:rsid w:val="00727C0A"/>
    <w:rsid w:val="00730287"/>
    <w:rsid w:val="007369E1"/>
    <w:rsid w:val="0074203F"/>
    <w:rsid w:val="007435CD"/>
    <w:rsid w:val="007437CA"/>
    <w:rsid w:val="00746CF7"/>
    <w:rsid w:val="007554BB"/>
    <w:rsid w:val="00755FDD"/>
    <w:rsid w:val="0075752D"/>
    <w:rsid w:val="00760039"/>
    <w:rsid w:val="00761FA4"/>
    <w:rsid w:val="00763273"/>
    <w:rsid w:val="0076501A"/>
    <w:rsid w:val="00765ED8"/>
    <w:rsid w:val="00770F4F"/>
    <w:rsid w:val="007803AD"/>
    <w:rsid w:val="007839AE"/>
    <w:rsid w:val="00785146"/>
    <w:rsid w:val="00791CD0"/>
    <w:rsid w:val="007A059E"/>
    <w:rsid w:val="007A41C0"/>
    <w:rsid w:val="007A5A82"/>
    <w:rsid w:val="007A5DE1"/>
    <w:rsid w:val="007A7B4C"/>
    <w:rsid w:val="007B0025"/>
    <w:rsid w:val="007B0FEB"/>
    <w:rsid w:val="007B4412"/>
    <w:rsid w:val="007C4093"/>
    <w:rsid w:val="007C7E7D"/>
    <w:rsid w:val="007D270D"/>
    <w:rsid w:val="007D2C32"/>
    <w:rsid w:val="007D423E"/>
    <w:rsid w:val="007D4F3E"/>
    <w:rsid w:val="007D72DA"/>
    <w:rsid w:val="007D7B8D"/>
    <w:rsid w:val="007E1C48"/>
    <w:rsid w:val="007E62AE"/>
    <w:rsid w:val="007E73EB"/>
    <w:rsid w:val="007F036F"/>
    <w:rsid w:val="007F1338"/>
    <w:rsid w:val="007F2546"/>
    <w:rsid w:val="007F4BD9"/>
    <w:rsid w:val="007F4C10"/>
    <w:rsid w:val="007F5C59"/>
    <w:rsid w:val="007F625A"/>
    <w:rsid w:val="00800E12"/>
    <w:rsid w:val="00801053"/>
    <w:rsid w:val="0080610F"/>
    <w:rsid w:val="00810968"/>
    <w:rsid w:val="00811918"/>
    <w:rsid w:val="008153D5"/>
    <w:rsid w:val="008231ED"/>
    <w:rsid w:val="00823CA9"/>
    <w:rsid w:val="00824562"/>
    <w:rsid w:val="00825F4C"/>
    <w:rsid w:val="00831869"/>
    <w:rsid w:val="00833A4F"/>
    <w:rsid w:val="00834FF0"/>
    <w:rsid w:val="0083650B"/>
    <w:rsid w:val="008403A0"/>
    <w:rsid w:val="0084652E"/>
    <w:rsid w:val="00846FC6"/>
    <w:rsid w:val="00847A0B"/>
    <w:rsid w:val="008506BD"/>
    <w:rsid w:val="008569CF"/>
    <w:rsid w:val="00860344"/>
    <w:rsid w:val="00860346"/>
    <w:rsid w:val="008627C7"/>
    <w:rsid w:val="008635D7"/>
    <w:rsid w:val="00870113"/>
    <w:rsid w:val="008715D7"/>
    <w:rsid w:val="00872D82"/>
    <w:rsid w:val="00873F09"/>
    <w:rsid w:val="008775E2"/>
    <w:rsid w:val="00881F75"/>
    <w:rsid w:val="008875CA"/>
    <w:rsid w:val="00895810"/>
    <w:rsid w:val="0089621F"/>
    <w:rsid w:val="008A7248"/>
    <w:rsid w:val="008B21EB"/>
    <w:rsid w:val="008B5DBC"/>
    <w:rsid w:val="008C0BE7"/>
    <w:rsid w:val="008C49D1"/>
    <w:rsid w:val="008C7368"/>
    <w:rsid w:val="008D094B"/>
    <w:rsid w:val="008D11A7"/>
    <w:rsid w:val="008D17DD"/>
    <w:rsid w:val="008D4186"/>
    <w:rsid w:val="008D5F08"/>
    <w:rsid w:val="008E111B"/>
    <w:rsid w:val="008E2774"/>
    <w:rsid w:val="008E38CF"/>
    <w:rsid w:val="008E5DAA"/>
    <w:rsid w:val="008E5F1D"/>
    <w:rsid w:val="008E6FAC"/>
    <w:rsid w:val="008F2ED3"/>
    <w:rsid w:val="008F3C13"/>
    <w:rsid w:val="008F6AEC"/>
    <w:rsid w:val="009003F6"/>
    <w:rsid w:val="00902581"/>
    <w:rsid w:val="00912013"/>
    <w:rsid w:val="00915D65"/>
    <w:rsid w:val="00925E61"/>
    <w:rsid w:val="0092649F"/>
    <w:rsid w:val="0093090F"/>
    <w:rsid w:val="00946EF5"/>
    <w:rsid w:val="0095685D"/>
    <w:rsid w:val="0095718B"/>
    <w:rsid w:val="009604BB"/>
    <w:rsid w:val="009618B7"/>
    <w:rsid w:val="00962CDE"/>
    <w:rsid w:val="00966AB8"/>
    <w:rsid w:val="0099177F"/>
    <w:rsid w:val="00992532"/>
    <w:rsid w:val="00995789"/>
    <w:rsid w:val="009A7391"/>
    <w:rsid w:val="009B00FD"/>
    <w:rsid w:val="009B1EA3"/>
    <w:rsid w:val="009B2EF0"/>
    <w:rsid w:val="009B3732"/>
    <w:rsid w:val="009B4C25"/>
    <w:rsid w:val="009B628C"/>
    <w:rsid w:val="009C2163"/>
    <w:rsid w:val="009C257D"/>
    <w:rsid w:val="009C3957"/>
    <w:rsid w:val="009C5FCD"/>
    <w:rsid w:val="009D18B6"/>
    <w:rsid w:val="009D2D9F"/>
    <w:rsid w:val="009D33C2"/>
    <w:rsid w:val="009D3518"/>
    <w:rsid w:val="009E0F69"/>
    <w:rsid w:val="009F0011"/>
    <w:rsid w:val="009F206D"/>
    <w:rsid w:val="009F3B77"/>
    <w:rsid w:val="009F66DE"/>
    <w:rsid w:val="009F6CAB"/>
    <w:rsid w:val="009F6E07"/>
    <w:rsid w:val="009F7A2C"/>
    <w:rsid w:val="00A01710"/>
    <w:rsid w:val="00A021A6"/>
    <w:rsid w:val="00A047F0"/>
    <w:rsid w:val="00A14ED7"/>
    <w:rsid w:val="00A161FC"/>
    <w:rsid w:val="00A2430D"/>
    <w:rsid w:val="00A262F5"/>
    <w:rsid w:val="00A30B35"/>
    <w:rsid w:val="00A30C68"/>
    <w:rsid w:val="00A4094F"/>
    <w:rsid w:val="00A500A4"/>
    <w:rsid w:val="00A61746"/>
    <w:rsid w:val="00A63300"/>
    <w:rsid w:val="00A701AE"/>
    <w:rsid w:val="00A7512D"/>
    <w:rsid w:val="00A75C48"/>
    <w:rsid w:val="00A75D88"/>
    <w:rsid w:val="00A765E9"/>
    <w:rsid w:val="00A76D9E"/>
    <w:rsid w:val="00A865ED"/>
    <w:rsid w:val="00A86C18"/>
    <w:rsid w:val="00A93FD2"/>
    <w:rsid w:val="00A9499F"/>
    <w:rsid w:val="00AA1A80"/>
    <w:rsid w:val="00AA2AC3"/>
    <w:rsid w:val="00AB4712"/>
    <w:rsid w:val="00AB48E9"/>
    <w:rsid w:val="00AC005D"/>
    <w:rsid w:val="00AC2EB1"/>
    <w:rsid w:val="00AC6F95"/>
    <w:rsid w:val="00AD4C30"/>
    <w:rsid w:val="00AD6EAD"/>
    <w:rsid w:val="00AE18CF"/>
    <w:rsid w:val="00AE1AFA"/>
    <w:rsid w:val="00AE67A6"/>
    <w:rsid w:val="00AF0CAF"/>
    <w:rsid w:val="00AF5FB1"/>
    <w:rsid w:val="00AF7468"/>
    <w:rsid w:val="00B015CE"/>
    <w:rsid w:val="00B01FBC"/>
    <w:rsid w:val="00B03658"/>
    <w:rsid w:val="00B04427"/>
    <w:rsid w:val="00B0779B"/>
    <w:rsid w:val="00B10BD5"/>
    <w:rsid w:val="00B149B5"/>
    <w:rsid w:val="00B151BE"/>
    <w:rsid w:val="00B209E9"/>
    <w:rsid w:val="00B236CB"/>
    <w:rsid w:val="00B30D51"/>
    <w:rsid w:val="00B33451"/>
    <w:rsid w:val="00B33F63"/>
    <w:rsid w:val="00B35632"/>
    <w:rsid w:val="00B43698"/>
    <w:rsid w:val="00B4481B"/>
    <w:rsid w:val="00B4710C"/>
    <w:rsid w:val="00B47D50"/>
    <w:rsid w:val="00B7018C"/>
    <w:rsid w:val="00B7019E"/>
    <w:rsid w:val="00B7185F"/>
    <w:rsid w:val="00B72BD6"/>
    <w:rsid w:val="00B8050A"/>
    <w:rsid w:val="00B8659A"/>
    <w:rsid w:val="00B869C6"/>
    <w:rsid w:val="00B87CB4"/>
    <w:rsid w:val="00B91989"/>
    <w:rsid w:val="00B94A57"/>
    <w:rsid w:val="00B97895"/>
    <w:rsid w:val="00B97D2A"/>
    <w:rsid w:val="00BA089D"/>
    <w:rsid w:val="00BA115A"/>
    <w:rsid w:val="00BA1466"/>
    <w:rsid w:val="00BA15B5"/>
    <w:rsid w:val="00BA359E"/>
    <w:rsid w:val="00BA6CF4"/>
    <w:rsid w:val="00BB03C1"/>
    <w:rsid w:val="00BB2053"/>
    <w:rsid w:val="00BB2348"/>
    <w:rsid w:val="00BB469B"/>
    <w:rsid w:val="00BB7A38"/>
    <w:rsid w:val="00BC04A3"/>
    <w:rsid w:val="00BC3D86"/>
    <w:rsid w:val="00BC7870"/>
    <w:rsid w:val="00BD0727"/>
    <w:rsid w:val="00BD11BC"/>
    <w:rsid w:val="00BD305E"/>
    <w:rsid w:val="00BE04B2"/>
    <w:rsid w:val="00BE12E8"/>
    <w:rsid w:val="00BE1EF1"/>
    <w:rsid w:val="00BE5444"/>
    <w:rsid w:val="00BF1C8F"/>
    <w:rsid w:val="00BF40A3"/>
    <w:rsid w:val="00BF7E50"/>
    <w:rsid w:val="00C013E9"/>
    <w:rsid w:val="00C04DEA"/>
    <w:rsid w:val="00C1098B"/>
    <w:rsid w:val="00C10C07"/>
    <w:rsid w:val="00C10F61"/>
    <w:rsid w:val="00C13228"/>
    <w:rsid w:val="00C133C0"/>
    <w:rsid w:val="00C15054"/>
    <w:rsid w:val="00C163BC"/>
    <w:rsid w:val="00C23258"/>
    <w:rsid w:val="00C27434"/>
    <w:rsid w:val="00C32ADD"/>
    <w:rsid w:val="00C34505"/>
    <w:rsid w:val="00C35B3B"/>
    <w:rsid w:val="00C36A51"/>
    <w:rsid w:val="00C459CE"/>
    <w:rsid w:val="00C479F8"/>
    <w:rsid w:val="00C51CEE"/>
    <w:rsid w:val="00C53AA9"/>
    <w:rsid w:val="00C56D21"/>
    <w:rsid w:val="00C60AB3"/>
    <w:rsid w:val="00C63818"/>
    <w:rsid w:val="00C64116"/>
    <w:rsid w:val="00C643DA"/>
    <w:rsid w:val="00C74982"/>
    <w:rsid w:val="00C82348"/>
    <w:rsid w:val="00C92D3F"/>
    <w:rsid w:val="00C950B9"/>
    <w:rsid w:val="00C95481"/>
    <w:rsid w:val="00CA1559"/>
    <w:rsid w:val="00CA1D32"/>
    <w:rsid w:val="00CB3FF8"/>
    <w:rsid w:val="00CB6B31"/>
    <w:rsid w:val="00CC44C8"/>
    <w:rsid w:val="00CD1229"/>
    <w:rsid w:val="00CD153F"/>
    <w:rsid w:val="00CD2230"/>
    <w:rsid w:val="00CD50E0"/>
    <w:rsid w:val="00CD5C95"/>
    <w:rsid w:val="00CE0FFF"/>
    <w:rsid w:val="00CE546B"/>
    <w:rsid w:val="00CF3F57"/>
    <w:rsid w:val="00CF5863"/>
    <w:rsid w:val="00CF7DC8"/>
    <w:rsid w:val="00D01425"/>
    <w:rsid w:val="00D04B4C"/>
    <w:rsid w:val="00D07E51"/>
    <w:rsid w:val="00D12F04"/>
    <w:rsid w:val="00D156F3"/>
    <w:rsid w:val="00D17B51"/>
    <w:rsid w:val="00D21F75"/>
    <w:rsid w:val="00D22E33"/>
    <w:rsid w:val="00D27209"/>
    <w:rsid w:val="00D324D9"/>
    <w:rsid w:val="00D32939"/>
    <w:rsid w:val="00D333CD"/>
    <w:rsid w:val="00D36298"/>
    <w:rsid w:val="00D41788"/>
    <w:rsid w:val="00D44196"/>
    <w:rsid w:val="00D449F2"/>
    <w:rsid w:val="00D44E67"/>
    <w:rsid w:val="00D45ED1"/>
    <w:rsid w:val="00D512BD"/>
    <w:rsid w:val="00D532CD"/>
    <w:rsid w:val="00D55A25"/>
    <w:rsid w:val="00D56E82"/>
    <w:rsid w:val="00D6619A"/>
    <w:rsid w:val="00D7490B"/>
    <w:rsid w:val="00D76AA8"/>
    <w:rsid w:val="00D76E05"/>
    <w:rsid w:val="00D76F33"/>
    <w:rsid w:val="00D8060D"/>
    <w:rsid w:val="00D81319"/>
    <w:rsid w:val="00D8247A"/>
    <w:rsid w:val="00D82B79"/>
    <w:rsid w:val="00D87F17"/>
    <w:rsid w:val="00D938AD"/>
    <w:rsid w:val="00D94396"/>
    <w:rsid w:val="00D97FEA"/>
    <w:rsid w:val="00DA1B3C"/>
    <w:rsid w:val="00DA2BF3"/>
    <w:rsid w:val="00DA57C1"/>
    <w:rsid w:val="00DA6DCE"/>
    <w:rsid w:val="00DB1D64"/>
    <w:rsid w:val="00DB2088"/>
    <w:rsid w:val="00DB6478"/>
    <w:rsid w:val="00DB6ED1"/>
    <w:rsid w:val="00DC1928"/>
    <w:rsid w:val="00DD1742"/>
    <w:rsid w:val="00DD2AD3"/>
    <w:rsid w:val="00DE15E5"/>
    <w:rsid w:val="00DF112F"/>
    <w:rsid w:val="00DF1EA0"/>
    <w:rsid w:val="00DF245C"/>
    <w:rsid w:val="00DF5062"/>
    <w:rsid w:val="00DF65CB"/>
    <w:rsid w:val="00E023CC"/>
    <w:rsid w:val="00E02FC1"/>
    <w:rsid w:val="00E0462B"/>
    <w:rsid w:val="00E0581E"/>
    <w:rsid w:val="00E07247"/>
    <w:rsid w:val="00E10251"/>
    <w:rsid w:val="00E1130A"/>
    <w:rsid w:val="00E148D0"/>
    <w:rsid w:val="00E14E80"/>
    <w:rsid w:val="00E17608"/>
    <w:rsid w:val="00E22081"/>
    <w:rsid w:val="00E26107"/>
    <w:rsid w:val="00E34A5B"/>
    <w:rsid w:val="00E36D46"/>
    <w:rsid w:val="00E4264C"/>
    <w:rsid w:val="00E458B0"/>
    <w:rsid w:val="00E501AE"/>
    <w:rsid w:val="00E506CD"/>
    <w:rsid w:val="00E512A8"/>
    <w:rsid w:val="00E538A0"/>
    <w:rsid w:val="00E569E5"/>
    <w:rsid w:val="00E57E43"/>
    <w:rsid w:val="00E65CE7"/>
    <w:rsid w:val="00E6628A"/>
    <w:rsid w:val="00E71DB9"/>
    <w:rsid w:val="00E72D7F"/>
    <w:rsid w:val="00E72F6F"/>
    <w:rsid w:val="00E73399"/>
    <w:rsid w:val="00E744D3"/>
    <w:rsid w:val="00E74CB1"/>
    <w:rsid w:val="00E75230"/>
    <w:rsid w:val="00E7573D"/>
    <w:rsid w:val="00E821CF"/>
    <w:rsid w:val="00E822B6"/>
    <w:rsid w:val="00E83E2F"/>
    <w:rsid w:val="00E85911"/>
    <w:rsid w:val="00E85E97"/>
    <w:rsid w:val="00E8749A"/>
    <w:rsid w:val="00E90A5E"/>
    <w:rsid w:val="00E93031"/>
    <w:rsid w:val="00E931F1"/>
    <w:rsid w:val="00E95CFD"/>
    <w:rsid w:val="00E972E0"/>
    <w:rsid w:val="00EA4358"/>
    <w:rsid w:val="00EA4482"/>
    <w:rsid w:val="00EA5BB2"/>
    <w:rsid w:val="00EA67C5"/>
    <w:rsid w:val="00EA7524"/>
    <w:rsid w:val="00EB42C3"/>
    <w:rsid w:val="00EB5304"/>
    <w:rsid w:val="00EB6D70"/>
    <w:rsid w:val="00EC5FED"/>
    <w:rsid w:val="00ED27A4"/>
    <w:rsid w:val="00ED5154"/>
    <w:rsid w:val="00EE2CE9"/>
    <w:rsid w:val="00EE39D9"/>
    <w:rsid w:val="00EF2087"/>
    <w:rsid w:val="00EF4FBA"/>
    <w:rsid w:val="00F00B64"/>
    <w:rsid w:val="00F02423"/>
    <w:rsid w:val="00F072C1"/>
    <w:rsid w:val="00F07693"/>
    <w:rsid w:val="00F10369"/>
    <w:rsid w:val="00F13265"/>
    <w:rsid w:val="00F14B96"/>
    <w:rsid w:val="00F1681C"/>
    <w:rsid w:val="00F17DEA"/>
    <w:rsid w:val="00F223B3"/>
    <w:rsid w:val="00F274E8"/>
    <w:rsid w:val="00F33F13"/>
    <w:rsid w:val="00F35137"/>
    <w:rsid w:val="00F43286"/>
    <w:rsid w:val="00F438F3"/>
    <w:rsid w:val="00F55ECA"/>
    <w:rsid w:val="00F57DCD"/>
    <w:rsid w:val="00F62A30"/>
    <w:rsid w:val="00F63AEB"/>
    <w:rsid w:val="00F65DFE"/>
    <w:rsid w:val="00F67375"/>
    <w:rsid w:val="00F72305"/>
    <w:rsid w:val="00F74627"/>
    <w:rsid w:val="00F7623C"/>
    <w:rsid w:val="00F77F3E"/>
    <w:rsid w:val="00F8648C"/>
    <w:rsid w:val="00F908A8"/>
    <w:rsid w:val="00F93AA6"/>
    <w:rsid w:val="00F94194"/>
    <w:rsid w:val="00F959C8"/>
    <w:rsid w:val="00F9750C"/>
    <w:rsid w:val="00F9789E"/>
    <w:rsid w:val="00FA67D4"/>
    <w:rsid w:val="00FB00E1"/>
    <w:rsid w:val="00FB12A5"/>
    <w:rsid w:val="00FB1587"/>
    <w:rsid w:val="00FB322D"/>
    <w:rsid w:val="00FB42CB"/>
    <w:rsid w:val="00FB43C6"/>
    <w:rsid w:val="00FB4715"/>
    <w:rsid w:val="00FB5401"/>
    <w:rsid w:val="00FC1111"/>
    <w:rsid w:val="00FC194B"/>
    <w:rsid w:val="00FC3BB8"/>
    <w:rsid w:val="00FD6CA8"/>
    <w:rsid w:val="00FE1B41"/>
    <w:rsid w:val="00FF21F2"/>
    <w:rsid w:val="00FF339E"/>
    <w:rsid w:val="00FF40F9"/>
    <w:rsid w:val="00FF47AD"/>
    <w:rsid w:val="00FF6875"/>
    <w:rsid w:val="00FF698C"/>
    <w:rsid w:val="040E6340"/>
    <w:rsid w:val="06AF2BA6"/>
    <w:rsid w:val="0B92351D"/>
    <w:rsid w:val="11F1104F"/>
    <w:rsid w:val="1783099B"/>
    <w:rsid w:val="1BC72B84"/>
    <w:rsid w:val="1DDC4C5A"/>
    <w:rsid w:val="1F34569E"/>
    <w:rsid w:val="20653333"/>
    <w:rsid w:val="24821797"/>
    <w:rsid w:val="32C005FA"/>
    <w:rsid w:val="382124F5"/>
    <w:rsid w:val="39CB45DC"/>
    <w:rsid w:val="3D672041"/>
    <w:rsid w:val="3EC86B10"/>
    <w:rsid w:val="4FAF6015"/>
    <w:rsid w:val="51DD276A"/>
    <w:rsid w:val="58B10512"/>
    <w:rsid w:val="5A7F512D"/>
    <w:rsid w:val="5C3435DF"/>
    <w:rsid w:val="60DD4ADD"/>
    <w:rsid w:val="62F70685"/>
    <w:rsid w:val="6AEB57B0"/>
    <w:rsid w:val="6C5F311C"/>
    <w:rsid w:val="6D277756"/>
    <w:rsid w:val="74022FF8"/>
    <w:rsid w:val="771D5332"/>
    <w:rsid w:val="7A08321D"/>
    <w:rsid w:val="7B095F0A"/>
    <w:rsid w:val="7DB33A33"/>
    <w:rsid w:val="7E1035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26"/>
    <w:semiHidden/>
    <w:unhideWhenUsed/>
    <w:qFormat/>
    <w:uiPriority w:val="99"/>
    <w:pPr>
      <w:jc w:val="left"/>
    </w:pPr>
  </w:style>
  <w:style w:type="paragraph" w:styleId="3">
    <w:name w:val="Plain Text"/>
    <w:basedOn w:val="1"/>
    <w:link w:val="16"/>
    <w:qFormat/>
    <w:uiPriority w:val="0"/>
    <w:rPr>
      <w:rFonts w:ascii="宋体" w:hAnsi="Courier New" w:cstheme="minorBidi"/>
      <w:szCs w:val="22"/>
    </w:rPr>
  </w:style>
  <w:style w:type="paragraph" w:styleId="4">
    <w:name w:val="Balloon Text"/>
    <w:basedOn w:val="1"/>
    <w:link w:val="24"/>
    <w:semiHidden/>
    <w:unhideWhenUsed/>
    <w:qFormat/>
    <w:uiPriority w:val="99"/>
    <w:rPr>
      <w:sz w:val="18"/>
      <w:szCs w:val="18"/>
    </w:rPr>
  </w:style>
  <w:style w:type="paragraph" w:styleId="5">
    <w:name w:val="footer"/>
    <w:basedOn w:val="1"/>
    <w:link w:val="17"/>
    <w:qFormat/>
    <w:uiPriority w:val="0"/>
    <w:pPr>
      <w:tabs>
        <w:tab w:val="center" w:pos="4153"/>
        <w:tab w:val="right" w:pos="8306"/>
      </w:tabs>
      <w:snapToGrid w:val="0"/>
      <w:jc w:val="left"/>
    </w:pPr>
    <w:rPr>
      <w:rFonts w:asciiTheme="minorHAnsi" w:hAnsiTheme="minorHAnsi" w:eastAsiaTheme="minorEastAsia" w:cstheme="minorBidi"/>
      <w:sz w:val="18"/>
      <w:szCs w:val="22"/>
    </w:rPr>
  </w:style>
  <w:style w:type="paragraph" w:styleId="6">
    <w:name w:val="header"/>
    <w:basedOn w:val="1"/>
    <w:link w:val="22"/>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itle"/>
    <w:basedOn w:val="1"/>
    <w:link w:val="18"/>
    <w:qFormat/>
    <w:uiPriority w:val="0"/>
    <w:pPr>
      <w:spacing w:before="240" w:after="60"/>
      <w:jc w:val="center"/>
      <w:outlineLvl w:val="0"/>
    </w:pPr>
    <w:rPr>
      <w:rFonts w:ascii="Arial" w:hAnsi="Arial" w:cs="Arial"/>
      <w:b/>
      <w:bCs/>
      <w:sz w:val="32"/>
      <w:szCs w:val="32"/>
    </w:rPr>
  </w:style>
  <w:style w:type="paragraph" w:styleId="8">
    <w:name w:val="annotation subject"/>
    <w:basedOn w:val="2"/>
    <w:next w:val="2"/>
    <w:link w:val="27"/>
    <w:semiHidden/>
    <w:unhideWhenUsed/>
    <w:qFormat/>
    <w:uiPriority w:val="99"/>
    <w:rPr>
      <w:b/>
      <w:bCs/>
    </w:rPr>
  </w:style>
  <w:style w:type="table" w:styleId="10">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22"/>
    <w:rPr>
      <w:b/>
      <w:bCs/>
    </w:rPr>
  </w:style>
  <w:style w:type="character" w:styleId="13">
    <w:name w:val="Emphasis"/>
    <w:basedOn w:val="11"/>
    <w:qFormat/>
    <w:uiPriority w:val="20"/>
    <w:rPr>
      <w:i/>
      <w:iCs/>
    </w:rPr>
  </w:style>
  <w:style w:type="character" w:styleId="14">
    <w:name w:val="Hyperlink"/>
    <w:basedOn w:val="11"/>
    <w:semiHidden/>
    <w:unhideWhenUsed/>
    <w:qFormat/>
    <w:uiPriority w:val="99"/>
    <w:rPr>
      <w:color w:val="0000FF"/>
      <w:u w:val="single"/>
    </w:rPr>
  </w:style>
  <w:style w:type="character" w:styleId="15">
    <w:name w:val="annotation reference"/>
    <w:basedOn w:val="11"/>
    <w:semiHidden/>
    <w:unhideWhenUsed/>
    <w:qFormat/>
    <w:uiPriority w:val="99"/>
    <w:rPr>
      <w:sz w:val="21"/>
      <w:szCs w:val="21"/>
    </w:rPr>
  </w:style>
  <w:style w:type="character" w:customStyle="1" w:styleId="16">
    <w:name w:val="纯文本 字符"/>
    <w:link w:val="3"/>
    <w:qFormat/>
    <w:uiPriority w:val="0"/>
    <w:rPr>
      <w:rFonts w:ascii="宋体" w:hAnsi="Courier New" w:eastAsia="宋体"/>
    </w:rPr>
  </w:style>
  <w:style w:type="character" w:customStyle="1" w:styleId="17">
    <w:name w:val="页脚 字符"/>
    <w:link w:val="5"/>
    <w:qFormat/>
    <w:uiPriority w:val="0"/>
    <w:rPr>
      <w:sz w:val="18"/>
    </w:rPr>
  </w:style>
  <w:style w:type="character" w:customStyle="1" w:styleId="18">
    <w:name w:val="标题 字符"/>
    <w:link w:val="7"/>
    <w:qFormat/>
    <w:uiPriority w:val="0"/>
    <w:rPr>
      <w:rFonts w:ascii="Arial" w:hAnsi="Arial" w:eastAsia="宋体" w:cs="Arial"/>
      <w:b/>
      <w:bCs/>
      <w:sz w:val="32"/>
      <w:szCs w:val="32"/>
    </w:rPr>
  </w:style>
  <w:style w:type="character" w:customStyle="1" w:styleId="19">
    <w:name w:val="页脚 Char"/>
    <w:basedOn w:val="11"/>
    <w:semiHidden/>
    <w:qFormat/>
    <w:uiPriority w:val="99"/>
    <w:rPr>
      <w:rFonts w:ascii="Times New Roman" w:hAnsi="Times New Roman" w:eastAsia="宋体" w:cs="Times New Roman"/>
      <w:sz w:val="18"/>
      <w:szCs w:val="18"/>
    </w:rPr>
  </w:style>
  <w:style w:type="character" w:customStyle="1" w:styleId="20">
    <w:name w:val="标题 Char"/>
    <w:basedOn w:val="11"/>
    <w:qFormat/>
    <w:uiPriority w:val="10"/>
    <w:rPr>
      <w:rFonts w:eastAsia="宋体" w:asciiTheme="majorHAnsi" w:hAnsiTheme="majorHAnsi" w:cstheme="majorBidi"/>
      <w:b/>
      <w:bCs/>
      <w:sz w:val="32"/>
      <w:szCs w:val="32"/>
    </w:rPr>
  </w:style>
  <w:style w:type="character" w:customStyle="1" w:styleId="21">
    <w:name w:val="纯文本 Char"/>
    <w:basedOn w:val="11"/>
    <w:semiHidden/>
    <w:qFormat/>
    <w:uiPriority w:val="99"/>
    <w:rPr>
      <w:rFonts w:ascii="宋体" w:hAnsi="Courier New" w:eastAsia="宋体" w:cs="Courier New"/>
      <w:szCs w:val="21"/>
    </w:rPr>
  </w:style>
  <w:style w:type="character" w:customStyle="1" w:styleId="22">
    <w:name w:val="页眉 字符"/>
    <w:basedOn w:val="11"/>
    <w:link w:val="6"/>
    <w:qFormat/>
    <w:uiPriority w:val="99"/>
    <w:rPr>
      <w:rFonts w:ascii="Times New Roman" w:hAnsi="Times New Roman" w:eastAsia="宋体" w:cs="Times New Roman"/>
      <w:sz w:val="18"/>
      <w:szCs w:val="18"/>
    </w:rPr>
  </w:style>
  <w:style w:type="paragraph" w:styleId="23">
    <w:name w:val="List Paragraph"/>
    <w:basedOn w:val="1"/>
    <w:qFormat/>
    <w:uiPriority w:val="34"/>
    <w:pPr>
      <w:ind w:firstLine="420" w:firstLineChars="200"/>
    </w:pPr>
  </w:style>
  <w:style w:type="character" w:customStyle="1" w:styleId="24">
    <w:name w:val="批注框文本 字符"/>
    <w:basedOn w:val="11"/>
    <w:link w:val="4"/>
    <w:semiHidden/>
    <w:qFormat/>
    <w:uiPriority w:val="99"/>
    <w:rPr>
      <w:rFonts w:ascii="Times New Roman" w:hAnsi="Times New Roman" w:eastAsia="宋体" w:cs="Times New Roman"/>
      <w:sz w:val="18"/>
      <w:szCs w:val="18"/>
    </w:rPr>
  </w:style>
  <w:style w:type="paragraph" w:customStyle="1" w:styleId="25">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character" w:customStyle="1" w:styleId="26">
    <w:name w:val="批注文字 字符"/>
    <w:basedOn w:val="11"/>
    <w:link w:val="2"/>
    <w:semiHidden/>
    <w:qFormat/>
    <w:uiPriority w:val="99"/>
    <w:rPr>
      <w:rFonts w:ascii="Times New Roman" w:hAnsi="Times New Roman" w:eastAsia="宋体" w:cs="Times New Roman"/>
      <w:kern w:val="2"/>
      <w:sz w:val="21"/>
    </w:rPr>
  </w:style>
  <w:style w:type="character" w:customStyle="1" w:styleId="27">
    <w:name w:val="批注主题 字符"/>
    <w:basedOn w:val="26"/>
    <w:link w:val="8"/>
    <w:semiHidden/>
    <w:qFormat/>
    <w:uiPriority w:val="99"/>
    <w:rPr>
      <w:rFonts w:ascii="Times New Roman" w:hAnsi="Times New Roman" w:eastAsia="宋体" w:cs="Times New Roman"/>
      <w:b/>
      <w:bCs/>
      <w:kern w:val="2"/>
      <w:sz w:val="21"/>
    </w:rPr>
  </w:style>
  <w:style w:type="paragraph" w:customStyle="1" w:styleId="28">
    <w:name w:val="修订1"/>
    <w:hidden/>
    <w:semiHidden/>
    <w:qFormat/>
    <w:uiPriority w:val="99"/>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3839</Words>
  <Characters>3970</Characters>
  <Lines>44</Lines>
  <Paragraphs>12</Paragraphs>
  <TotalTime>26</TotalTime>
  <ScaleCrop>false</ScaleCrop>
  <LinksUpToDate>false</LinksUpToDate>
  <CharactersWithSpaces>4163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2021-03-17T07:37:00Z</dcterms:created>
  <dc:creator>User</dc:creator>
  <cp:lastModifiedBy>草木皆兵</cp:lastModifiedBy>
  <dcterms:modified xsi:type="dcterms:W3CDTF">2026-09-30T07:31:54Z</dcterms:modified>
  <cp:revision>832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FD47254428C546C79753499200788EBF</vt:lpwstr>
  </property>
  <property fmtid="{D5CDD505-2E9C-101B-9397-08002B2CF9AE}" pid="4" name="KSOTemplateDocerSaveRecord">
    <vt:lpwstr>eyJoZGlkIjoiYTIzZjMxNjA4OTI1YWI4NzFhZWIyYzM5MWI3MzI3OTYiLCJ1c2VySWQiOiI1OTE2OTY5NjkifQ==</vt:lpwstr>
  </property>
</Properties>
</file>