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宋体" w:hAnsi="宋体"/>
          <w:color w:val="auto"/>
          <w:sz w:val="36"/>
        </w:rPr>
      </w:pPr>
      <w:bookmarkStart w:id="0" w:name="_Toc38367762"/>
      <w:r>
        <w:rPr>
          <w:rFonts w:hint="eastAsia" w:ascii="宋体" w:hAnsi="宋体"/>
          <w:color w:val="auto"/>
          <w:sz w:val="36"/>
        </w:rPr>
        <w:t>【</w:t>
      </w:r>
      <w:bookmarkStart w:id="1" w:name="OLE_LINK8"/>
      <w:bookmarkStart w:id="2" w:name="OLE_LINK9"/>
      <w:bookmarkStart w:id="3" w:name="OLE_LINK7"/>
      <w:r>
        <w:rPr>
          <w:rFonts w:hint="eastAsia" w:ascii="宋体" w:hAnsi="宋体"/>
          <w:color w:val="auto"/>
          <w:sz w:val="36"/>
        </w:rPr>
        <w:t>纳米粒子跟踪器</w:t>
      </w:r>
      <w:bookmarkEnd w:id="1"/>
      <w:bookmarkEnd w:id="2"/>
      <w:bookmarkEnd w:id="3"/>
      <w:r>
        <w:rPr>
          <w:rFonts w:hint="eastAsia" w:ascii="宋体" w:hAnsi="宋体"/>
          <w:color w:val="auto"/>
          <w:sz w:val="36"/>
        </w:rPr>
        <w:t>】</w:t>
      </w:r>
      <w:r>
        <w:rPr>
          <w:rFonts w:ascii="宋体" w:hAnsi="宋体"/>
          <w:color w:val="auto"/>
          <w:sz w:val="36"/>
        </w:rPr>
        <w:t>采购需求</w:t>
      </w:r>
      <w:bookmarkEnd w:id="0"/>
    </w:p>
    <w:p>
      <w:pPr>
        <w:tabs>
          <w:tab w:val="left" w:pos="900"/>
        </w:tabs>
        <w:spacing w:before="156" w:beforeLines="50" w:line="360" w:lineRule="auto"/>
        <w:rPr>
          <w:b/>
          <w:color w:val="auto"/>
          <w:szCs w:val="21"/>
        </w:rPr>
      </w:pPr>
      <w:bookmarkStart w:id="4" w:name="_Toc172360661"/>
      <w:bookmarkStart w:id="5" w:name="_Toc158978330"/>
      <w:bookmarkStart w:id="6" w:name="_Toc219271393"/>
      <w:r>
        <w:rPr>
          <w:rFonts w:hint="eastAsia" w:hAnsi="宋体"/>
          <w:b/>
          <w:color w:val="auto"/>
          <w:szCs w:val="21"/>
        </w:rPr>
        <w:t>一、</w:t>
      </w:r>
      <w:r>
        <w:rPr>
          <w:rFonts w:hAnsi="宋体"/>
          <w:b/>
          <w:color w:val="auto"/>
          <w:szCs w:val="21"/>
        </w:rPr>
        <w:t>采购</w:t>
      </w:r>
      <w:r>
        <w:rPr>
          <w:rFonts w:hint="eastAsia" w:hAnsi="宋体"/>
          <w:b/>
          <w:color w:val="auto"/>
          <w:szCs w:val="21"/>
        </w:rPr>
        <w:t>标的</w:t>
      </w:r>
      <w:r>
        <w:rPr>
          <w:rFonts w:hAnsi="宋体"/>
          <w:b/>
          <w:color w:val="auto"/>
          <w:szCs w:val="21"/>
        </w:rPr>
        <w:t>需实现的功能或者目标，以及为落实政府采购政策需满足的要求：</w:t>
      </w:r>
    </w:p>
    <w:p>
      <w:pPr>
        <w:tabs>
          <w:tab w:val="left" w:pos="900"/>
        </w:tabs>
        <w:spacing w:before="156" w:beforeLines="50" w:line="360" w:lineRule="auto"/>
        <w:rPr>
          <w:b/>
          <w:color w:val="auto"/>
          <w:szCs w:val="21"/>
        </w:rPr>
      </w:pPr>
      <w:r>
        <w:rPr>
          <w:rFonts w:hAnsi="宋体"/>
          <w:b/>
          <w:color w:val="auto"/>
          <w:szCs w:val="21"/>
        </w:rPr>
        <w:t>（一）采</w:t>
      </w:r>
      <w:bookmarkStart w:id="7" w:name="OLE_LINK4"/>
      <w:bookmarkStart w:id="8" w:name="OLE_LINK3"/>
      <w:r>
        <w:rPr>
          <w:rFonts w:hAnsi="宋体"/>
          <w:b/>
          <w:color w:val="auto"/>
          <w:szCs w:val="21"/>
        </w:rPr>
        <w:t>购</w:t>
      </w:r>
      <w:r>
        <w:rPr>
          <w:rFonts w:hint="eastAsia" w:hAnsi="宋体"/>
          <w:b/>
          <w:color w:val="auto"/>
          <w:szCs w:val="21"/>
        </w:rPr>
        <w:t>标的</w:t>
      </w:r>
      <w:r>
        <w:rPr>
          <w:rFonts w:hAnsi="宋体"/>
          <w:b/>
          <w:color w:val="auto"/>
          <w:szCs w:val="21"/>
        </w:rPr>
        <w:t>需实现的功能或者目标</w:t>
      </w:r>
      <w:bookmarkEnd w:id="7"/>
      <w:bookmarkEnd w:id="8"/>
    </w:p>
    <w:p>
      <w:pPr>
        <w:spacing w:line="360" w:lineRule="auto"/>
        <w:ind w:firstLine="420" w:firstLineChars="200"/>
        <w:rPr>
          <w:rFonts w:ascii="宋体" w:hAnsi="宋体" w:cs="宋体"/>
          <w:color w:val="auto"/>
          <w:szCs w:val="21"/>
        </w:rPr>
      </w:pPr>
      <w:r>
        <w:rPr>
          <w:rFonts w:ascii="宋体" w:hAnsi="宋体" w:cs="等线"/>
        </w:rPr>
        <w:t>本项目</w:t>
      </w:r>
      <w:r>
        <w:rPr>
          <w:rFonts w:hint="eastAsia" w:ascii="宋体" w:hAnsi="宋体" w:cs="等线"/>
        </w:rPr>
        <w:t>拟</w:t>
      </w:r>
      <w:r>
        <w:rPr>
          <w:rFonts w:ascii="宋体" w:hAnsi="宋体" w:cs="等线"/>
        </w:rPr>
        <w:t>采购</w:t>
      </w:r>
      <w:r>
        <w:rPr>
          <w:rFonts w:hint="eastAsia" w:ascii="宋体" w:hAnsi="宋体" w:cs="等线"/>
        </w:rPr>
        <w:t>纳米粒子跟踪器设备或系统一</w:t>
      </w:r>
      <w:r>
        <w:rPr>
          <w:rFonts w:ascii="宋体" w:hAnsi="宋体" w:cs="等线"/>
        </w:rPr>
        <w:t>套，</w:t>
      </w:r>
      <w:r>
        <w:rPr>
          <w:rFonts w:hint="eastAsia" w:ascii="宋体" w:hAnsi="宋体" w:cs="等线"/>
        </w:rPr>
        <w:t>主要通过光学与电学相结合原理，需要兼具光学可视化</w:t>
      </w:r>
      <w:r>
        <w:rPr>
          <w:rFonts w:hint="eastAsia" w:ascii="宋体" w:hAnsi="宋体" w:cs="等线"/>
          <w:color w:val="000000" w:themeColor="text1"/>
          <w14:textFill>
            <w14:solidFill>
              <w14:schemeClr w14:val="tx1"/>
            </w14:solidFill>
          </w14:textFill>
        </w:rPr>
        <w:t>初步观察样本分散度/团聚，以及电学精准单颗粒表征特点，具有可视化评估与高精度电学单颗粒检测两大主要核心技术模块及定性检测辅助模块，突破传统单一检测原理的局限性，实现从宏观团聚状态观测到</w:t>
      </w:r>
      <w:r>
        <w:rPr>
          <w:rFonts w:hint="eastAsia" w:ascii="宋体" w:hAnsi="宋体" w:cs="等线"/>
        </w:rPr>
        <w:t>微观粒径、粒径分布、浓度、zeta电位等精准解析以及定性检测的解决方案，专为实现细胞外囊泡、脂质</w:t>
      </w:r>
      <w:r>
        <w:rPr>
          <w:rFonts w:ascii="宋体" w:hAnsi="宋体" w:cs="等线"/>
        </w:rPr>
        <w:t>纳米颗粒（LNP）</w:t>
      </w:r>
      <w:r>
        <w:rPr>
          <w:rFonts w:hint="eastAsia" w:ascii="宋体" w:hAnsi="宋体" w:cs="等线"/>
        </w:rPr>
        <w:t>、</w:t>
      </w:r>
      <w:r>
        <w:rPr>
          <w:rFonts w:ascii="宋体" w:hAnsi="宋体" w:cs="等线"/>
        </w:rPr>
        <w:t>纳米材料的质量</w:t>
      </w:r>
      <w:r>
        <w:rPr>
          <w:rFonts w:hint="eastAsia" w:ascii="宋体" w:hAnsi="宋体" w:cs="等线"/>
        </w:rPr>
        <w:t>监测</w:t>
      </w:r>
      <w:r>
        <w:rPr>
          <w:rFonts w:ascii="宋体" w:hAnsi="宋体" w:cs="等线"/>
        </w:rPr>
        <w:t>、</w:t>
      </w:r>
      <w:r>
        <w:rPr>
          <w:rFonts w:hint="eastAsia" w:ascii="宋体" w:hAnsi="宋体" w:cs="等线"/>
        </w:rPr>
        <w:t>制备</w:t>
      </w:r>
      <w:r>
        <w:rPr>
          <w:rFonts w:ascii="宋体" w:hAnsi="宋体" w:cs="等线"/>
        </w:rPr>
        <w:t>工艺优化及科研创新设计</w:t>
      </w:r>
      <w:r>
        <w:rPr>
          <w:rFonts w:hint="eastAsia" w:ascii="宋体" w:hAnsi="宋体" w:cs="等线"/>
        </w:rPr>
        <w:t>，从而为生物医学领域的研究和生产提供关键数据和</w:t>
      </w:r>
      <w:r>
        <w:rPr>
          <w:rFonts w:ascii="宋体" w:hAnsi="宋体" w:cs="等线"/>
        </w:rPr>
        <w:t>标准化支撑。</w:t>
      </w:r>
    </w:p>
    <w:p>
      <w:pPr>
        <w:tabs>
          <w:tab w:val="left" w:pos="900"/>
        </w:tabs>
        <w:spacing w:before="156" w:beforeLines="50" w:line="360" w:lineRule="auto"/>
        <w:rPr>
          <w:b/>
          <w:color w:val="auto"/>
          <w:szCs w:val="21"/>
        </w:rPr>
      </w:pPr>
      <w:r>
        <w:rPr>
          <w:rFonts w:hAnsi="宋体"/>
          <w:b/>
          <w:color w:val="auto"/>
          <w:szCs w:val="21"/>
        </w:rPr>
        <w:t>（二）为落实政府采购政策需满足的要求</w:t>
      </w:r>
    </w:p>
    <w:p>
      <w:pPr>
        <w:tabs>
          <w:tab w:val="left" w:pos="900"/>
        </w:tabs>
        <w:spacing w:line="360" w:lineRule="auto"/>
        <w:ind w:left="420"/>
        <w:rPr>
          <w:rFonts w:hAnsi="宋体"/>
          <w:color w:val="auto"/>
          <w:szCs w:val="21"/>
        </w:rPr>
      </w:pPr>
      <w:r>
        <w:rPr>
          <w:rFonts w:hint="eastAsia" w:hAnsi="宋体"/>
          <w:color w:val="auto"/>
          <w:szCs w:val="24"/>
        </w:rPr>
        <w:t>1</w:t>
      </w:r>
      <w:r>
        <w:rPr>
          <w:rFonts w:hAnsi="宋体"/>
          <w:color w:val="auto"/>
          <w:szCs w:val="24"/>
        </w:rPr>
        <w:t>.根据</w:t>
      </w:r>
      <w:r>
        <w:rPr>
          <w:rFonts w:hAnsi="宋体"/>
          <w:color w:val="auto"/>
        </w:rPr>
        <w:t>《政府采购促进中小企业发展管理办法》</w:t>
      </w:r>
      <w:r>
        <w:rPr>
          <w:rFonts w:hint="eastAsia" w:hAnsi="宋体"/>
          <w:color w:val="auto"/>
        </w:rPr>
        <w:t>（财库【2</w:t>
      </w:r>
      <w:r>
        <w:rPr>
          <w:rFonts w:hAnsi="宋体"/>
          <w:color w:val="auto"/>
        </w:rPr>
        <w:t>020</w:t>
      </w:r>
      <w:r>
        <w:rPr>
          <w:rFonts w:hint="eastAsia" w:hAnsi="宋体"/>
          <w:color w:val="auto"/>
        </w:rPr>
        <w:t>】4</w:t>
      </w:r>
      <w:r>
        <w:rPr>
          <w:rFonts w:hAnsi="宋体"/>
          <w:color w:val="auto"/>
        </w:rPr>
        <w:t>6</w:t>
      </w:r>
      <w:r>
        <w:rPr>
          <w:rFonts w:hint="eastAsia" w:hAnsi="宋体"/>
          <w:color w:val="auto"/>
        </w:rPr>
        <w:t>号）</w:t>
      </w:r>
      <w:r>
        <w:rPr>
          <w:rFonts w:hAnsi="宋体"/>
          <w:color w:val="auto"/>
        </w:rPr>
        <w:t>规定，本项目</w:t>
      </w:r>
      <w:r>
        <w:rPr>
          <w:rFonts w:hint="eastAsia" w:hAnsi="宋体"/>
          <w:color w:val="auto"/>
        </w:rPr>
        <w:t>采购标的</w:t>
      </w:r>
      <w:r>
        <w:rPr>
          <w:rFonts w:hAnsi="宋体"/>
          <w:color w:val="auto"/>
        </w:rPr>
        <w:t>为</w:t>
      </w:r>
      <w:r>
        <w:rPr>
          <w:rFonts w:hint="eastAsia" w:hAnsi="宋体"/>
          <w:color w:val="auto"/>
        </w:rPr>
        <w:t>中小</w:t>
      </w:r>
      <w:r>
        <w:rPr>
          <w:rFonts w:hAnsi="宋体"/>
          <w:color w:val="auto"/>
        </w:rPr>
        <w:t>型企业</w:t>
      </w:r>
      <w:r>
        <w:rPr>
          <w:rFonts w:hint="eastAsia" w:hAnsi="宋体"/>
          <w:color w:val="auto"/>
        </w:rPr>
        <w:t>制造、承建或承接</w:t>
      </w:r>
      <w:r>
        <w:rPr>
          <w:rFonts w:hAnsi="宋体"/>
          <w:color w:val="auto"/>
          <w:szCs w:val="24"/>
        </w:rPr>
        <w:t>的，</w:t>
      </w:r>
      <w:r>
        <w:rPr>
          <w:rFonts w:hAnsi="宋体"/>
          <w:color w:val="auto"/>
        </w:rPr>
        <w:t>投标人应</w:t>
      </w:r>
      <w:r>
        <w:rPr>
          <w:rFonts w:hint="eastAsia" w:hAnsi="宋体"/>
          <w:color w:val="auto"/>
        </w:rPr>
        <w:t>提供办法规定的</w:t>
      </w:r>
      <w:r>
        <w:rPr>
          <w:rFonts w:hAnsi="宋体"/>
          <w:color w:val="auto"/>
          <w:szCs w:val="21"/>
        </w:rPr>
        <w:t>《中小企业声明函》</w:t>
      </w:r>
      <w:r>
        <w:rPr>
          <w:rFonts w:hint="eastAsia" w:hAnsi="宋体"/>
          <w:color w:val="auto"/>
          <w:szCs w:val="21"/>
        </w:rPr>
        <w:t>，否则不得享受相关中小企业扶持政策</w:t>
      </w:r>
      <w:r>
        <w:rPr>
          <w:rFonts w:hAnsi="宋体"/>
          <w:color w:val="auto"/>
          <w:szCs w:val="24"/>
        </w:rPr>
        <w:t>。投标人应对提交的中小企业声明函的真实性负责，提交的中小企业声明函不真实的，应承担相应的法律责任</w:t>
      </w:r>
      <w:r>
        <w:rPr>
          <w:rFonts w:hAnsi="宋体"/>
          <w:color w:val="auto"/>
          <w:szCs w:val="21"/>
        </w:rPr>
        <w:t>。</w:t>
      </w:r>
    </w:p>
    <w:p>
      <w:pPr>
        <w:tabs>
          <w:tab w:val="left" w:pos="900"/>
        </w:tabs>
        <w:spacing w:line="360" w:lineRule="auto"/>
        <w:ind w:left="420"/>
        <w:rPr>
          <w:rFonts w:hAnsi="宋体"/>
          <w:color w:val="auto"/>
          <w:szCs w:val="24"/>
        </w:rPr>
      </w:pPr>
      <w:r>
        <w:rPr>
          <w:rFonts w:hint="eastAsia" w:hAnsi="宋体"/>
          <w:color w:val="auto"/>
          <w:szCs w:val="24"/>
        </w:rPr>
        <w:t>本项目采购标的对应的《中小企业划型标准规定》所属行业为：</w:t>
      </w:r>
      <w:r>
        <w:rPr>
          <w:rFonts w:hint="eastAsia" w:hAnsi="宋体"/>
          <w:color w:val="auto"/>
          <w:szCs w:val="24"/>
          <w:u w:val="single"/>
        </w:rPr>
        <w:t xml:space="preserve">  工业  </w:t>
      </w:r>
      <w:r>
        <w:rPr>
          <w:rFonts w:hint="eastAsia" w:hAnsi="宋体"/>
          <w:color w:val="auto"/>
          <w:szCs w:val="24"/>
        </w:rPr>
        <w:t>。</w:t>
      </w:r>
    </w:p>
    <w:p>
      <w:pPr>
        <w:tabs>
          <w:tab w:val="left" w:pos="900"/>
        </w:tabs>
        <w:spacing w:line="360" w:lineRule="auto"/>
        <w:ind w:left="420"/>
        <w:rPr>
          <w:rFonts w:cs="宋体" w:asciiTheme="minorEastAsia" w:hAnsiTheme="minorEastAsia"/>
          <w:b/>
          <w:color w:val="auto"/>
          <w:kern w:val="0"/>
          <w:sz w:val="20"/>
          <w:szCs w:val="21"/>
        </w:rPr>
      </w:pPr>
      <w:r>
        <w:rPr>
          <w:rFonts w:hint="eastAsia" w:hAnsi="宋体"/>
          <w:color w:val="auto"/>
          <w:szCs w:val="24"/>
        </w:rPr>
        <w:t>2</w:t>
      </w:r>
      <w:r>
        <w:rPr>
          <w:rFonts w:hAnsi="宋体"/>
          <w:color w:val="auto"/>
          <w:szCs w:val="24"/>
        </w:rPr>
        <w:t>.</w:t>
      </w:r>
      <w:r>
        <w:rPr>
          <w:rFonts w:hint="eastAsia" w:cs="宋体" w:asciiTheme="minorEastAsia" w:hAnsiTheme="minorEastAsia"/>
          <w:color w:val="auto"/>
          <w:kern w:val="0"/>
          <w:sz w:val="20"/>
          <w:szCs w:val="21"/>
        </w:rPr>
        <w:t xml:space="preserve"> </w:t>
      </w:r>
      <w:r>
        <w:rPr>
          <w:rFonts w:hint="eastAsia" w:cs="宋体" w:asciiTheme="minorEastAsia" w:hAnsiTheme="minorEastAsia"/>
          <w:b/>
          <w:color w:val="auto"/>
          <w:kern w:val="0"/>
          <w:sz w:val="24"/>
          <w:szCs w:val="24"/>
        </w:rPr>
        <w:sym w:font="Wingdings 2" w:char="0052"/>
      </w:r>
      <w:r>
        <w:rPr>
          <w:rFonts w:hint="eastAsia" w:cs="宋体" w:asciiTheme="minorEastAsia" w:hAnsiTheme="minorEastAsia"/>
          <w:b/>
          <w:color w:val="auto"/>
          <w:kern w:val="0"/>
          <w:sz w:val="24"/>
          <w:szCs w:val="24"/>
        </w:rPr>
        <w:t xml:space="preserve"> </w:t>
      </w:r>
      <w:r>
        <w:rPr>
          <w:rFonts w:hint="eastAsia" w:cs="宋体" w:asciiTheme="minorEastAsia" w:hAnsiTheme="minorEastAsia"/>
          <w:b/>
          <w:color w:val="auto"/>
          <w:kern w:val="0"/>
          <w:sz w:val="20"/>
          <w:szCs w:val="21"/>
        </w:rPr>
        <w:t>本采购项目允许进口产品参加。</w:t>
      </w:r>
    </w:p>
    <w:p>
      <w:pPr>
        <w:tabs>
          <w:tab w:val="left" w:pos="900"/>
        </w:tabs>
        <w:spacing w:line="360" w:lineRule="auto"/>
        <w:ind w:left="420" w:firstLine="201" w:firstLineChars="100"/>
        <w:rPr>
          <w:rFonts w:cs="宋体" w:asciiTheme="minorEastAsia" w:hAnsiTheme="minorEastAsia"/>
          <w:b/>
          <w:color w:val="auto"/>
          <w:kern w:val="0"/>
          <w:sz w:val="20"/>
          <w:szCs w:val="21"/>
        </w:rPr>
      </w:pPr>
      <w:r>
        <w:rPr>
          <w:rFonts w:hint="eastAsia" w:cs="宋体" w:asciiTheme="minorEastAsia" w:hAnsiTheme="minorEastAsia"/>
          <w:b/>
          <w:color w:val="auto"/>
          <w:kern w:val="0"/>
          <w:sz w:val="20"/>
          <w:szCs w:val="21"/>
        </w:rPr>
        <w:t>（说明：请项目单位根据采购实际情况在“□”中打勾（</w:t>
      </w:r>
      <w:r>
        <w:rPr>
          <w:rFonts w:hint="eastAsia" w:cs="宋体" w:asciiTheme="minorEastAsia" w:hAnsiTheme="minorEastAsia"/>
          <w:b/>
          <w:color w:val="auto"/>
          <w:kern w:val="0"/>
          <w:sz w:val="24"/>
          <w:szCs w:val="24"/>
        </w:rPr>
        <w:sym w:font="Wingdings 2" w:char="F052"/>
      </w:r>
      <w:r>
        <w:rPr>
          <w:rFonts w:hint="eastAsia" w:cs="宋体" w:asciiTheme="minorEastAsia" w:hAnsiTheme="minorEastAsia"/>
          <w:b/>
          <w:color w:val="auto"/>
          <w:kern w:val="0"/>
          <w:sz w:val="24"/>
          <w:szCs w:val="24"/>
        </w:rPr>
        <w:t>）</w:t>
      </w:r>
      <w:r>
        <w:rPr>
          <w:rFonts w:hint="eastAsia" w:cs="宋体" w:asciiTheme="minorEastAsia" w:hAnsiTheme="minorEastAsia"/>
          <w:b/>
          <w:color w:val="auto"/>
          <w:kern w:val="0"/>
          <w:sz w:val="20"/>
          <w:szCs w:val="21"/>
        </w:rPr>
        <w:t>。未进行勾选的，视为只接受本国产品参加）</w:t>
      </w:r>
    </w:p>
    <w:p>
      <w:pPr>
        <w:tabs>
          <w:tab w:val="left" w:pos="900"/>
        </w:tabs>
        <w:spacing w:before="156" w:beforeLines="50" w:line="360" w:lineRule="auto"/>
        <w:rPr>
          <w:rFonts w:hAnsi="宋体"/>
          <w:b/>
          <w:color w:val="auto"/>
          <w:szCs w:val="21"/>
        </w:rPr>
      </w:pPr>
      <w:r>
        <w:rPr>
          <w:rFonts w:hint="eastAsia" w:hAnsi="宋体"/>
          <w:b/>
          <w:color w:val="auto"/>
          <w:szCs w:val="21"/>
        </w:rPr>
        <w:t>二、</w:t>
      </w:r>
      <w:r>
        <w:rPr>
          <w:rFonts w:hAnsi="宋体"/>
          <w:b/>
          <w:color w:val="auto"/>
          <w:szCs w:val="21"/>
        </w:rPr>
        <w:t>采购</w:t>
      </w:r>
      <w:r>
        <w:rPr>
          <w:rFonts w:hint="eastAsia" w:hAnsi="宋体"/>
          <w:b/>
          <w:color w:val="auto"/>
          <w:szCs w:val="21"/>
        </w:rPr>
        <w:t>标的</w:t>
      </w:r>
      <w:r>
        <w:rPr>
          <w:rFonts w:hAnsi="宋体"/>
          <w:b/>
          <w:color w:val="auto"/>
          <w:szCs w:val="21"/>
        </w:rPr>
        <w:t>需执行的国家相关标准、行业标准、地方标准或者其他标准、规范：</w:t>
      </w:r>
    </w:p>
    <w:p>
      <w:pPr>
        <w:tabs>
          <w:tab w:val="left" w:pos="900"/>
        </w:tabs>
        <w:spacing w:before="156" w:beforeLines="50" w:line="360" w:lineRule="auto"/>
        <w:ind w:firstLine="420" w:firstLineChars="200"/>
        <w:rPr>
          <w:color w:val="auto"/>
          <w:szCs w:val="21"/>
        </w:rPr>
      </w:pPr>
      <w:r>
        <w:rPr>
          <w:rFonts w:hint="eastAsia"/>
          <w:color w:val="auto"/>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pPr>
        <w:tabs>
          <w:tab w:val="left" w:pos="900"/>
        </w:tabs>
        <w:spacing w:before="156" w:beforeLines="50" w:line="360" w:lineRule="auto"/>
        <w:rPr>
          <w:rFonts w:hAnsi="宋体"/>
          <w:b/>
          <w:color w:val="auto"/>
          <w:szCs w:val="21"/>
        </w:rPr>
      </w:pPr>
      <w:r>
        <w:rPr>
          <w:rFonts w:hint="eastAsia" w:hAnsi="宋体"/>
          <w:b/>
          <w:color w:val="auto"/>
          <w:szCs w:val="21"/>
        </w:rPr>
        <w:t>三、采购标的概况</w:t>
      </w:r>
    </w:p>
    <w:p>
      <w:pPr>
        <w:spacing w:before="156" w:beforeLines="50" w:line="360" w:lineRule="auto"/>
        <w:rPr>
          <w:rFonts w:hAnsi="宋体"/>
          <w:color w:val="auto"/>
          <w:szCs w:val="21"/>
        </w:rPr>
      </w:pPr>
      <w:r>
        <w:rPr>
          <w:rFonts w:hint="eastAsia" w:ascii="宋体" w:hAnsi="宋体"/>
          <w:color w:val="auto"/>
          <w:szCs w:val="21"/>
        </w:rPr>
        <w:t>（一）采购项目名称：</w:t>
      </w:r>
      <w:r>
        <w:rPr>
          <w:rFonts w:hint="eastAsia" w:ascii="宋体" w:hAnsi="宋体"/>
          <w:color w:val="auto"/>
          <w:szCs w:val="21"/>
          <w:u w:val="single"/>
        </w:rPr>
        <w:t xml:space="preserve"> </w:t>
      </w:r>
      <w:r>
        <w:rPr>
          <w:rFonts w:ascii="宋体" w:hAnsi="宋体"/>
          <w:color w:val="auto"/>
          <w:szCs w:val="21"/>
          <w:u w:val="single"/>
        </w:rPr>
        <w:t xml:space="preserve"> </w:t>
      </w:r>
      <w:bookmarkStart w:id="9" w:name="OLE_LINK52"/>
      <w:bookmarkStart w:id="10" w:name="OLE_LINK51"/>
      <w:r>
        <w:rPr>
          <w:rFonts w:hint="eastAsia" w:ascii="宋体" w:hAnsi="宋体"/>
          <w:color w:val="auto"/>
          <w:szCs w:val="21"/>
          <w:u w:val="single"/>
        </w:rPr>
        <w:t>纳米粒子跟踪器</w:t>
      </w:r>
      <w:bookmarkEnd w:id="9"/>
      <w:bookmarkEnd w:id="10"/>
      <w:r>
        <w:rPr>
          <w:rFonts w:ascii="宋体" w:hAnsi="宋体"/>
          <w:color w:val="auto"/>
          <w:szCs w:val="21"/>
          <w:u w:val="single"/>
        </w:rPr>
        <w:t xml:space="preserve">      </w:t>
      </w:r>
      <w:r>
        <w:rPr>
          <w:rFonts w:hint="eastAsia" w:hAnsi="宋体"/>
          <w:color w:val="auto"/>
          <w:szCs w:val="21"/>
        </w:rPr>
        <w:t>。</w:t>
      </w:r>
      <w:r>
        <w:rPr>
          <w:rFonts w:hAnsi="宋体"/>
          <w:color w:val="auto"/>
          <w:szCs w:val="21"/>
        </w:rPr>
        <w:t xml:space="preserve">  </w:t>
      </w:r>
    </w:p>
    <w:p>
      <w:pPr>
        <w:spacing w:before="156" w:beforeLines="50" w:line="360" w:lineRule="auto"/>
        <w:rPr>
          <w:rFonts w:hAnsi="宋体"/>
          <w:color w:val="auto"/>
          <w:szCs w:val="21"/>
          <w:u w:val="single"/>
        </w:rPr>
      </w:pPr>
      <w:r>
        <w:rPr>
          <w:rFonts w:hint="eastAsia" w:hAnsi="宋体"/>
          <w:color w:val="auto"/>
          <w:szCs w:val="21"/>
        </w:rPr>
        <w:t>（二）采购数量及计量单位：</w:t>
      </w:r>
      <w:r>
        <w:rPr>
          <w:rFonts w:hAnsi="宋体"/>
          <w:color w:val="auto"/>
          <w:szCs w:val="21"/>
          <w:u w:val="single"/>
        </w:rPr>
        <w:t xml:space="preserve">   </w:t>
      </w:r>
      <w:r>
        <w:rPr>
          <w:rFonts w:ascii="宋体" w:hAnsi="宋体"/>
          <w:color w:val="auto"/>
          <w:szCs w:val="21"/>
          <w:u w:val="single"/>
        </w:rPr>
        <w:t>1</w:t>
      </w:r>
      <w:r>
        <w:rPr>
          <w:rFonts w:hint="eastAsia" w:ascii="宋体" w:hAnsi="宋体"/>
          <w:color w:val="auto"/>
          <w:szCs w:val="21"/>
          <w:u w:val="single"/>
        </w:rPr>
        <w:t>套</w:t>
      </w:r>
      <w:r>
        <w:rPr>
          <w:rFonts w:hAnsi="宋体"/>
          <w:color w:val="auto"/>
          <w:szCs w:val="21"/>
          <w:u w:val="single"/>
        </w:rPr>
        <w:t xml:space="preserve">     </w:t>
      </w:r>
      <w:r>
        <w:rPr>
          <w:rFonts w:hint="eastAsia" w:hAnsi="宋体"/>
          <w:color w:val="auto"/>
          <w:szCs w:val="21"/>
          <w:u w:val="single"/>
        </w:rPr>
        <w:t>。</w:t>
      </w:r>
    </w:p>
    <w:p>
      <w:pPr>
        <w:spacing w:before="156" w:beforeLines="50" w:line="360" w:lineRule="auto"/>
        <w:rPr>
          <w:rFonts w:hAnsi="宋体"/>
          <w:color w:val="auto"/>
          <w:szCs w:val="21"/>
        </w:rPr>
      </w:pPr>
      <w:r>
        <w:rPr>
          <w:rFonts w:hint="eastAsia" w:hAnsi="宋体"/>
          <w:color w:val="auto"/>
          <w:szCs w:val="21"/>
        </w:rPr>
        <w:t>（三）最高限价：人民币</w:t>
      </w:r>
      <w:r>
        <w:rPr>
          <w:rFonts w:hint="eastAsia" w:hAnsi="宋体"/>
          <w:color w:val="auto"/>
          <w:szCs w:val="21"/>
          <w:u w:val="single"/>
        </w:rPr>
        <w:t xml:space="preserve"> </w:t>
      </w:r>
      <w:r>
        <w:rPr>
          <w:rFonts w:hAnsi="宋体"/>
          <w:color w:val="auto"/>
          <w:szCs w:val="21"/>
          <w:u w:val="single"/>
        </w:rPr>
        <w:t xml:space="preserve">   90</w:t>
      </w:r>
      <w:r>
        <w:rPr>
          <w:rFonts w:hint="eastAsia" w:hAnsi="宋体"/>
          <w:color w:val="auto"/>
          <w:szCs w:val="21"/>
          <w:u w:val="single"/>
        </w:rPr>
        <w:t>万</w:t>
      </w:r>
      <w:r>
        <w:rPr>
          <w:rFonts w:hAnsi="宋体"/>
          <w:color w:val="auto"/>
          <w:szCs w:val="21"/>
          <w:u w:val="single"/>
        </w:rPr>
        <w:t xml:space="preserve">    </w:t>
      </w:r>
      <w:r>
        <w:rPr>
          <w:rFonts w:hAnsi="宋体"/>
          <w:color w:val="auto"/>
          <w:szCs w:val="21"/>
        </w:rPr>
        <w:t xml:space="preserve"> </w:t>
      </w:r>
      <w:r>
        <w:rPr>
          <w:rFonts w:hint="eastAsia" w:hAnsi="宋体"/>
          <w:color w:val="auto"/>
          <w:szCs w:val="21"/>
        </w:rPr>
        <w:t>元。</w:t>
      </w:r>
    </w:p>
    <w:p>
      <w:pPr>
        <w:spacing w:before="156" w:beforeLines="50" w:line="360" w:lineRule="auto"/>
        <w:rPr>
          <w:color w:val="auto"/>
          <w:szCs w:val="21"/>
        </w:rPr>
      </w:pPr>
      <w:r>
        <w:rPr>
          <w:rFonts w:hint="eastAsia" w:hAnsi="宋体"/>
          <w:color w:val="auto"/>
          <w:szCs w:val="21"/>
        </w:rPr>
        <w:t>（四）</w:t>
      </w:r>
      <w:r>
        <w:rPr>
          <w:rFonts w:hAnsi="宋体"/>
          <w:color w:val="auto"/>
          <w:szCs w:val="21"/>
        </w:rPr>
        <w:t>交付时间：</w:t>
      </w:r>
      <w:r>
        <w:rPr>
          <w:rFonts w:hAnsi="宋体"/>
          <w:color w:val="auto"/>
        </w:rPr>
        <w:t>合同签订后</w:t>
      </w:r>
      <w:r>
        <w:rPr>
          <w:rFonts w:hAnsi="宋体"/>
          <w:color w:val="auto"/>
          <w:u w:val="single"/>
        </w:rPr>
        <w:t xml:space="preserve">   </w:t>
      </w:r>
      <w:r>
        <w:rPr>
          <w:rFonts w:ascii="宋体" w:hAnsi="宋体"/>
          <w:color w:val="auto"/>
          <w:szCs w:val="21"/>
          <w:u w:val="single"/>
        </w:rPr>
        <w:t>90</w:t>
      </w:r>
      <w:r>
        <w:rPr>
          <w:rFonts w:hAnsi="宋体"/>
          <w:color w:val="auto"/>
          <w:u w:val="single"/>
        </w:rPr>
        <w:t xml:space="preserve">   </w:t>
      </w:r>
      <w:r>
        <w:rPr>
          <w:rFonts w:hint="eastAsia" w:hAnsi="宋体"/>
          <w:color w:val="auto"/>
        </w:rPr>
        <w:t>天内。</w:t>
      </w:r>
    </w:p>
    <w:p>
      <w:pPr>
        <w:tabs>
          <w:tab w:val="left" w:pos="900"/>
        </w:tabs>
        <w:spacing w:before="156" w:beforeLines="50" w:line="360" w:lineRule="auto"/>
        <w:rPr>
          <w:rFonts w:hAnsi="宋体"/>
          <w:color w:val="auto"/>
          <w:szCs w:val="21"/>
        </w:rPr>
      </w:pPr>
      <w:r>
        <w:rPr>
          <w:rFonts w:hint="eastAsia" w:hAnsi="宋体"/>
          <w:color w:val="auto"/>
          <w:szCs w:val="21"/>
        </w:rPr>
        <w:t>（五）</w:t>
      </w:r>
      <w:r>
        <w:rPr>
          <w:rFonts w:hAnsi="宋体"/>
          <w:color w:val="auto"/>
          <w:szCs w:val="21"/>
        </w:rPr>
        <w:t>交付地点：</w:t>
      </w:r>
      <w:r>
        <w:rPr>
          <w:rFonts w:hint="eastAsia" w:hAnsi="宋体"/>
          <w:color w:val="auto"/>
          <w:szCs w:val="21"/>
          <w:u w:val="single"/>
        </w:rPr>
        <w:t xml:space="preserve">  西安交通大学创新港校区2</w:t>
      </w:r>
      <w:r>
        <w:rPr>
          <w:rFonts w:hAnsi="宋体"/>
          <w:color w:val="auto"/>
          <w:szCs w:val="21"/>
          <w:u w:val="single"/>
        </w:rPr>
        <w:t>1</w:t>
      </w:r>
      <w:r>
        <w:rPr>
          <w:rFonts w:hint="eastAsia" w:hAnsi="宋体"/>
          <w:color w:val="auto"/>
          <w:szCs w:val="21"/>
          <w:u w:val="single"/>
        </w:rPr>
        <w:t>号楼2</w:t>
      </w:r>
      <w:r>
        <w:rPr>
          <w:rFonts w:hAnsi="宋体"/>
          <w:color w:val="auto"/>
          <w:szCs w:val="21"/>
          <w:u w:val="single"/>
        </w:rPr>
        <w:t xml:space="preserve">127    </w:t>
      </w:r>
      <w:r>
        <w:rPr>
          <w:rFonts w:hint="eastAsia" w:hAnsi="宋体"/>
          <w:color w:val="auto"/>
          <w:szCs w:val="21"/>
        </w:rPr>
        <w:t>。</w:t>
      </w:r>
    </w:p>
    <w:p>
      <w:pPr>
        <w:tabs>
          <w:tab w:val="left" w:pos="900"/>
        </w:tabs>
        <w:spacing w:before="156" w:beforeLines="50" w:line="360" w:lineRule="auto"/>
        <w:rPr>
          <w:rFonts w:hAnsi="宋体"/>
          <w:color w:val="auto"/>
          <w:szCs w:val="21"/>
        </w:rPr>
      </w:pPr>
      <w:r>
        <w:rPr>
          <w:rFonts w:hint="eastAsia" w:hAnsi="宋体"/>
          <w:color w:val="auto"/>
          <w:szCs w:val="21"/>
        </w:rPr>
        <w:t>（六）付款进度安排：</w:t>
      </w:r>
      <w:r>
        <w:rPr>
          <w:rFonts w:hint="eastAsia" w:hAnsi="宋体"/>
          <w:color w:val="auto"/>
          <w:szCs w:val="21"/>
          <w:u w:val="single"/>
        </w:rPr>
        <w:t xml:space="preserve">  国产设备货到验收合格后付款；进口设备合同签订后开具1</w:t>
      </w:r>
      <w:r>
        <w:rPr>
          <w:rFonts w:hAnsi="宋体"/>
          <w:color w:val="auto"/>
          <w:szCs w:val="21"/>
          <w:u w:val="single"/>
        </w:rPr>
        <w:t>00%</w:t>
      </w:r>
      <w:r>
        <w:rPr>
          <w:rFonts w:hint="eastAsia" w:hAnsi="宋体"/>
          <w:color w:val="auto"/>
          <w:szCs w:val="21"/>
          <w:u w:val="single"/>
        </w:rPr>
        <w:t>信用证</w:t>
      </w:r>
      <w:r>
        <w:rPr>
          <w:rFonts w:hAnsi="宋体"/>
          <w:color w:val="auto"/>
          <w:szCs w:val="21"/>
          <w:u w:val="single"/>
        </w:rPr>
        <w:t xml:space="preserve">        </w:t>
      </w:r>
      <w:r>
        <w:rPr>
          <w:rFonts w:hint="eastAsia" w:hAnsi="宋体"/>
          <w:color w:val="auto"/>
          <w:szCs w:val="21"/>
        </w:rPr>
        <w:t>。</w:t>
      </w:r>
    </w:p>
    <w:p>
      <w:pPr>
        <w:tabs>
          <w:tab w:val="left" w:pos="900"/>
        </w:tabs>
        <w:spacing w:before="156" w:beforeLines="50" w:line="360" w:lineRule="auto"/>
        <w:rPr>
          <w:rFonts w:hAnsi="宋体"/>
          <w:b/>
          <w:color w:val="auto"/>
          <w:szCs w:val="21"/>
        </w:rPr>
      </w:pPr>
      <w:r>
        <w:rPr>
          <w:rFonts w:hint="eastAsia" w:hAnsi="宋体"/>
          <w:b/>
          <w:color w:val="auto"/>
          <w:szCs w:val="21"/>
        </w:rPr>
        <w:t>四、采购标的需满足的质量、安全、技术规格、物理特性等要求：</w:t>
      </w:r>
    </w:p>
    <w:p>
      <w:pPr>
        <w:tabs>
          <w:tab w:val="left" w:pos="900"/>
        </w:tabs>
        <w:spacing w:before="156" w:beforeLines="50" w:line="360" w:lineRule="auto"/>
        <w:rPr>
          <w:rFonts w:hAnsi="宋体"/>
          <w:b/>
          <w:color w:val="auto"/>
          <w:szCs w:val="21"/>
        </w:rPr>
      </w:pPr>
      <w:bookmarkStart w:id="11" w:name="OLE_LINK10"/>
      <w:r>
        <w:rPr>
          <w:rFonts w:hint="eastAsia" w:hAnsi="宋体"/>
          <w:b/>
          <w:color w:val="auto"/>
          <w:szCs w:val="21"/>
        </w:rPr>
        <w:t>（一）</w:t>
      </w:r>
      <w:bookmarkEnd w:id="11"/>
      <w:r>
        <w:rPr>
          <w:rFonts w:hint="eastAsia" w:hAnsi="宋体"/>
          <w:b/>
          <w:color w:val="auto"/>
          <w:szCs w:val="21"/>
        </w:rPr>
        <w:t>、技术和性能参数：★为必须达到的指标，否则视为无效</w:t>
      </w:r>
      <w:r>
        <w:rPr>
          <w:rFonts w:hint="eastAsia" w:hAnsi="宋体"/>
          <w:b/>
          <w:color w:val="auto"/>
          <w:szCs w:val="21"/>
          <w:lang w:val="en-US" w:eastAsia="zh-CN"/>
        </w:rPr>
        <w:t>投标</w:t>
      </w:r>
      <w:r>
        <w:rPr>
          <w:rFonts w:hint="eastAsia" w:hAnsi="宋体"/>
          <w:b/>
          <w:color w:val="auto"/>
          <w:szCs w:val="21"/>
        </w:rPr>
        <w:t xml:space="preserve">。 </w:t>
      </w:r>
      <w:r>
        <w:rPr>
          <w:rFonts w:hAnsi="宋体"/>
          <w:b/>
          <w:color w:val="auto"/>
          <w:szCs w:val="21"/>
        </w:rPr>
        <w:t xml:space="preserve">  </w:t>
      </w:r>
    </w:p>
    <w:p>
      <w:pPr>
        <w:pStyle w:val="19"/>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firstLineChars="0"/>
        <w:jc w:val="left"/>
        <w:textAlignment w:val="auto"/>
        <w:rPr>
          <w:rFonts w:ascii="宋体" w:hAnsi="宋体"/>
          <w:bCs/>
          <w:color w:val="auto"/>
          <w:szCs w:val="21"/>
        </w:rPr>
      </w:pPr>
      <w:r>
        <w:rPr>
          <w:rFonts w:hint="eastAsia" w:ascii="宋体" w:hAnsi="宋体"/>
          <w:bCs/>
          <w:color w:val="auto"/>
          <w:szCs w:val="21"/>
        </w:rPr>
        <w:t>粒径检测范围:</w:t>
      </w:r>
      <w:r>
        <w:rPr>
          <w:rFonts w:ascii="宋体" w:hAnsi="宋体"/>
          <w:bCs/>
          <w:color w:val="auto"/>
          <w:szCs w:val="21"/>
        </w:rPr>
        <w:t xml:space="preserve"> 50-1000 </w:t>
      </w:r>
      <w:r>
        <w:rPr>
          <w:rFonts w:hint="eastAsia" w:ascii="宋体" w:hAnsi="宋体"/>
          <w:bCs/>
          <w:color w:val="auto"/>
          <w:szCs w:val="21"/>
        </w:rPr>
        <w:t>nm。</w:t>
      </w:r>
    </w:p>
    <w:p>
      <w:pPr>
        <w:pStyle w:val="19"/>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firstLineChars="0"/>
        <w:jc w:val="left"/>
        <w:textAlignment w:val="auto"/>
        <w:rPr>
          <w:rFonts w:ascii="宋体" w:hAnsi="宋体"/>
          <w:bCs/>
          <w:color w:val="auto"/>
          <w:szCs w:val="21"/>
        </w:rPr>
      </w:pPr>
      <w:r>
        <w:rPr>
          <w:rFonts w:hint="eastAsia" w:ascii="宋体" w:hAnsi="宋体"/>
          <w:bCs/>
          <w:color w:val="auto"/>
          <w:szCs w:val="21"/>
        </w:rPr>
        <w:t>★粒径检测分辨率：粒径分辨率</w:t>
      </w:r>
      <w:r>
        <w:rPr>
          <w:rFonts w:hint="eastAsia" w:ascii="宋体" w:hAnsi="宋体"/>
          <w:bCs/>
          <w:color w:val="auto"/>
          <w:szCs w:val="21"/>
          <w:lang w:val="en-US" w:eastAsia="zh-CN"/>
        </w:rPr>
        <w:t xml:space="preserve"> </w:t>
      </w:r>
      <w:r>
        <w:rPr>
          <w:rFonts w:hint="eastAsia" w:ascii="宋体" w:hAnsi="宋体"/>
          <w:bCs/>
          <w:color w:val="auto"/>
          <w:szCs w:val="21"/>
        </w:rPr>
        <w:t>≤ 1</w:t>
      </w:r>
      <w:r>
        <w:rPr>
          <w:rFonts w:ascii="宋体" w:hAnsi="宋体"/>
          <w:bCs/>
          <w:color w:val="auto"/>
          <w:szCs w:val="21"/>
        </w:rPr>
        <w:t xml:space="preserve"> </w:t>
      </w:r>
      <w:r>
        <w:rPr>
          <w:rFonts w:hint="eastAsia" w:ascii="宋体" w:hAnsi="宋体"/>
          <w:bCs/>
          <w:color w:val="auto"/>
          <w:szCs w:val="21"/>
        </w:rPr>
        <w:t>nm或基于68/91/113/155</w:t>
      </w:r>
      <w:r>
        <w:rPr>
          <w:rFonts w:ascii="宋体" w:hAnsi="宋体"/>
          <w:bCs/>
          <w:color w:val="auto"/>
          <w:szCs w:val="21"/>
        </w:rPr>
        <w:t xml:space="preserve"> </w:t>
      </w:r>
      <w:r>
        <w:rPr>
          <w:rFonts w:hint="eastAsia" w:ascii="宋体" w:hAnsi="宋体"/>
          <w:bCs/>
          <w:color w:val="auto"/>
          <w:szCs w:val="21"/>
        </w:rPr>
        <w:t>nm的二氧化硅微球进行基线分离。</w:t>
      </w:r>
    </w:p>
    <w:p>
      <w:pPr>
        <w:pStyle w:val="19"/>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firstLineChars="0"/>
        <w:jc w:val="left"/>
        <w:textAlignment w:val="auto"/>
        <w:rPr>
          <w:rFonts w:ascii="宋体" w:hAnsi="宋体"/>
          <w:bCs/>
          <w:color w:val="auto"/>
          <w:szCs w:val="21"/>
        </w:rPr>
      </w:pPr>
      <w:r>
        <w:rPr>
          <w:rFonts w:hint="eastAsia" w:ascii="宋体" w:hAnsi="宋体"/>
          <w:bCs/>
          <w:color w:val="auto"/>
          <w:szCs w:val="21"/>
        </w:rPr>
        <w:t>浓度测量动态范围：</w:t>
      </w:r>
      <w:bookmarkStart w:id="12" w:name="OLE_LINK41"/>
      <w:bookmarkStart w:id="13" w:name="OLE_LINK42"/>
      <w:r>
        <w:rPr>
          <w:rFonts w:hint="eastAsia" w:ascii="宋体" w:hAnsi="宋体"/>
          <w:bCs/>
          <w:color w:val="auto"/>
          <w:szCs w:val="21"/>
          <w:lang w:val="en-US" w:eastAsia="zh-CN"/>
        </w:rPr>
        <w:t>≥ 1</w:t>
      </w:r>
      <w:r>
        <w:rPr>
          <w:rFonts w:ascii="宋体" w:hAnsi="宋体"/>
          <w:bCs/>
          <w:color w:val="auto"/>
          <w:szCs w:val="21"/>
        </w:rPr>
        <w:t>×10</w:t>
      </w:r>
      <w:r>
        <w:rPr>
          <w:rFonts w:hint="eastAsia" w:ascii="宋体" w:hAnsi="宋体"/>
          <w:bCs/>
          <w:color w:val="auto"/>
          <w:szCs w:val="21"/>
          <w:vertAlign w:val="superscript"/>
          <w:lang w:val="en-US" w:eastAsia="zh-CN"/>
        </w:rPr>
        <w:t>7</w:t>
      </w:r>
      <w:r>
        <w:rPr>
          <w:rFonts w:ascii="宋体" w:hAnsi="宋体"/>
          <w:bCs/>
          <w:color w:val="auto"/>
          <w:szCs w:val="21"/>
        </w:rPr>
        <w:t>-1×10</w:t>
      </w:r>
      <w:r>
        <w:rPr>
          <w:rFonts w:ascii="宋体" w:hAnsi="宋体"/>
          <w:bCs/>
          <w:color w:val="auto"/>
          <w:szCs w:val="21"/>
          <w:vertAlign w:val="superscript"/>
        </w:rPr>
        <w:t>9</w:t>
      </w:r>
      <w:r>
        <w:rPr>
          <w:rFonts w:ascii="宋体" w:hAnsi="宋体"/>
          <w:bCs/>
          <w:color w:val="auto"/>
          <w:szCs w:val="21"/>
        </w:rPr>
        <w:t xml:space="preserve"> particles/mL</w:t>
      </w:r>
      <w:bookmarkEnd w:id="12"/>
      <w:bookmarkEnd w:id="13"/>
      <w:r>
        <w:rPr>
          <w:rFonts w:hint="eastAsia" w:ascii="宋体" w:hAnsi="宋体"/>
          <w:bCs/>
          <w:color w:val="auto"/>
          <w:szCs w:val="21"/>
        </w:rPr>
        <w:t>。</w:t>
      </w:r>
    </w:p>
    <w:p>
      <w:pPr>
        <w:pStyle w:val="19"/>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firstLineChars="0"/>
        <w:jc w:val="left"/>
        <w:textAlignment w:val="auto"/>
        <w:rPr>
          <w:rFonts w:ascii="宋体" w:hAnsi="宋体"/>
          <w:bCs/>
          <w:color w:val="auto"/>
          <w:szCs w:val="21"/>
        </w:rPr>
      </w:pPr>
      <w:r>
        <w:rPr>
          <w:rFonts w:hint="eastAsia" w:ascii="宋体" w:hAnsi="宋体"/>
          <w:bCs/>
          <w:color w:val="auto"/>
          <w:szCs w:val="21"/>
        </w:rPr>
        <w:t xml:space="preserve">★最小可测粒径：≤ </w:t>
      </w:r>
      <w:r>
        <w:rPr>
          <w:rFonts w:hint="eastAsia" w:ascii="宋体" w:hAnsi="宋体"/>
          <w:bCs/>
          <w:color w:val="auto"/>
          <w:szCs w:val="21"/>
          <w:lang w:val="en-US" w:eastAsia="zh-CN"/>
        </w:rPr>
        <w:t>6</w:t>
      </w:r>
      <w:r>
        <w:rPr>
          <w:rFonts w:ascii="宋体" w:hAnsi="宋体"/>
          <w:bCs/>
          <w:color w:val="auto"/>
          <w:szCs w:val="21"/>
        </w:rPr>
        <w:t xml:space="preserve">0 </w:t>
      </w:r>
      <w:r>
        <w:rPr>
          <w:rFonts w:hint="eastAsia" w:ascii="宋体" w:hAnsi="宋体"/>
          <w:bCs/>
          <w:color w:val="auto"/>
          <w:szCs w:val="21"/>
        </w:rPr>
        <w:t>nm。</w:t>
      </w:r>
    </w:p>
    <w:p>
      <w:pPr>
        <w:pStyle w:val="19"/>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firstLineChars="0"/>
        <w:jc w:val="left"/>
        <w:textAlignment w:val="auto"/>
        <w:rPr>
          <w:rFonts w:ascii="宋体" w:hAnsi="宋体"/>
          <w:bCs/>
          <w:color w:val="auto"/>
          <w:szCs w:val="21"/>
        </w:rPr>
      </w:pPr>
      <w:r>
        <w:rPr>
          <w:rFonts w:hint="eastAsia" w:ascii="宋体" w:hAnsi="宋体"/>
          <w:bCs/>
          <w:color w:val="auto"/>
          <w:szCs w:val="21"/>
        </w:rPr>
        <w:t xml:space="preserve">★最低检测浓度：≤ </w:t>
      </w:r>
      <w:r>
        <w:rPr>
          <w:rFonts w:hint="eastAsia" w:ascii="宋体" w:hAnsi="宋体"/>
          <w:bCs/>
          <w:color w:val="auto"/>
          <w:szCs w:val="21"/>
          <w:lang w:val="en-US" w:eastAsia="zh-CN"/>
        </w:rPr>
        <w:t>1</w:t>
      </w:r>
      <w:r>
        <w:rPr>
          <w:rFonts w:ascii="宋体" w:hAnsi="宋体"/>
          <w:bCs/>
          <w:color w:val="auto"/>
          <w:szCs w:val="21"/>
        </w:rPr>
        <w:t>×10</w:t>
      </w:r>
      <w:r>
        <w:rPr>
          <w:rFonts w:hint="eastAsia" w:ascii="宋体" w:hAnsi="宋体"/>
          <w:bCs/>
          <w:color w:val="auto"/>
          <w:szCs w:val="21"/>
          <w:vertAlign w:val="superscript"/>
          <w:lang w:val="en-US" w:eastAsia="zh-CN"/>
        </w:rPr>
        <w:t>7</w:t>
      </w:r>
      <w:r>
        <w:rPr>
          <w:rFonts w:ascii="宋体" w:hAnsi="宋体"/>
          <w:bCs/>
          <w:color w:val="auto"/>
          <w:szCs w:val="21"/>
        </w:rPr>
        <w:t xml:space="preserve"> particles/mL</w:t>
      </w:r>
      <w:r>
        <w:rPr>
          <w:rFonts w:hint="eastAsia" w:ascii="宋体" w:hAnsi="宋体"/>
          <w:bCs/>
          <w:color w:val="auto"/>
          <w:szCs w:val="21"/>
        </w:rPr>
        <w:t>。</w:t>
      </w:r>
    </w:p>
    <w:p>
      <w:pPr>
        <w:pStyle w:val="19"/>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firstLineChars="0"/>
        <w:jc w:val="left"/>
        <w:textAlignment w:val="auto"/>
        <w:rPr>
          <w:rFonts w:ascii="宋体" w:hAnsi="宋体"/>
          <w:bCs/>
          <w:color w:val="auto"/>
          <w:szCs w:val="21"/>
        </w:rPr>
      </w:pPr>
      <w:r>
        <w:rPr>
          <w:rFonts w:hint="eastAsia" w:ascii="宋体" w:hAnsi="宋体"/>
          <w:bCs/>
          <w:color w:val="auto"/>
          <w:szCs w:val="21"/>
        </w:rPr>
        <w:t>检测原理：RPS电阻脉冲感应（库尔特）技术原理或基于瑞利散射和鞘流单分子荧光检测技术或纳米颗粒追踪、重力沉降法。</w:t>
      </w:r>
    </w:p>
    <w:p>
      <w:pPr>
        <w:pStyle w:val="19"/>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firstLineChars="0"/>
        <w:jc w:val="left"/>
        <w:textAlignment w:val="auto"/>
        <w:rPr>
          <w:rFonts w:ascii="宋体" w:hAnsi="宋体"/>
          <w:bCs/>
          <w:color w:val="auto"/>
          <w:szCs w:val="21"/>
        </w:rPr>
      </w:pPr>
      <w:r>
        <w:rPr>
          <w:rFonts w:hint="eastAsia" w:ascii="宋体" w:hAnsi="宋体"/>
          <w:bCs/>
          <w:color w:val="auto"/>
          <w:szCs w:val="21"/>
        </w:rPr>
        <w:t>单次测量时间：每个样本检测时长</w:t>
      </w:r>
      <w:r>
        <w:rPr>
          <w:rFonts w:hint="eastAsia" w:ascii="宋体" w:hAnsi="宋体"/>
          <w:bCs/>
          <w:color w:val="auto"/>
          <w:szCs w:val="21"/>
          <w:lang w:val="en-US" w:eastAsia="zh-CN"/>
        </w:rPr>
        <w:t xml:space="preserve"> </w:t>
      </w:r>
      <w:r>
        <w:rPr>
          <w:rFonts w:hint="eastAsia" w:ascii="宋体" w:hAnsi="宋体"/>
          <w:bCs/>
          <w:color w:val="auto"/>
          <w:szCs w:val="21"/>
        </w:rPr>
        <w:t>≤</w:t>
      </w:r>
      <w:r>
        <w:rPr>
          <w:rFonts w:hint="eastAsia" w:ascii="宋体" w:hAnsi="宋体"/>
          <w:bCs/>
          <w:color w:val="auto"/>
          <w:szCs w:val="21"/>
          <w:lang w:val="en-US" w:eastAsia="zh-CN"/>
        </w:rPr>
        <w:t xml:space="preserve"> </w:t>
      </w:r>
      <w:r>
        <w:rPr>
          <w:rFonts w:hint="eastAsia" w:ascii="宋体" w:hAnsi="宋体"/>
          <w:bCs/>
          <w:color w:val="auto"/>
          <w:szCs w:val="21"/>
        </w:rPr>
        <w:t>5分钟。</w:t>
      </w:r>
    </w:p>
    <w:p>
      <w:pPr>
        <w:pStyle w:val="19"/>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firstLineChars="0"/>
        <w:jc w:val="left"/>
        <w:textAlignment w:val="auto"/>
        <w:rPr>
          <w:rFonts w:ascii="宋体" w:hAnsi="宋体"/>
          <w:bCs/>
          <w:color w:val="auto"/>
          <w:szCs w:val="21"/>
        </w:rPr>
      </w:pPr>
      <w:r>
        <w:rPr>
          <w:rFonts w:hint="eastAsia" w:ascii="宋体" w:hAnsi="宋体"/>
          <w:bCs/>
          <w:color w:val="auto"/>
          <w:szCs w:val="21"/>
        </w:rPr>
        <w:t>检测器类型：Zeta电位或激光器。</w:t>
      </w:r>
    </w:p>
    <w:p>
      <w:pPr>
        <w:pStyle w:val="19"/>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firstLineChars="0"/>
        <w:jc w:val="left"/>
        <w:textAlignment w:val="auto"/>
        <w:rPr>
          <w:rFonts w:ascii="宋体" w:hAnsi="宋体"/>
          <w:bCs/>
          <w:color w:val="auto"/>
          <w:szCs w:val="21"/>
        </w:rPr>
      </w:pPr>
      <w:r>
        <w:rPr>
          <w:rFonts w:hint="eastAsia" w:ascii="宋体" w:hAnsi="宋体"/>
          <w:bCs/>
          <w:color w:val="auto"/>
          <w:szCs w:val="21"/>
        </w:rPr>
        <w:t>支持的样本类型：可用于细胞外囊泡（外泌体）、病毒、脂质体/LNP等生物纳米颗粒，以及纳米磁珠、乳胶微球、纳米聚合物等有机及无机纳米颗粒材料的检测分析。</w:t>
      </w:r>
    </w:p>
    <w:p>
      <w:pPr>
        <w:pStyle w:val="19"/>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firstLineChars="0"/>
        <w:jc w:val="left"/>
        <w:textAlignment w:val="auto"/>
        <w:rPr>
          <w:rFonts w:ascii="宋体" w:hAnsi="宋体"/>
          <w:bCs/>
          <w:color w:val="auto"/>
          <w:szCs w:val="21"/>
        </w:rPr>
      </w:pPr>
      <w:r>
        <w:rPr>
          <w:rFonts w:hint="eastAsia" w:ascii="宋体" w:hAnsi="宋体"/>
          <w:bCs/>
          <w:color w:val="auto"/>
          <w:szCs w:val="21"/>
        </w:rPr>
        <w:t>软件可检测的参数：粒径、粒径分布和浓度。</w:t>
      </w:r>
    </w:p>
    <w:p>
      <w:pPr>
        <w:pStyle w:val="19"/>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firstLineChars="0"/>
        <w:jc w:val="left"/>
        <w:textAlignment w:val="auto"/>
        <w:rPr>
          <w:rFonts w:hint="eastAsia" w:ascii="宋体" w:hAnsi="宋体"/>
          <w:bCs/>
          <w:color w:val="auto"/>
          <w:szCs w:val="21"/>
        </w:rPr>
      </w:pPr>
      <w:r>
        <w:rPr>
          <w:rFonts w:hint="eastAsia" w:ascii="宋体" w:hAnsi="宋体"/>
          <w:bCs/>
          <w:color w:val="auto"/>
          <w:szCs w:val="21"/>
        </w:rPr>
        <w:t>功能需求描述：</w:t>
      </w:r>
    </w:p>
    <w:p>
      <w:pPr>
        <w:pStyle w:val="19"/>
        <w:keepNext w:val="0"/>
        <w:keepLines w:val="0"/>
        <w:pageBreakBefore w:val="0"/>
        <w:widowControl w:val="0"/>
        <w:numPr>
          <w:ilvl w:val="0"/>
          <w:numId w:val="2"/>
        </w:numPr>
        <w:kinsoku/>
        <w:wordWrap/>
        <w:overflowPunct/>
        <w:topLinePunct w:val="0"/>
        <w:autoSpaceDE/>
        <w:autoSpaceDN/>
        <w:bidi w:val="0"/>
        <w:adjustRightInd/>
        <w:snapToGrid/>
        <w:spacing w:line="400" w:lineRule="exact"/>
        <w:ind w:left="360" w:leftChars="0" w:firstLine="58" w:firstLineChars="28"/>
        <w:textAlignment w:val="auto"/>
        <w:rPr>
          <w:rFonts w:ascii="宋体" w:hAnsi="宋体" w:cs="等线"/>
        </w:rPr>
      </w:pPr>
      <w:r>
        <w:rPr>
          <w:rFonts w:hint="eastAsia" w:ascii="宋体" w:hAnsi="宋体" w:cs="等线"/>
        </w:rPr>
        <w:t>光学可视化模块（样本前处理评估）</w:t>
      </w:r>
    </w:p>
    <w:p>
      <w:pPr>
        <w:pStyle w:val="19"/>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20"/>
        <w:textAlignment w:val="auto"/>
        <w:rPr>
          <w:rFonts w:ascii="宋体" w:hAnsi="宋体" w:cs="等线"/>
        </w:rPr>
      </w:pPr>
      <w:r>
        <w:rPr>
          <w:rFonts w:hint="eastAsia" w:ascii="宋体" w:hAnsi="宋体" w:cs="等线"/>
        </w:rPr>
        <w:t>动态团聚监测：基于激光散射与高清成像技术，动态评估样本团聚状态（有无团聚），确保样本均一性符合后续电学纳米孔检测要求。</w:t>
      </w:r>
    </w:p>
    <w:p>
      <w:pPr>
        <w:pStyle w:val="19"/>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20"/>
        <w:textAlignment w:val="auto"/>
        <w:rPr>
          <w:rFonts w:ascii="宋体" w:hAnsi="宋体" w:cs="等线"/>
        </w:rPr>
      </w:pPr>
      <w:r>
        <w:rPr>
          <w:rFonts w:hint="eastAsia" w:ascii="宋体" w:hAnsi="宋体" w:cs="等线"/>
        </w:rPr>
        <w:t>快速筛查功能：完成可视化数据采集，</w:t>
      </w:r>
      <w:r>
        <w:rPr>
          <w:rFonts w:ascii="宋体" w:hAnsi="宋体" w:cs="等线"/>
        </w:rPr>
        <w:t>判断</w:t>
      </w:r>
      <w:r>
        <w:rPr>
          <w:rFonts w:hint="eastAsia" w:ascii="宋体" w:hAnsi="宋体" w:cs="等线"/>
        </w:rPr>
        <w:t>异常样本，避免电学检测中因团聚导致的孔道堵塞风险。</w:t>
      </w:r>
    </w:p>
    <w:p>
      <w:pPr>
        <w:pStyle w:val="19"/>
        <w:keepNext w:val="0"/>
        <w:keepLines w:val="0"/>
        <w:pageBreakBefore w:val="0"/>
        <w:widowControl w:val="0"/>
        <w:numPr>
          <w:ilvl w:val="0"/>
          <w:numId w:val="2"/>
        </w:numPr>
        <w:kinsoku/>
        <w:wordWrap/>
        <w:overflowPunct/>
        <w:topLinePunct w:val="0"/>
        <w:autoSpaceDE/>
        <w:autoSpaceDN/>
        <w:bidi w:val="0"/>
        <w:adjustRightInd/>
        <w:snapToGrid/>
        <w:spacing w:line="400" w:lineRule="exact"/>
        <w:ind w:left="360" w:leftChars="0" w:firstLine="58" w:firstLineChars="28"/>
        <w:textAlignment w:val="auto"/>
        <w:rPr>
          <w:rFonts w:ascii="宋体" w:hAnsi="宋体" w:cs="等线"/>
        </w:rPr>
      </w:pPr>
      <w:r>
        <w:rPr>
          <w:rFonts w:ascii="宋体" w:hAnsi="宋体" w:cs="等线"/>
        </w:rPr>
        <w:t>电学单颗粒分析模块（精准测量</w:t>
      </w:r>
      <w:r>
        <w:rPr>
          <w:rFonts w:hint="eastAsia" w:ascii="宋体" w:hAnsi="宋体" w:cs="等线"/>
        </w:rPr>
        <w:t>表征</w:t>
      </w:r>
      <w:r>
        <w:rPr>
          <w:rFonts w:ascii="宋体" w:hAnsi="宋体" w:cs="等线"/>
        </w:rPr>
        <w:t>）</w:t>
      </w:r>
    </w:p>
    <w:p>
      <w:pPr>
        <w:pStyle w:val="19"/>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20"/>
        <w:textAlignment w:val="auto"/>
        <w:rPr>
          <w:rFonts w:ascii="宋体" w:hAnsi="宋体" w:cs="等线"/>
        </w:rPr>
      </w:pPr>
      <w:r>
        <w:rPr>
          <w:rFonts w:ascii="宋体" w:hAnsi="宋体" w:cs="等线"/>
        </w:rPr>
        <w:t>单颗粒电阻脉冲检测：采用固态纳米孔芯片技术，逐个检测</w:t>
      </w:r>
      <w:r>
        <w:rPr>
          <w:rFonts w:hint="eastAsia" w:ascii="宋体" w:hAnsi="宋体" w:cs="等线"/>
        </w:rPr>
        <w:t>纳米</w:t>
      </w:r>
      <w:r>
        <w:rPr>
          <w:rFonts w:ascii="宋体" w:hAnsi="宋体" w:cs="等线"/>
        </w:rPr>
        <w:t>颗粒的粒径</w:t>
      </w:r>
      <w:r>
        <w:rPr>
          <w:rFonts w:hint="eastAsia" w:ascii="宋体" w:hAnsi="宋体" w:cs="等线"/>
        </w:rPr>
        <w:t>、粒径分布、颗粒数</w:t>
      </w:r>
      <w:r>
        <w:rPr>
          <w:rFonts w:ascii="宋体" w:hAnsi="宋体" w:cs="等线"/>
        </w:rPr>
        <w:t>浓度及zeta电位</w:t>
      </w:r>
      <w:r>
        <w:rPr>
          <w:rFonts w:hint="eastAsia" w:ascii="宋体" w:hAnsi="宋体" w:cs="等线"/>
          <w:lang w:eastAsia="zh-CN"/>
        </w:rPr>
        <w:t>。</w:t>
      </w:r>
    </w:p>
    <w:p>
      <w:pPr>
        <w:pStyle w:val="19"/>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20"/>
        <w:textAlignment w:val="auto"/>
        <w:rPr>
          <w:rFonts w:ascii="宋体" w:hAnsi="宋体" w:cs="等线"/>
        </w:rPr>
      </w:pPr>
      <w:r>
        <w:rPr>
          <w:rFonts w:hint="eastAsia" w:ascii="宋体" w:hAnsi="宋体" w:cs="等线"/>
        </w:rPr>
        <w:t>纳米孔</w:t>
      </w:r>
      <w:r>
        <w:rPr>
          <w:rFonts w:ascii="宋体" w:hAnsi="宋体" w:cs="等线"/>
        </w:rPr>
        <w:t>分析：</w:t>
      </w:r>
      <w:r>
        <w:rPr>
          <w:rFonts w:hint="eastAsia" w:ascii="宋体" w:hAnsi="宋体" w:cs="等线"/>
        </w:rPr>
        <w:t>利用不同粒经量程的纳米孔芯片分步</w:t>
      </w:r>
      <w:r>
        <w:rPr>
          <w:rFonts w:ascii="宋体" w:hAnsi="宋体" w:cs="等线"/>
        </w:rPr>
        <w:t>测量，生成粒径-</w:t>
      </w:r>
      <w:r>
        <w:rPr>
          <w:rFonts w:hint="eastAsia" w:ascii="宋体" w:hAnsi="宋体" w:cs="等线"/>
        </w:rPr>
        <w:t>浓度直方图与粒径-电位</w:t>
      </w:r>
      <w:r>
        <w:rPr>
          <w:rFonts w:ascii="宋体" w:hAnsi="宋体" w:cs="等线"/>
        </w:rPr>
        <w:t>散点图，揭示颗粒</w:t>
      </w:r>
      <w:r>
        <w:rPr>
          <w:rFonts w:hint="eastAsia" w:ascii="宋体" w:hAnsi="宋体" w:cs="等线"/>
        </w:rPr>
        <w:t>数量、</w:t>
      </w:r>
      <w:r>
        <w:rPr>
          <w:rFonts w:ascii="宋体" w:hAnsi="宋体" w:cs="等线"/>
        </w:rPr>
        <w:t>表面</w:t>
      </w:r>
      <w:r>
        <w:rPr>
          <w:rFonts w:hint="eastAsia" w:ascii="宋体" w:hAnsi="宋体" w:cs="等线"/>
        </w:rPr>
        <w:t>电荷</w:t>
      </w:r>
      <w:r>
        <w:rPr>
          <w:rFonts w:ascii="宋体" w:hAnsi="宋体" w:cs="等线"/>
        </w:rPr>
        <w:t>与尺寸的关联性。</w:t>
      </w:r>
    </w:p>
    <w:p>
      <w:pPr>
        <w:pStyle w:val="19"/>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20"/>
        <w:textAlignment w:val="auto"/>
        <w:rPr>
          <w:rFonts w:ascii="宋体" w:hAnsi="宋体" w:cs="等线"/>
        </w:rPr>
      </w:pPr>
      <w:r>
        <w:rPr>
          <w:rFonts w:ascii="宋体" w:hAnsi="宋体" w:cs="等线"/>
        </w:rPr>
        <w:t>零校准设计：开机即测，无需标准品校准或热机，避免人为误差。</w:t>
      </w:r>
    </w:p>
    <w:p>
      <w:pPr>
        <w:pStyle w:val="19"/>
        <w:keepNext w:val="0"/>
        <w:keepLines w:val="0"/>
        <w:pageBreakBefore w:val="0"/>
        <w:widowControl w:val="0"/>
        <w:numPr>
          <w:ilvl w:val="0"/>
          <w:numId w:val="2"/>
        </w:numPr>
        <w:kinsoku/>
        <w:wordWrap/>
        <w:overflowPunct/>
        <w:topLinePunct w:val="0"/>
        <w:autoSpaceDE/>
        <w:autoSpaceDN/>
        <w:bidi w:val="0"/>
        <w:adjustRightInd/>
        <w:snapToGrid/>
        <w:spacing w:line="400" w:lineRule="exact"/>
        <w:ind w:left="360" w:leftChars="0" w:firstLine="58" w:firstLineChars="28"/>
        <w:textAlignment w:val="auto"/>
        <w:rPr>
          <w:rFonts w:ascii="宋体" w:hAnsi="宋体" w:cs="等线"/>
        </w:rPr>
      </w:pPr>
      <w:r>
        <w:rPr>
          <w:rFonts w:ascii="宋体" w:hAnsi="宋体" w:cs="等线"/>
        </w:rPr>
        <w:t>系统协同优势</w:t>
      </w:r>
    </w:p>
    <w:p>
      <w:pPr>
        <w:pStyle w:val="19"/>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20"/>
        <w:textAlignment w:val="auto"/>
        <w:rPr>
          <w:rFonts w:ascii="宋体" w:hAnsi="宋体" w:cs="等线"/>
        </w:rPr>
      </w:pPr>
      <w:r>
        <w:rPr>
          <w:rFonts w:ascii="宋体" w:hAnsi="宋体" w:cs="等线"/>
        </w:rPr>
        <w:t>光学模块的团聚评估结果</w:t>
      </w:r>
      <w:r>
        <w:rPr>
          <w:rFonts w:hint="eastAsia" w:ascii="宋体" w:hAnsi="宋体" w:cs="等线"/>
        </w:rPr>
        <w:t>作为参考指导</w:t>
      </w:r>
      <w:r>
        <w:rPr>
          <w:rFonts w:ascii="宋体" w:hAnsi="宋体" w:cs="等线"/>
        </w:rPr>
        <w:t>电学模块</w:t>
      </w:r>
      <w:r>
        <w:rPr>
          <w:rFonts w:hint="eastAsia" w:ascii="宋体" w:hAnsi="宋体" w:cs="等线"/>
        </w:rPr>
        <w:t>的操作使用</w:t>
      </w:r>
      <w:r>
        <w:rPr>
          <w:rFonts w:ascii="宋体" w:hAnsi="宋体" w:cs="等线"/>
        </w:rPr>
        <w:t>，</w:t>
      </w:r>
      <w:r>
        <w:rPr>
          <w:rFonts w:hint="eastAsia" w:ascii="宋体" w:hAnsi="宋体" w:cs="等线"/>
        </w:rPr>
        <w:t>优化</w:t>
      </w:r>
      <w:r>
        <w:rPr>
          <w:rFonts w:ascii="宋体" w:hAnsi="宋体" w:cs="等线"/>
        </w:rPr>
        <w:t>电学检测</w:t>
      </w:r>
      <w:r>
        <w:rPr>
          <w:rFonts w:hint="eastAsia" w:ascii="宋体" w:hAnsi="宋体" w:cs="等线"/>
        </w:rPr>
        <w:t>样本</w:t>
      </w:r>
      <w:r>
        <w:rPr>
          <w:rFonts w:ascii="宋体" w:hAnsi="宋体" w:cs="等线"/>
        </w:rPr>
        <w:t>的</w:t>
      </w:r>
      <w:r>
        <w:rPr>
          <w:rFonts w:hint="eastAsia" w:ascii="宋体" w:hAnsi="宋体" w:cs="等线"/>
        </w:rPr>
        <w:t>质量。</w:t>
      </w:r>
    </w:p>
    <w:p>
      <w:pPr>
        <w:pStyle w:val="19"/>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20"/>
        <w:textAlignment w:val="auto"/>
        <w:rPr>
          <w:rFonts w:ascii="宋体" w:hAnsi="宋体"/>
          <w:bCs/>
          <w:color w:val="auto"/>
          <w:szCs w:val="21"/>
        </w:rPr>
      </w:pPr>
      <w:r>
        <w:rPr>
          <w:rFonts w:hint="eastAsia" w:ascii="宋体" w:hAnsi="宋体" w:cs="等线"/>
        </w:rPr>
        <w:t>光学模块的实时观测图象为电学模块的检测提供可视化依据。</w:t>
      </w:r>
    </w:p>
    <w:p>
      <w:pPr>
        <w:tabs>
          <w:tab w:val="left" w:pos="900"/>
        </w:tabs>
        <w:spacing w:before="156" w:beforeLines="50" w:line="360" w:lineRule="auto"/>
        <w:rPr>
          <w:rFonts w:hAnsi="宋体"/>
          <w:b/>
          <w:color w:val="auto"/>
          <w:szCs w:val="21"/>
        </w:rPr>
      </w:pPr>
      <w:r>
        <w:rPr>
          <w:rFonts w:hint="eastAsia" w:hAnsi="宋体"/>
          <w:b/>
          <w:color w:val="auto"/>
          <w:szCs w:val="21"/>
        </w:rPr>
        <w:t>（二）、配置要求：</w:t>
      </w:r>
    </w:p>
    <w:p>
      <w:pPr>
        <w:pStyle w:val="19"/>
        <w:keepNext w:val="0"/>
        <w:keepLines w:val="0"/>
        <w:pageBreakBefore w:val="0"/>
        <w:widowControl w:val="0"/>
        <w:numPr>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bCs/>
          <w:color w:val="auto"/>
          <w:szCs w:val="21"/>
        </w:rPr>
      </w:pPr>
      <w:r>
        <w:rPr>
          <w:rFonts w:hint="eastAsia" w:ascii="宋体" w:hAnsi="宋体"/>
          <w:bCs/>
          <w:color w:val="auto"/>
          <w:szCs w:val="21"/>
          <w:lang w:val="en-US" w:eastAsia="zh-CN"/>
        </w:rPr>
        <w:t xml:space="preserve">1. </w:t>
      </w:r>
      <w:r>
        <w:rPr>
          <w:rFonts w:hint="eastAsia" w:ascii="宋体" w:hAnsi="宋体"/>
          <w:bCs/>
          <w:color w:val="auto"/>
          <w:szCs w:val="21"/>
        </w:rPr>
        <w:t>纳米粒子跟踪器主机1</w:t>
      </w:r>
      <w:r>
        <w:rPr>
          <w:rFonts w:hint="eastAsia" w:ascii="宋体" w:hAnsi="宋体"/>
          <w:bCs/>
          <w:color w:val="auto"/>
          <w:szCs w:val="21"/>
          <w:lang w:val="en-US" w:eastAsia="zh-CN"/>
        </w:rPr>
        <w:t>套</w:t>
      </w:r>
      <w:r>
        <w:rPr>
          <w:rFonts w:hint="eastAsia" w:ascii="宋体" w:hAnsi="宋体"/>
          <w:bCs/>
          <w:color w:val="auto"/>
          <w:szCs w:val="21"/>
        </w:rPr>
        <w:t>。</w:t>
      </w:r>
    </w:p>
    <w:p>
      <w:pPr>
        <w:pStyle w:val="19"/>
        <w:keepNext w:val="0"/>
        <w:keepLines w:val="0"/>
        <w:pageBreakBefore w:val="0"/>
        <w:widowControl w:val="0"/>
        <w:numPr>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bCs/>
          <w:color w:val="auto"/>
          <w:szCs w:val="21"/>
        </w:rPr>
      </w:pPr>
      <w:r>
        <w:rPr>
          <w:rFonts w:hint="eastAsia" w:ascii="宋体" w:hAnsi="宋体"/>
          <w:bCs/>
          <w:color w:val="auto"/>
          <w:szCs w:val="21"/>
          <w:lang w:val="en-US" w:eastAsia="zh-CN"/>
        </w:rPr>
        <w:t xml:space="preserve">2. </w:t>
      </w:r>
      <w:r>
        <w:rPr>
          <w:rFonts w:hint="eastAsia" w:ascii="宋体" w:hAnsi="宋体"/>
          <w:bCs/>
          <w:color w:val="auto"/>
          <w:szCs w:val="21"/>
        </w:rPr>
        <w:t>配套电脑和软件1套</w:t>
      </w:r>
      <w:r>
        <w:rPr>
          <w:rFonts w:hint="eastAsia" w:ascii="宋体" w:hAnsi="宋体"/>
          <w:bCs/>
          <w:color w:val="auto"/>
          <w:szCs w:val="21"/>
          <w:lang w:eastAsia="zh-CN"/>
        </w:rPr>
        <w:t>。</w:t>
      </w:r>
    </w:p>
    <w:p>
      <w:pPr>
        <w:pStyle w:val="19"/>
        <w:keepNext w:val="0"/>
        <w:keepLines w:val="0"/>
        <w:pageBreakBefore w:val="0"/>
        <w:widowControl w:val="0"/>
        <w:numPr>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bCs/>
          <w:color w:val="auto"/>
          <w:szCs w:val="21"/>
        </w:rPr>
      </w:pPr>
      <w:r>
        <w:rPr>
          <w:rFonts w:hint="eastAsia" w:ascii="宋体" w:hAnsi="宋体"/>
          <w:bCs/>
          <w:color w:val="auto"/>
          <w:szCs w:val="21"/>
          <w:lang w:val="en-US" w:eastAsia="zh-CN"/>
        </w:rPr>
        <w:t xml:space="preserve">3. </w:t>
      </w:r>
      <w:r>
        <w:rPr>
          <w:rFonts w:hint="eastAsia" w:ascii="宋体" w:hAnsi="宋体"/>
          <w:bCs/>
          <w:color w:val="auto"/>
          <w:szCs w:val="21"/>
        </w:rPr>
        <w:t>配备惠普 LaserJet Tank MFP 2606sdw</w:t>
      </w:r>
      <w:r>
        <w:rPr>
          <w:rFonts w:hint="eastAsia" w:ascii="宋体" w:hAnsi="宋体"/>
          <w:bCs/>
          <w:color w:val="auto"/>
          <w:szCs w:val="21"/>
          <w:lang w:val="en-US" w:eastAsia="zh-CN"/>
        </w:rPr>
        <w:t xml:space="preserve"> 打印机</w:t>
      </w:r>
      <w:r>
        <w:rPr>
          <w:rFonts w:hint="eastAsia" w:ascii="宋体" w:hAnsi="宋体"/>
          <w:bCs/>
          <w:color w:val="auto"/>
          <w:szCs w:val="21"/>
        </w:rPr>
        <w:t>1</w:t>
      </w:r>
      <w:r>
        <w:rPr>
          <w:rFonts w:hint="eastAsia" w:ascii="宋体" w:hAnsi="宋体"/>
          <w:bCs/>
          <w:color w:val="auto"/>
          <w:szCs w:val="21"/>
          <w:lang w:val="en-US" w:eastAsia="zh-CN"/>
        </w:rPr>
        <w:t>台</w:t>
      </w:r>
      <w:r>
        <w:rPr>
          <w:rFonts w:hint="eastAsia" w:ascii="宋体" w:hAnsi="宋体"/>
          <w:bCs/>
          <w:color w:val="auto"/>
          <w:szCs w:val="21"/>
        </w:rPr>
        <w:t>。</w:t>
      </w:r>
    </w:p>
    <w:p>
      <w:pPr>
        <w:pStyle w:val="19"/>
        <w:keepNext w:val="0"/>
        <w:keepLines w:val="0"/>
        <w:pageBreakBefore w:val="0"/>
        <w:widowControl w:val="0"/>
        <w:numPr>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bCs/>
          <w:color w:val="auto"/>
          <w:szCs w:val="21"/>
        </w:rPr>
      </w:pPr>
      <w:r>
        <w:rPr>
          <w:rFonts w:hint="eastAsia" w:ascii="宋体" w:hAnsi="宋体"/>
          <w:bCs/>
          <w:color w:val="auto"/>
          <w:szCs w:val="21"/>
          <w:lang w:val="en-US" w:eastAsia="zh-CN"/>
        </w:rPr>
        <w:t xml:space="preserve">4. </w:t>
      </w:r>
      <w:r>
        <w:rPr>
          <w:rFonts w:hint="eastAsia" w:ascii="宋体" w:hAnsi="宋体"/>
          <w:bCs/>
          <w:color w:val="auto"/>
          <w:szCs w:val="21"/>
        </w:rPr>
        <w:t>工具包：配备装机及日常维护所用的工具</w:t>
      </w:r>
      <w:r>
        <w:rPr>
          <w:rFonts w:hint="eastAsia" w:ascii="宋体" w:hAnsi="宋体"/>
          <w:bCs/>
          <w:color w:val="auto"/>
          <w:szCs w:val="21"/>
          <w:lang w:val="en-US" w:eastAsia="zh-CN"/>
        </w:rPr>
        <w:t>1套</w:t>
      </w:r>
      <w:r>
        <w:rPr>
          <w:rFonts w:hint="eastAsia" w:ascii="宋体" w:hAnsi="宋体"/>
          <w:bCs/>
          <w:color w:val="auto"/>
          <w:szCs w:val="21"/>
        </w:rPr>
        <w:t>，包含二氧化硅微球</w:t>
      </w:r>
      <w:r>
        <w:rPr>
          <w:rFonts w:hint="eastAsia" w:ascii="宋体" w:hAnsi="宋体"/>
          <w:bCs/>
          <w:color w:val="auto"/>
          <w:szCs w:val="21"/>
          <w:lang w:val="en-US" w:eastAsia="zh-CN"/>
        </w:rPr>
        <w:t xml:space="preserve"> </w:t>
      </w:r>
      <w:r>
        <w:rPr>
          <w:rFonts w:hint="eastAsia" w:ascii="宋体" w:hAnsi="宋体"/>
          <w:bCs/>
          <w:color w:val="auto"/>
          <w:szCs w:val="21"/>
        </w:rPr>
        <w:t>3套</w:t>
      </w:r>
      <w:r>
        <w:rPr>
          <w:rFonts w:hint="eastAsia" w:ascii="宋体" w:hAnsi="宋体"/>
          <w:bCs/>
          <w:color w:val="auto"/>
          <w:szCs w:val="21"/>
          <w:lang w:eastAsia="zh-CN"/>
        </w:rPr>
        <w:t>，</w:t>
      </w:r>
      <w:r>
        <w:rPr>
          <w:rFonts w:hint="eastAsia" w:ascii="宋体" w:hAnsi="宋体"/>
          <w:bCs/>
          <w:color w:val="auto"/>
          <w:szCs w:val="21"/>
          <w:lang w:val="en-US" w:eastAsia="zh-CN"/>
        </w:rPr>
        <w:t>每套含至少3种不同直径的</w:t>
      </w:r>
      <w:r>
        <w:rPr>
          <w:rFonts w:hint="eastAsia" w:ascii="宋体" w:hAnsi="宋体"/>
          <w:bCs/>
          <w:color w:val="auto"/>
          <w:szCs w:val="21"/>
        </w:rPr>
        <w:t>二氧化硅微球。</w:t>
      </w:r>
      <w:bookmarkStart w:id="14" w:name="_GoBack"/>
      <w:bookmarkEnd w:id="14"/>
    </w:p>
    <w:p>
      <w:pPr>
        <w:tabs>
          <w:tab w:val="left" w:pos="900"/>
        </w:tabs>
        <w:spacing w:before="156" w:beforeLines="50" w:line="360" w:lineRule="auto"/>
        <w:rPr>
          <w:rFonts w:hAnsi="宋体"/>
          <w:b/>
          <w:color w:val="auto"/>
          <w:szCs w:val="21"/>
        </w:rPr>
      </w:pPr>
      <w:r>
        <w:rPr>
          <w:rFonts w:hint="eastAsia" w:hAnsi="宋体"/>
          <w:b/>
          <w:color w:val="auto"/>
          <w:szCs w:val="21"/>
        </w:rPr>
        <w:t>五、采购标的需满足的服务标准、期限、效率等要求</w:t>
      </w:r>
    </w:p>
    <w:p>
      <w:pPr>
        <w:numPr>
          <w:ilvl w:val="0"/>
          <w:numId w:val="4"/>
        </w:numPr>
        <w:tabs>
          <w:tab w:val="left" w:pos="900"/>
        </w:tabs>
        <w:spacing w:before="156" w:beforeLines="50" w:line="360" w:lineRule="auto"/>
        <w:rPr>
          <w:rFonts w:ascii="宋体" w:hAnsi="宋体"/>
          <w:color w:val="auto"/>
          <w:szCs w:val="21"/>
        </w:rPr>
      </w:pPr>
      <w:r>
        <w:rPr>
          <w:rFonts w:hint="eastAsia" w:ascii="宋体" w:hAnsi="宋体"/>
          <w:color w:val="auto"/>
          <w:szCs w:val="21"/>
        </w:rPr>
        <w:t xml:space="preserve">质保期： </w:t>
      </w:r>
      <w:r>
        <w:rPr>
          <w:rFonts w:ascii="宋体" w:hAnsi="宋体"/>
          <w:color w:val="auto"/>
          <w:szCs w:val="21"/>
          <w:u w:val="single"/>
        </w:rPr>
        <w:t xml:space="preserve">  </w:t>
      </w:r>
      <w:r>
        <w:rPr>
          <w:rFonts w:ascii="宋体" w:hAnsi="宋体" w:cs="宋体"/>
          <w:color w:val="auto"/>
          <w:u w:val="single"/>
        </w:rPr>
        <w:t>≥</w:t>
      </w:r>
      <w:r>
        <w:rPr>
          <w:rFonts w:ascii="宋体" w:hAnsi="宋体"/>
          <w:color w:val="auto"/>
          <w:szCs w:val="21"/>
          <w:u w:val="single"/>
        </w:rPr>
        <w:t xml:space="preserve"> 3   </w:t>
      </w:r>
      <w:r>
        <w:rPr>
          <w:rFonts w:hint="eastAsia" w:ascii="宋体" w:hAnsi="宋体"/>
          <w:color w:val="auto"/>
          <w:szCs w:val="21"/>
        </w:rPr>
        <w:t>年，</w:t>
      </w:r>
      <w:r>
        <w:rPr>
          <w:rFonts w:ascii="宋体" w:hAnsi="宋体" w:cs="宋体"/>
          <w:color w:val="auto"/>
        </w:rPr>
        <w:t>质保期内免费维保≥2次/年，免人工服务费。</w:t>
      </w:r>
      <w:r>
        <w:rPr>
          <w:rFonts w:hint="eastAsia" w:ascii="宋体" w:hAnsi="宋体"/>
          <w:color w:val="auto"/>
          <w:szCs w:val="21"/>
        </w:rPr>
        <w:t>质保期满后，仍需提供专业维修服务，投标人在投标文件中需注明维修服务单项报价。</w:t>
      </w:r>
    </w:p>
    <w:p>
      <w:pPr>
        <w:numPr>
          <w:ilvl w:val="0"/>
          <w:numId w:val="4"/>
        </w:numPr>
        <w:tabs>
          <w:tab w:val="left" w:pos="900"/>
        </w:tabs>
        <w:spacing w:before="156" w:beforeLines="50" w:line="360" w:lineRule="auto"/>
        <w:rPr>
          <w:rFonts w:ascii="宋体" w:hAnsi="宋体"/>
          <w:color w:val="auto"/>
          <w:szCs w:val="21"/>
        </w:rPr>
      </w:pPr>
      <w:r>
        <w:rPr>
          <w:rFonts w:hint="eastAsia" w:ascii="宋体" w:hAnsi="宋体"/>
          <w:color w:val="auto"/>
          <w:szCs w:val="21"/>
        </w:rPr>
        <w:t>服务响应时间：接到维修电话后4小时内给予明确答复，8小时内到达现场维修。维修人员到现场后若问题特殊无法现场修复的，供货方需在24小时内给出合理解决方案。</w:t>
      </w:r>
    </w:p>
    <w:p>
      <w:pPr>
        <w:pStyle w:val="19"/>
        <w:numPr>
          <w:ilvl w:val="0"/>
          <w:numId w:val="4"/>
        </w:numPr>
        <w:tabs>
          <w:tab w:val="left" w:pos="709"/>
        </w:tabs>
        <w:spacing w:before="156" w:line="360" w:lineRule="auto"/>
        <w:ind w:firstLineChars="0"/>
        <w:rPr>
          <w:rFonts w:ascii="宋体" w:hAnsi="宋体"/>
          <w:b/>
          <w:color w:val="auto"/>
          <w:szCs w:val="21"/>
        </w:rPr>
      </w:pPr>
      <w:r>
        <w:rPr>
          <w:rFonts w:ascii="宋体" w:hAnsi="宋体"/>
          <w:color w:val="auto"/>
          <w:szCs w:val="21"/>
        </w:rPr>
        <w:t>培训</w:t>
      </w:r>
      <w:r>
        <w:rPr>
          <w:rFonts w:hint="eastAsia" w:ascii="宋体" w:hAnsi="宋体"/>
          <w:color w:val="auto"/>
          <w:szCs w:val="21"/>
        </w:rPr>
        <w:t>要求：</w:t>
      </w:r>
      <w:r>
        <w:rPr>
          <w:rFonts w:ascii="宋体" w:hAnsi="宋体" w:cs="宋体"/>
          <w:color w:val="auto"/>
        </w:rPr>
        <w:t>提供培训电子资料及视频；供方免费为用户培训至少</w:t>
      </w:r>
      <w:r>
        <w:rPr>
          <w:rFonts w:ascii="宋体" w:hAnsi="宋体" w:cs="宋体"/>
          <w:color w:val="auto"/>
          <w:u w:val="single"/>
        </w:rPr>
        <w:t xml:space="preserve"> </w:t>
      </w:r>
      <w:r>
        <w:rPr>
          <w:rFonts w:hint="eastAsia" w:ascii="宋体" w:hAnsi="宋体" w:cs="宋体"/>
          <w:color w:val="auto"/>
          <w:u w:val="single"/>
        </w:rPr>
        <w:t>1</w:t>
      </w:r>
      <w:r>
        <w:rPr>
          <w:rFonts w:ascii="宋体" w:hAnsi="宋体" w:cs="宋体"/>
          <w:color w:val="auto"/>
          <w:u w:val="single"/>
        </w:rPr>
        <w:t xml:space="preserve"> </w:t>
      </w:r>
      <w:r>
        <w:rPr>
          <w:rFonts w:ascii="宋体" w:hAnsi="宋体" w:cs="宋体"/>
          <w:color w:val="auto"/>
        </w:rPr>
        <w:t>名操作人员进行为期至少</w:t>
      </w:r>
      <w:r>
        <w:rPr>
          <w:rFonts w:ascii="宋体" w:hAnsi="宋体" w:cs="宋体"/>
          <w:color w:val="auto"/>
          <w:u w:val="single"/>
        </w:rPr>
        <w:t xml:space="preserve">  </w:t>
      </w:r>
      <w:r>
        <w:rPr>
          <w:rFonts w:hint="eastAsia" w:ascii="宋体" w:hAnsi="宋体" w:cs="宋体"/>
          <w:color w:val="auto"/>
          <w:u w:val="single"/>
        </w:rPr>
        <w:t>1</w:t>
      </w:r>
      <w:r>
        <w:rPr>
          <w:rFonts w:ascii="宋体" w:hAnsi="宋体" w:cs="宋体"/>
          <w:color w:val="auto"/>
          <w:u w:val="single"/>
        </w:rPr>
        <w:t xml:space="preserve"> </w:t>
      </w:r>
      <w:r>
        <w:rPr>
          <w:rFonts w:ascii="宋体" w:hAnsi="宋体" w:cs="宋体"/>
          <w:color w:val="auto"/>
        </w:rPr>
        <w:t xml:space="preserve">天的现场操作培训以及应用培训，保证用户掌握有关设备的使用、维护、管理和应用等工作要求。不定期的免费提供相关设备应用方面的技术咨询等。 </w:t>
      </w:r>
    </w:p>
    <w:p>
      <w:pPr>
        <w:tabs>
          <w:tab w:val="left" w:pos="420"/>
          <w:tab w:val="left" w:pos="900"/>
        </w:tabs>
        <w:spacing w:before="156" w:beforeLines="50" w:line="360" w:lineRule="auto"/>
        <w:rPr>
          <w:rFonts w:ascii="宋体" w:hAnsi="宋体"/>
          <w:b/>
          <w:color w:val="auto"/>
          <w:szCs w:val="21"/>
        </w:rPr>
      </w:pPr>
      <w:r>
        <w:rPr>
          <w:rFonts w:hint="eastAsia" w:ascii="宋体" w:hAnsi="宋体"/>
          <w:b/>
          <w:color w:val="auto"/>
          <w:szCs w:val="21"/>
        </w:rPr>
        <w:t>六、</w:t>
      </w:r>
      <w:r>
        <w:rPr>
          <w:rFonts w:ascii="宋体" w:hAnsi="宋体"/>
          <w:b/>
          <w:color w:val="auto"/>
          <w:szCs w:val="21"/>
        </w:rPr>
        <w:t>采购标的的</w:t>
      </w:r>
      <w:r>
        <w:rPr>
          <w:rFonts w:hint="eastAsia" w:ascii="宋体" w:hAnsi="宋体"/>
          <w:b/>
          <w:color w:val="auto"/>
          <w:szCs w:val="21"/>
        </w:rPr>
        <w:t>履约验收标准</w:t>
      </w:r>
    </w:p>
    <w:bookmarkEnd w:id="4"/>
    <w:bookmarkEnd w:id="5"/>
    <w:bookmarkEnd w:id="6"/>
    <w:tbl>
      <w:tblPr>
        <w:tblStyle w:val="10"/>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pPr>
              <w:widowControl/>
              <w:jc w:val="center"/>
              <w:textAlignment w:val="baseline"/>
              <w:rPr>
                <w:color w:val="auto"/>
                <w:kern w:val="0"/>
                <w:sz w:val="20"/>
                <w:szCs w:val="21"/>
              </w:rPr>
            </w:pPr>
            <w:r>
              <w:rPr>
                <w:color w:val="auto"/>
                <w:kern w:val="0"/>
                <w:sz w:val="20"/>
                <w:szCs w:val="21"/>
              </w:rPr>
              <w:t>现场的检验指标及方法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pPr>
              <w:widowControl/>
              <w:jc w:val="center"/>
              <w:textAlignment w:val="baseline"/>
              <w:rPr>
                <w:color w:val="auto"/>
                <w:kern w:val="0"/>
                <w:sz w:val="20"/>
                <w:szCs w:val="21"/>
              </w:rPr>
            </w:pPr>
            <w:r>
              <w:rPr>
                <w:color w:val="auto"/>
                <w:kern w:val="0"/>
                <w:sz w:val="20"/>
                <w:szCs w:val="21"/>
              </w:rPr>
              <w:t>序号</w:t>
            </w:r>
          </w:p>
        </w:tc>
        <w:tc>
          <w:tcPr>
            <w:tcW w:w="3507" w:type="dxa"/>
            <w:vAlign w:val="center"/>
          </w:tcPr>
          <w:p>
            <w:pPr>
              <w:widowControl/>
              <w:jc w:val="center"/>
              <w:textAlignment w:val="baseline"/>
              <w:rPr>
                <w:color w:val="auto"/>
                <w:kern w:val="0"/>
                <w:sz w:val="20"/>
                <w:szCs w:val="21"/>
              </w:rPr>
            </w:pPr>
            <w:r>
              <w:rPr>
                <w:color w:val="auto"/>
                <w:kern w:val="0"/>
                <w:sz w:val="20"/>
                <w:szCs w:val="21"/>
              </w:rPr>
              <w:t>功能或指标</w:t>
            </w:r>
          </w:p>
        </w:tc>
        <w:tc>
          <w:tcPr>
            <w:tcW w:w="4368" w:type="dxa"/>
            <w:gridSpan w:val="2"/>
            <w:vAlign w:val="center"/>
          </w:tcPr>
          <w:p>
            <w:pPr>
              <w:widowControl/>
              <w:jc w:val="center"/>
              <w:textAlignment w:val="baseline"/>
              <w:rPr>
                <w:color w:val="auto"/>
                <w:kern w:val="0"/>
                <w:sz w:val="20"/>
                <w:szCs w:val="21"/>
              </w:rPr>
            </w:pPr>
            <w:r>
              <w:rPr>
                <w:color w:val="auto"/>
                <w:kern w:val="0"/>
                <w:sz w:val="20"/>
                <w:szCs w:val="21"/>
              </w:rPr>
              <w:t>验收或测试方法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pPr>
              <w:widowControl/>
              <w:jc w:val="left"/>
              <w:textAlignment w:val="baseline"/>
              <w:rPr>
                <w:rFonts w:ascii="黑体" w:hAnsi="黑体" w:eastAsia="黑体"/>
                <w:b/>
                <w:color w:val="auto"/>
                <w:kern w:val="0"/>
                <w:sz w:val="18"/>
                <w:szCs w:val="18"/>
              </w:rPr>
            </w:pPr>
            <w:r>
              <w:rPr>
                <w:rFonts w:hint="eastAsia" w:ascii="黑体" w:hAnsi="黑体" w:eastAsia="黑体"/>
                <w:b/>
                <w:color w:val="auto"/>
                <w:kern w:val="0"/>
                <w:sz w:val="18"/>
                <w:szCs w:val="18"/>
              </w:rPr>
              <w:t>项目建设单位验收要求：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pPr>
              <w:widowControl/>
              <w:spacing w:line="450" w:lineRule="atLeast"/>
              <w:jc w:val="center"/>
              <w:textAlignment w:val="baseline"/>
              <w:rPr>
                <w:color w:val="auto"/>
                <w:kern w:val="0"/>
                <w:sz w:val="20"/>
                <w:szCs w:val="21"/>
              </w:rPr>
            </w:pPr>
            <w:r>
              <w:rPr>
                <w:color w:val="auto"/>
                <w:kern w:val="0"/>
                <w:sz w:val="20"/>
                <w:szCs w:val="21"/>
              </w:rPr>
              <w:t>1</w:t>
            </w:r>
          </w:p>
        </w:tc>
        <w:tc>
          <w:tcPr>
            <w:tcW w:w="3507" w:type="dxa"/>
            <w:vAlign w:val="center"/>
          </w:tcPr>
          <w:p>
            <w:pPr>
              <w:widowControl/>
              <w:textAlignment w:val="baseline"/>
              <w:rPr>
                <w:color w:val="auto"/>
                <w:kern w:val="0"/>
                <w:sz w:val="18"/>
                <w:szCs w:val="18"/>
              </w:rPr>
            </w:pPr>
            <w:r>
              <w:rPr>
                <w:rFonts w:hint="eastAsia"/>
                <w:color w:val="auto"/>
                <w:kern w:val="0"/>
                <w:sz w:val="18"/>
                <w:szCs w:val="18"/>
              </w:rPr>
              <w:t>货物外包装与外观无损伤</w:t>
            </w:r>
          </w:p>
        </w:tc>
        <w:tc>
          <w:tcPr>
            <w:tcW w:w="4368" w:type="dxa"/>
            <w:gridSpan w:val="2"/>
            <w:vAlign w:val="center"/>
          </w:tcPr>
          <w:p>
            <w:pPr>
              <w:widowControl/>
              <w:jc w:val="left"/>
              <w:textAlignment w:val="baseline"/>
              <w:rPr>
                <w:color w:val="auto"/>
                <w:kern w:val="0"/>
                <w:sz w:val="18"/>
                <w:szCs w:val="18"/>
              </w:rPr>
            </w:pPr>
            <w:r>
              <w:rPr>
                <w:color w:val="auto"/>
                <w:kern w:val="0"/>
                <w:sz w:val="18"/>
                <w:szCs w:val="18"/>
              </w:rPr>
              <w:t>现场核查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pPr>
              <w:widowControl/>
              <w:spacing w:line="450" w:lineRule="atLeast"/>
              <w:jc w:val="center"/>
              <w:textAlignment w:val="baseline"/>
              <w:rPr>
                <w:color w:val="auto"/>
                <w:kern w:val="0"/>
                <w:sz w:val="20"/>
                <w:szCs w:val="21"/>
              </w:rPr>
            </w:pPr>
            <w:r>
              <w:rPr>
                <w:color w:val="auto"/>
                <w:kern w:val="0"/>
                <w:sz w:val="20"/>
                <w:szCs w:val="21"/>
              </w:rPr>
              <w:t>2</w:t>
            </w:r>
          </w:p>
        </w:tc>
        <w:tc>
          <w:tcPr>
            <w:tcW w:w="3507" w:type="dxa"/>
            <w:vAlign w:val="center"/>
          </w:tcPr>
          <w:p>
            <w:pPr>
              <w:widowControl/>
              <w:textAlignment w:val="baseline"/>
              <w:rPr>
                <w:color w:val="auto"/>
                <w:kern w:val="0"/>
                <w:sz w:val="18"/>
                <w:szCs w:val="18"/>
              </w:rPr>
            </w:pPr>
            <w:r>
              <w:rPr>
                <w:rFonts w:hint="eastAsia"/>
                <w:color w:val="auto"/>
                <w:kern w:val="0"/>
                <w:sz w:val="18"/>
                <w:szCs w:val="18"/>
              </w:rPr>
              <w:t>货物</w:t>
            </w:r>
            <w:r>
              <w:rPr>
                <w:color w:val="auto"/>
                <w:kern w:val="0"/>
                <w:sz w:val="18"/>
                <w:szCs w:val="18"/>
              </w:rPr>
              <w:t>配置、包括备品备件、耗</w:t>
            </w:r>
            <w:r>
              <w:rPr>
                <w:rFonts w:hint="eastAsia"/>
                <w:color w:val="auto"/>
                <w:kern w:val="0"/>
                <w:sz w:val="18"/>
                <w:szCs w:val="18"/>
              </w:rPr>
              <w:t>品耗</w:t>
            </w:r>
            <w:r>
              <w:rPr>
                <w:color w:val="auto"/>
                <w:kern w:val="0"/>
                <w:sz w:val="18"/>
                <w:szCs w:val="18"/>
              </w:rPr>
              <w:t>材等提供齐全，</w:t>
            </w:r>
            <w:r>
              <w:rPr>
                <w:rFonts w:hint="eastAsia"/>
                <w:color w:val="auto"/>
                <w:kern w:val="0"/>
                <w:sz w:val="18"/>
                <w:szCs w:val="18"/>
              </w:rPr>
              <w:t>货物实物品牌、规格、型号、配置数量与采购结果、合同约定相符。</w:t>
            </w:r>
          </w:p>
        </w:tc>
        <w:tc>
          <w:tcPr>
            <w:tcW w:w="4368" w:type="dxa"/>
            <w:gridSpan w:val="2"/>
            <w:vAlign w:val="center"/>
          </w:tcPr>
          <w:p>
            <w:pPr>
              <w:widowControl/>
              <w:textAlignment w:val="baseline"/>
              <w:rPr>
                <w:color w:val="auto"/>
                <w:kern w:val="0"/>
                <w:sz w:val="18"/>
                <w:szCs w:val="18"/>
              </w:rPr>
            </w:pPr>
            <w:r>
              <w:rPr>
                <w:rFonts w:hint="eastAsia"/>
                <w:color w:val="auto"/>
                <w:kern w:val="0"/>
                <w:sz w:val="18"/>
                <w:szCs w:val="18"/>
              </w:rPr>
              <w:t>依据《合同》及其附件（包括但不限于《采购需求》《供应商投标（响应）文件》《投标澄清函》《技术协议》等）约定，</w:t>
            </w:r>
            <w:r>
              <w:rPr>
                <w:color w:val="auto"/>
                <w:kern w:val="0"/>
                <w:sz w:val="18"/>
                <w:szCs w:val="18"/>
              </w:rPr>
              <w:t>现场核查</w:t>
            </w:r>
            <w:r>
              <w:rPr>
                <w:rFonts w:hint="eastAsia"/>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pPr>
              <w:widowControl/>
              <w:spacing w:line="450" w:lineRule="atLeast"/>
              <w:jc w:val="center"/>
              <w:textAlignment w:val="baseline"/>
              <w:rPr>
                <w:color w:val="auto"/>
                <w:kern w:val="0"/>
                <w:sz w:val="20"/>
                <w:szCs w:val="21"/>
              </w:rPr>
            </w:pPr>
            <w:r>
              <w:rPr>
                <w:color w:val="auto"/>
                <w:kern w:val="0"/>
                <w:sz w:val="20"/>
                <w:szCs w:val="21"/>
              </w:rPr>
              <w:t>3</w:t>
            </w:r>
          </w:p>
        </w:tc>
        <w:tc>
          <w:tcPr>
            <w:tcW w:w="3507" w:type="dxa"/>
            <w:vAlign w:val="center"/>
          </w:tcPr>
          <w:p>
            <w:pPr>
              <w:widowControl/>
              <w:textAlignment w:val="baseline"/>
              <w:rPr>
                <w:color w:val="auto"/>
                <w:kern w:val="0"/>
                <w:sz w:val="18"/>
                <w:szCs w:val="18"/>
              </w:rPr>
            </w:pPr>
            <w:r>
              <w:rPr>
                <w:color w:val="auto"/>
                <w:kern w:val="0"/>
                <w:sz w:val="18"/>
                <w:szCs w:val="18"/>
              </w:rPr>
              <w:t>所有功能和指标参数</w:t>
            </w:r>
            <w:r>
              <w:rPr>
                <w:rFonts w:hint="eastAsia"/>
                <w:color w:val="auto"/>
                <w:kern w:val="0"/>
                <w:sz w:val="18"/>
                <w:szCs w:val="18"/>
              </w:rPr>
              <w:t>（</w:t>
            </w:r>
            <w:r>
              <w:rPr>
                <w:color w:val="auto"/>
                <w:kern w:val="0"/>
                <w:sz w:val="18"/>
                <w:szCs w:val="18"/>
              </w:rPr>
              <w:t>包括边界极限值</w:t>
            </w:r>
            <w:r>
              <w:rPr>
                <w:rFonts w:hint="eastAsia"/>
                <w:color w:val="auto"/>
                <w:kern w:val="0"/>
                <w:sz w:val="18"/>
                <w:szCs w:val="18"/>
              </w:rPr>
              <w:t>）</w:t>
            </w:r>
            <w:r>
              <w:rPr>
                <w:color w:val="auto"/>
                <w:kern w:val="0"/>
                <w:sz w:val="18"/>
                <w:szCs w:val="18"/>
              </w:rPr>
              <w:t>达到采购</w:t>
            </w:r>
            <w:r>
              <w:rPr>
                <w:rFonts w:hint="eastAsia"/>
                <w:color w:val="auto"/>
                <w:kern w:val="0"/>
                <w:sz w:val="18"/>
                <w:szCs w:val="18"/>
              </w:rPr>
              <w:t>结果合同约定</w:t>
            </w:r>
            <w:r>
              <w:rPr>
                <w:color w:val="auto"/>
                <w:kern w:val="0"/>
                <w:sz w:val="18"/>
                <w:szCs w:val="18"/>
              </w:rPr>
              <w:t>要求</w:t>
            </w:r>
            <w:r>
              <w:rPr>
                <w:rFonts w:hint="eastAsia"/>
                <w:color w:val="auto"/>
                <w:kern w:val="0"/>
                <w:sz w:val="18"/>
                <w:szCs w:val="18"/>
              </w:rPr>
              <w:t>。</w:t>
            </w:r>
          </w:p>
        </w:tc>
        <w:tc>
          <w:tcPr>
            <w:tcW w:w="4368" w:type="dxa"/>
            <w:gridSpan w:val="2"/>
            <w:vAlign w:val="center"/>
          </w:tcPr>
          <w:p>
            <w:pPr>
              <w:rPr>
                <w:rFonts w:hAnsi="宋体"/>
                <w:color w:val="auto"/>
                <w:kern w:val="0"/>
                <w:sz w:val="20"/>
                <w:szCs w:val="21"/>
              </w:rPr>
            </w:pPr>
            <w:r>
              <w:rPr>
                <w:rFonts w:hint="eastAsia"/>
                <w:color w:val="auto"/>
                <w:kern w:val="0"/>
                <w:sz w:val="18"/>
                <w:szCs w:val="18"/>
              </w:rPr>
              <w:t>依据《合同》及其附件（包括但不限于《采购需求》《供应商投标（响应）文件》《投标澄清函》《技术协议》等）约定，</w:t>
            </w:r>
            <w:r>
              <w:rPr>
                <w:color w:val="auto"/>
                <w:kern w:val="0"/>
                <w:sz w:val="18"/>
                <w:szCs w:val="18"/>
              </w:rPr>
              <w:t>现场测试</w:t>
            </w:r>
            <w:r>
              <w:rPr>
                <w:rFonts w:hint="eastAsia"/>
                <w:color w:val="auto"/>
                <w:kern w:val="0"/>
                <w:sz w:val="18"/>
                <w:szCs w:val="18"/>
              </w:rPr>
              <w:t>，供应商应</w:t>
            </w:r>
            <w:r>
              <w:rPr>
                <w:color w:val="auto"/>
                <w:kern w:val="0"/>
                <w:sz w:val="18"/>
                <w:szCs w:val="18"/>
              </w:rPr>
              <w:t>提供</w:t>
            </w:r>
            <w:r>
              <w:rPr>
                <w:rFonts w:hint="eastAsia"/>
                <w:color w:val="auto"/>
                <w:kern w:val="0"/>
                <w:sz w:val="18"/>
                <w:szCs w:val="18"/>
              </w:rPr>
              <w:t>《产品出厂检测报告》《产品合格证书》和根据合同约定提供《第三方检测报告》。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pPr>
              <w:widowControl/>
              <w:spacing w:line="450" w:lineRule="atLeast"/>
              <w:jc w:val="center"/>
              <w:textAlignment w:val="baseline"/>
              <w:rPr>
                <w:color w:val="auto"/>
                <w:kern w:val="0"/>
                <w:sz w:val="20"/>
                <w:szCs w:val="21"/>
              </w:rPr>
            </w:pPr>
            <w:r>
              <w:rPr>
                <w:color w:val="auto"/>
                <w:kern w:val="0"/>
                <w:sz w:val="20"/>
                <w:szCs w:val="21"/>
              </w:rPr>
              <w:t>4</w:t>
            </w:r>
          </w:p>
        </w:tc>
        <w:tc>
          <w:tcPr>
            <w:tcW w:w="3507" w:type="dxa"/>
            <w:vAlign w:val="center"/>
          </w:tcPr>
          <w:p>
            <w:pPr>
              <w:widowControl/>
              <w:textAlignment w:val="baseline"/>
              <w:rPr>
                <w:color w:val="auto"/>
                <w:kern w:val="0"/>
                <w:sz w:val="18"/>
                <w:szCs w:val="18"/>
              </w:rPr>
            </w:pPr>
            <w:r>
              <w:rPr>
                <w:color w:val="auto"/>
                <w:kern w:val="0"/>
                <w:sz w:val="18"/>
                <w:szCs w:val="18"/>
              </w:rPr>
              <w:t>提供</w:t>
            </w:r>
            <w:r>
              <w:rPr>
                <w:rFonts w:hint="eastAsia"/>
                <w:color w:val="auto"/>
                <w:kern w:val="0"/>
                <w:sz w:val="18"/>
                <w:szCs w:val="18"/>
              </w:rPr>
              <w:t>《培训视频》影像资料</w:t>
            </w:r>
          </w:p>
        </w:tc>
        <w:tc>
          <w:tcPr>
            <w:tcW w:w="4368" w:type="dxa"/>
            <w:gridSpan w:val="2"/>
            <w:vAlign w:val="center"/>
          </w:tcPr>
          <w:p>
            <w:pPr>
              <w:widowControl/>
              <w:textAlignment w:val="baseline"/>
              <w:rPr>
                <w:color w:val="auto"/>
                <w:kern w:val="0"/>
                <w:sz w:val="18"/>
                <w:szCs w:val="18"/>
              </w:rPr>
            </w:pPr>
            <w:r>
              <w:rPr>
                <w:color w:val="auto"/>
                <w:kern w:val="0"/>
                <w:sz w:val="18"/>
                <w:szCs w:val="18"/>
              </w:rPr>
              <w:t>现场核查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pPr>
              <w:widowControl/>
              <w:spacing w:line="450" w:lineRule="atLeast"/>
              <w:jc w:val="center"/>
              <w:textAlignment w:val="baseline"/>
              <w:rPr>
                <w:color w:val="auto"/>
                <w:kern w:val="0"/>
                <w:sz w:val="20"/>
                <w:szCs w:val="21"/>
              </w:rPr>
            </w:pPr>
            <w:r>
              <w:rPr>
                <w:rFonts w:hint="eastAsia"/>
                <w:color w:val="auto"/>
                <w:kern w:val="0"/>
                <w:sz w:val="20"/>
                <w:szCs w:val="21"/>
              </w:rPr>
              <w:t>5</w:t>
            </w:r>
          </w:p>
        </w:tc>
        <w:tc>
          <w:tcPr>
            <w:tcW w:w="3507" w:type="dxa"/>
            <w:vAlign w:val="center"/>
          </w:tcPr>
          <w:p>
            <w:pPr>
              <w:widowControl/>
              <w:textAlignment w:val="baseline"/>
              <w:rPr>
                <w:color w:val="auto"/>
                <w:kern w:val="0"/>
                <w:sz w:val="18"/>
                <w:szCs w:val="18"/>
              </w:rPr>
            </w:pPr>
            <w:r>
              <w:rPr>
                <w:color w:val="auto"/>
                <w:kern w:val="0"/>
                <w:sz w:val="18"/>
                <w:szCs w:val="18"/>
              </w:rPr>
              <w:t>验证</w:t>
            </w:r>
            <w:r>
              <w:rPr>
                <w:rFonts w:hint="eastAsia"/>
                <w:color w:val="auto"/>
                <w:kern w:val="0"/>
                <w:sz w:val="18"/>
                <w:szCs w:val="18"/>
              </w:rPr>
              <w:t>测试设备的运行稳定性</w:t>
            </w:r>
          </w:p>
        </w:tc>
        <w:tc>
          <w:tcPr>
            <w:tcW w:w="4368" w:type="dxa"/>
            <w:gridSpan w:val="2"/>
            <w:vAlign w:val="center"/>
          </w:tcPr>
          <w:p>
            <w:pPr>
              <w:widowControl/>
              <w:textAlignment w:val="baseline"/>
              <w:rPr>
                <w:color w:val="auto"/>
                <w:kern w:val="0"/>
                <w:sz w:val="18"/>
                <w:szCs w:val="18"/>
              </w:rPr>
            </w:pPr>
            <w:r>
              <w:rPr>
                <w:rFonts w:hint="eastAsia"/>
                <w:color w:val="auto"/>
                <w:kern w:val="0"/>
                <w:sz w:val="18"/>
                <w:szCs w:val="18"/>
              </w:rPr>
              <w:t>试运行</w:t>
            </w:r>
            <w:r>
              <w:rPr>
                <w:color w:val="auto"/>
                <w:kern w:val="0"/>
                <w:sz w:val="18"/>
                <w:szCs w:val="18"/>
              </w:rPr>
              <w:t>验证</w:t>
            </w:r>
            <w:r>
              <w:rPr>
                <w:rFonts w:hint="eastAsia"/>
                <w:color w:val="auto"/>
                <w:kern w:val="0"/>
                <w:sz w:val="18"/>
                <w:szCs w:val="18"/>
              </w:rPr>
              <w:t>测试设备运行稳定达标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pPr>
              <w:widowControl/>
              <w:spacing w:line="450" w:lineRule="atLeast"/>
              <w:jc w:val="center"/>
              <w:textAlignment w:val="baseline"/>
              <w:rPr>
                <w:color w:val="auto"/>
                <w:kern w:val="0"/>
                <w:sz w:val="20"/>
                <w:szCs w:val="21"/>
              </w:rPr>
            </w:pPr>
            <w:r>
              <w:rPr>
                <w:rFonts w:hint="eastAsia"/>
                <w:color w:val="auto"/>
                <w:kern w:val="0"/>
                <w:sz w:val="20"/>
                <w:szCs w:val="21"/>
              </w:rPr>
              <w:t>6</w:t>
            </w:r>
          </w:p>
        </w:tc>
        <w:tc>
          <w:tcPr>
            <w:tcW w:w="7875" w:type="dxa"/>
            <w:gridSpan w:val="3"/>
            <w:vAlign w:val="center"/>
          </w:tcPr>
          <w:p>
            <w:pPr>
              <w:widowControl/>
              <w:textAlignment w:val="baseline"/>
              <w:rPr>
                <w:color w:val="auto"/>
                <w:kern w:val="0"/>
                <w:sz w:val="18"/>
                <w:szCs w:val="18"/>
              </w:rPr>
            </w:pPr>
            <w:r>
              <w:rPr>
                <w:rFonts w:hint="eastAsia"/>
                <w:color w:val="auto"/>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pPr>
              <w:widowControl/>
              <w:jc w:val="left"/>
              <w:textAlignment w:val="baseline"/>
              <w:rPr>
                <w:color w:val="auto"/>
                <w:kern w:val="0"/>
                <w:sz w:val="18"/>
                <w:szCs w:val="18"/>
              </w:rPr>
            </w:pPr>
            <w:r>
              <w:rPr>
                <w:rFonts w:hint="eastAsia" w:ascii="黑体" w:hAnsi="黑体" w:eastAsia="黑体"/>
                <w:b/>
                <w:color w:val="auto"/>
                <w:kern w:val="0"/>
                <w:sz w:val="18"/>
                <w:szCs w:val="18"/>
              </w:rPr>
              <w:t>学校验收复核要求：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pPr>
              <w:widowControl/>
              <w:spacing w:line="450" w:lineRule="atLeast"/>
              <w:jc w:val="center"/>
              <w:textAlignment w:val="baseline"/>
              <w:rPr>
                <w:color w:val="auto"/>
                <w:kern w:val="0"/>
                <w:sz w:val="20"/>
                <w:szCs w:val="21"/>
              </w:rPr>
            </w:pPr>
            <w:r>
              <w:rPr>
                <w:rFonts w:hint="eastAsia"/>
                <w:color w:val="auto"/>
                <w:kern w:val="0"/>
                <w:sz w:val="20"/>
                <w:szCs w:val="21"/>
              </w:rPr>
              <w:t>1</w:t>
            </w:r>
          </w:p>
        </w:tc>
        <w:tc>
          <w:tcPr>
            <w:tcW w:w="7875" w:type="dxa"/>
            <w:gridSpan w:val="3"/>
            <w:vAlign w:val="center"/>
          </w:tcPr>
          <w:p>
            <w:pPr>
              <w:widowControl/>
              <w:textAlignment w:val="baseline"/>
              <w:rPr>
                <w:color w:val="auto"/>
                <w:kern w:val="0"/>
                <w:sz w:val="18"/>
                <w:szCs w:val="18"/>
              </w:rPr>
            </w:pPr>
            <w:r>
              <w:rPr>
                <w:rFonts w:hint="eastAsia"/>
                <w:color w:val="auto"/>
                <w:kern w:val="0"/>
                <w:sz w:val="18"/>
                <w:szCs w:val="18"/>
              </w:rPr>
              <w:t>项目建设单位填写《学校采购货物类项目验收复核申请表》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pPr>
              <w:widowControl/>
              <w:spacing w:line="450" w:lineRule="atLeast"/>
              <w:jc w:val="center"/>
              <w:textAlignment w:val="baseline"/>
              <w:rPr>
                <w:color w:val="auto"/>
                <w:kern w:val="0"/>
                <w:sz w:val="20"/>
                <w:szCs w:val="21"/>
              </w:rPr>
            </w:pPr>
            <w:r>
              <w:rPr>
                <w:rFonts w:hint="eastAsia"/>
                <w:color w:val="auto"/>
                <w:kern w:val="0"/>
                <w:sz w:val="20"/>
                <w:szCs w:val="21"/>
              </w:rPr>
              <w:t>2</w:t>
            </w:r>
          </w:p>
        </w:tc>
        <w:tc>
          <w:tcPr>
            <w:tcW w:w="7875" w:type="dxa"/>
            <w:gridSpan w:val="3"/>
            <w:vAlign w:val="center"/>
          </w:tcPr>
          <w:p>
            <w:pPr>
              <w:widowControl/>
              <w:textAlignment w:val="baseline"/>
              <w:rPr>
                <w:color w:val="auto"/>
                <w:kern w:val="0"/>
                <w:sz w:val="18"/>
                <w:szCs w:val="18"/>
              </w:rPr>
            </w:pPr>
            <w:r>
              <w:rPr>
                <w:rFonts w:hint="eastAsia"/>
                <w:color w:val="auto"/>
                <w:kern w:val="0"/>
                <w:sz w:val="18"/>
                <w:szCs w:val="18"/>
              </w:rPr>
              <w:t>提供《供应商货物类项目完工报告》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pPr>
              <w:widowControl/>
              <w:spacing w:line="450" w:lineRule="atLeast"/>
              <w:jc w:val="center"/>
              <w:textAlignment w:val="baseline"/>
              <w:rPr>
                <w:color w:val="auto"/>
                <w:kern w:val="0"/>
                <w:sz w:val="20"/>
                <w:szCs w:val="21"/>
              </w:rPr>
            </w:pPr>
            <w:r>
              <w:rPr>
                <w:rFonts w:hint="eastAsia"/>
                <w:color w:val="auto"/>
                <w:kern w:val="0"/>
                <w:sz w:val="20"/>
                <w:szCs w:val="21"/>
              </w:rPr>
              <w:t>3</w:t>
            </w:r>
          </w:p>
        </w:tc>
        <w:tc>
          <w:tcPr>
            <w:tcW w:w="7875" w:type="dxa"/>
            <w:gridSpan w:val="3"/>
            <w:vAlign w:val="center"/>
          </w:tcPr>
          <w:p>
            <w:pPr>
              <w:widowControl/>
              <w:textAlignment w:val="baseline"/>
              <w:rPr>
                <w:color w:val="auto"/>
                <w:kern w:val="0"/>
                <w:sz w:val="18"/>
                <w:szCs w:val="18"/>
              </w:rPr>
            </w:pPr>
            <w:r>
              <w:rPr>
                <w:rFonts w:hint="eastAsia"/>
                <w:color w:val="auto"/>
                <w:kern w:val="0"/>
                <w:sz w:val="18"/>
                <w:szCs w:val="18"/>
              </w:rPr>
              <w:t>提供《项目建设单位货物类项目完工自验收报告》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pPr>
              <w:widowControl/>
              <w:spacing w:line="450" w:lineRule="atLeast"/>
              <w:jc w:val="center"/>
              <w:textAlignment w:val="baseline"/>
              <w:rPr>
                <w:color w:val="auto"/>
                <w:kern w:val="0"/>
                <w:sz w:val="20"/>
                <w:szCs w:val="21"/>
              </w:rPr>
            </w:pPr>
            <w:r>
              <w:rPr>
                <w:rFonts w:hint="eastAsia"/>
                <w:color w:val="auto"/>
                <w:kern w:val="0"/>
                <w:sz w:val="20"/>
                <w:szCs w:val="21"/>
              </w:rPr>
              <w:t>4</w:t>
            </w:r>
          </w:p>
        </w:tc>
        <w:tc>
          <w:tcPr>
            <w:tcW w:w="7875" w:type="dxa"/>
            <w:gridSpan w:val="3"/>
            <w:vAlign w:val="center"/>
          </w:tcPr>
          <w:p>
            <w:pPr>
              <w:widowControl/>
              <w:textAlignment w:val="baseline"/>
              <w:rPr>
                <w:color w:val="auto"/>
                <w:kern w:val="0"/>
                <w:sz w:val="18"/>
                <w:szCs w:val="18"/>
              </w:rPr>
            </w:pPr>
            <w:r>
              <w:rPr>
                <w:rFonts w:hint="eastAsia"/>
                <w:color w:val="auto"/>
                <w:kern w:val="0"/>
                <w:sz w:val="18"/>
                <w:szCs w:val="18"/>
              </w:rPr>
              <w:t>学校组织验收专家组现场复核供应商与项目建设单位货物到货完工验收完成情况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pPr>
              <w:widowControl/>
              <w:textAlignment w:val="baseline"/>
              <w:rPr>
                <w:color w:val="auto"/>
                <w:kern w:val="0"/>
                <w:sz w:val="20"/>
                <w:szCs w:val="21"/>
              </w:rPr>
            </w:pPr>
            <w:r>
              <w:rPr>
                <w:color w:val="auto"/>
                <w:kern w:val="0"/>
                <w:sz w:val="20"/>
                <w:szCs w:val="21"/>
              </w:rPr>
              <w:t>验收时是否需要供应商提供样品</w:t>
            </w:r>
          </w:p>
        </w:tc>
        <w:tc>
          <w:tcPr>
            <w:tcW w:w="2254" w:type="dxa"/>
            <w:vAlign w:val="center"/>
          </w:tcPr>
          <w:p>
            <w:pPr>
              <w:widowControl/>
              <w:textAlignment w:val="baseline"/>
              <w:rPr>
                <w:color w:val="auto"/>
                <w:kern w:val="0"/>
                <w:sz w:val="20"/>
                <w:szCs w:val="21"/>
              </w:rPr>
            </w:pPr>
            <w:r>
              <w:rPr>
                <w:color w:val="auto"/>
                <w:kern w:val="0"/>
                <w:sz w:val="20"/>
                <w:szCs w:val="21"/>
              </w:rPr>
              <w:t>是</w:t>
            </w:r>
            <w:r>
              <w:rPr>
                <w:rFonts w:hint="eastAsia" w:cs="宋体" w:asciiTheme="minorEastAsia" w:hAnsiTheme="minorEastAsia"/>
                <w:color w:val="auto"/>
                <w:kern w:val="0"/>
                <w:sz w:val="20"/>
                <w:szCs w:val="21"/>
              </w:rPr>
              <w:t>□</w:t>
            </w:r>
          </w:p>
        </w:tc>
        <w:tc>
          <w:tcPr>
            <w:tcW w:w="2114" w:type="dxa"/>
            <w:vAlign w:val="center"/>
          </w:tcPr>
          <w:p>
            <w:pPr>
              <w:widowControl/>
              <w:textAlignment w:val="baseline"/>
              <w:rPr>
                <w:color w:val="auto"/>
                <w:kern w:val="0"/>
                <w:sz w:val="20"/>
                <w:szCs w:val="21"/>
              </w:rPr>
            </w:pPr>
            <w:r>
              <w:rPr>
                <w:color w:val="auto"/>
                <w:kern w:val="0"/>
                <w:sz w:val="20"/>
                <w:szCs w:val="21"/>
              </w:rPr>
              <w:t>否</w:t>
            </w:r>
            <w:r>
              <w:rPr>
                <w:rFonts w:hint="eastAsia" w:cs="宋体" w:asciiTheme="minorEastAsia" w:hAnsiTheme="minorEastAsia"/>
                <w:color w:val="auto"/>
                <w:kern w:val="0"/>
                <w:sz w:val="20"/>
                <w:szCs w:val="21"/>
              </w:rPr>
              <w:sym w:font="Wingdings 2" w:char="F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pPr>
              <w:widowControl/>
              <w:textAlignment w:val="baseline"/>
              <w:rPr>
                <w:color w:val="auto"/>
                <w:kern w:val="0"/>
                <w:sz w:val="20"/>
                <w:szCs w:val="21"/>
              </w:rPr>
            </w:pPr>
            <w:r>
              <w:rPr>
                <w:color w:val="auto"/>
                <w:kern w:val="0"/>
                <w:sz w:val="20"/>
                <w:szCs w:val="21"/>
              </w:rPr>
              <w:t>验收时是否需供应商提供必要的其他设备</w:t>
            </w:r>
          </w:p>
        </w:tc>
        <w:tc>
          <w:tcPr>
            <w:tcW w:w="2254" w:type="dxa"/>
            <w:vAlign w:val="center"/>
          </w:tcPr>
          <w:p>
            <w:pPr>
              <w:widowControl/>
              <w:textAlignment w:val="baseline"/>
              <w:rPr>
                <w:color w:val="auto"/>
                <w:kern w:val="0"/>
                <w:sz w:val="20"/>
                <w:szCs w:val="21"/>
              </w:rPr>
            </w:pPr>
            <w:r>
              <w:rPr>
                <w:color w:val="auto"/>
                <w:kern w:val="0"/>
                <w:sz w:val="20"/>
                <w:szCs w:val="21"/>
              </w:rPr>
              <w:t>是</w:t>
            </w:r>
            <w:r>
              <w:rPr>
                <w:rFonts w:hint="eastAsia" w:cs="宋体" w:asciiTheme="minorEastAsia" w:hAnsiTheme="minorEastAsia"/>
                <w:color w:val="auto"/>
                <w:kern w:val="0"/>
                <w:sz w:val="20"/>
                <w:szCs w:val="21"/>
              </w:rPr>
              <w:t>□</w:t>
            </w:r>
          </w:p>
        </w:tc>
        <w:tc>
          <w:tcPr>
            <w:tcW w:w="2114" w:type="dxa"/>
            <w:vAlign w:val="center"/>
          </w:tcPr>
          <w:p>
            <w:pPr>
              <w:widowControl/>
              <w:textAlignment w:val="baseline"/>
              <w:rPr>
                <w:color w:val="auto"/>
                <w:kern w:val="0"/>
                <w:sz w:val="20"/>
                <w:szCs w:val="21"/>
              </w:rPr>
            </w:pPr>
            <w:r>
              <w:rPr>
                <w:color w:val="auto"/>
                <w:kern w:val="0"/>
                <w:sz w:val="20"/>
                <w:szCs w:val="21"/>
              </w:rPr>
              <w:t>否</w:t>
            </w:r>
            <w:r>
              <w:rPr>
                <w:rFonts w:hint="eastAsia" w:cs="宋体" w:asciiTheme="minorEastAsia" w:hAnsiTheme="minorEastAsia"/>
                <w:color w:val="auto"/>
                <w:kern w:val="0"/>
                <w:sz w:val="20"/>
                <w:szCs w:val="21"/>
              </w:rPr>
              <w:sym w:font="Wingdings 2" w:char="F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pPr>
              <w:widowControl/>
              <w:textAlignment w:val="baseline"/>
              <w:rPr>
                <w:color w:val="auto"/>
                <w:kern w:val="0"/>
                <w:sz w:val="20"/>
                <w:szCs w:val="21"/>
              </w:rPr>
            </w:pPr>
            <w:r>
              <w:rPr>
                <w:color w:val="auto"/>
                <w:kern w:val="0"/>
                <w:sz w:val="20"/>
                <w:szCs w:val="21"/>
              </w:rPr>
              <w:t>除现场验收外，需提供的其他验收要求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pPr>
              <w:widowControl/>
              <w:spacing w:line="450" w:lineRule="atLeast"/>
              <w:textAlignment w:val="baseline"/>
              <w:rPr>
                <w:color w:val="auto"/>
                <w:kern w:val="0"/>
                <w:sz w:val="20"/>
                <w:szCs w:val="21"/>
              </w:rPr>
            </w:pPr>
            <w:r>
              <w:rPr>
                <w:color w:val="auto"/>
                <w:kern w:val="0"/>
                <w:sz w:val="20"/>
                <w:szCs w:val="21"/>
              </w:rPr>
              <w:t>除现场验收外，是</w:t>
            </w:r>
            <w:r>
              <w:rPr>
                <w:rFonts w:hint="eastAsia" w:cs="宋体" w:asciiTheme="minorEastAsia" w:hAnsiTheme="minorEastAsia"/>
                <w:color w:val="auto"/>
                <w:kern w:val="0"/>
                <w:sz w:val="20"/>
                <w:szCs w:val="21"/>
              </w:rPr>
              <w:sym w:font="Wingdings 2" w:char="00A3"/>
            </w:r>
            <w:r>
              <w:rPr>
                <w:color w:val="auto"/>
                <w:kern w:val="0"/>
                <w:sz w:val="20"/>
                <w:szCs w:val="21"/>
              </w:rPr>
              <w:t>否</w:t>
            </w:r>
            <w:r>
              <w:rPr>
                <w:rFonts w:hint="eastAsia" w:cs="宋体" w:asciiTheme="minorEastAsia" w:hAnsiTheme="minorEastAsia"/>
                <w:color w:val="auto"/>
                <w:kern w:val="0"/>
                <w:sz w:val="20"/>
                <w:szCs w:val="21"/>
              </w:rPr>
              <w:sym w:font="Wingdings 2" w:char="0052"/>
            </w:r>
            <w:r>
              <w:rPr>
                <w:color w:val="auto"/>
                <w:kern w:val="0"/>
                <w:sz w:val="20"/>
                <w:szCs w:val="21"/>
              </w:rPr>
              <w:t>需提供第三方检测报告</w:t>
            </w:r>
          </w:p>
          <w:p>
            <w:pPr>
              <w:widowControl/>
              <w:spacing w:line="450" w:lineRule="atLeast"/>
              <w:textAlignment w:val="baseline"/>
              <w:rPr>
                <w:color w:val="auto"/>
                <w:kern w:val="0"/>
                <w:sz w:val="20"/>
                <w:szCs w:val="21"/>
              </w:rPr>
            </w:pPr>
          </w:p>
        </w:tc>
        <w:tc>
          <w:tcPr>
            <w:tcW w:w="4368" w:type="dxa"/>
            <w:gridSpan w:val="2"/>
            <w:vAlign w:val="center"/>
          </w:tcPr>
          <w:p>
            <w:pPr>
              <w:widowControl/>
              <w:spacing w:line="450" w:lineRule="atLeast"/>
              <w:textAlignment w:val="baseline"/>
              <w:rPr>
                <w:color w:val="auto"/>
                <w:kern w:val="0"/>
                <w:sz w:val="20"/>
                <w:szCs w:val="21"/>
              </w:rPr>
            </w:pPr>
            <w:r>
              <w:rPr>
                <w:color w:val="auto"/>
                <w:kern w:val="0"/>
                <w:sz w:val="20"/>
                <w:szCs w:val="21"/>
              </w:rPr>
              <w:t>对于检测机构的要求：国家正规检测机构，出具的检测报告由验收复核专家认可之后作为验收复核通过的主要依据。</w:t>
            </w:r>
          </w:p>
          <w:p>
            <w:pPr>
              <w:widowControl/>
              <w:spacing w:line="450" w:lineRule="atLeast"/>
              <w:textAlignment w:val="baseline"/>
              <w:rPr>
                <w:color w:val="auto"/>
                <w:kern w:val="0"/>
                <w:sz w:val="20"/>
                <w:szCs w:val="21"/>
              </w:rPr>
            </w:pPr>
            <w:r>
              <w:rPr>
                <w:color w:val="auto"/>
                <w:kern w:val="0"/>
                <w:sz w:val="20"/>
                <w:szCs w:val="21"/>
              </w:rPr>
              <w:t>对于检测执行标准的要求：各项检测项目标准以检测机构按照行业相关要求最新适用并执行的标准为准。</w:t>
            </w:r>
          </w:p>
        </w:tc>
      </w:tr>
    </w:tbl>
    <w:p>
      <w:pPr>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3</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F961F"/>
    <w:multiLevelType w:val="singleLevel"/>
    <w:tmpl w:val="A9CF961F"/>
    <w:lvl w:ilvl="0" w:tentative="0">
      <w:start w:val="1"/>
      <w:numFmt w:val="decimal"/>
      <w:lvlText w:val="(%1)"/>
      <w:lvlJc w:val="left"/>
      <w:pPr>
        <w:ind w:left="425" w:hanging="425"/>
      </w:pPr>
      <w:rPr>
        <w:rFonts w:hint="default"/>
      </w:rPr>
    </w:lvl>
  </w:abstractNum>
  <w:abstractNum w:abstractNumId="1">
    <w:nsid w:val="00000004"/>
    <w:multiLevelType w:val="multilevel"/>
    <w:tmpl w:val="000000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4EA7B38"/>
    <w:multiLevelType w:val="multilevel"/>
    <w:tmpl w:val="14EA7B3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3D86"/>
    <w:rsid w:val="000170BA"/>
    <w:rsid w:val="00017C9A"/>
    <w:rsid w:val="00080C2B"/>
    <w:rsid w:val="00090056"/>
    <w:rsid w:val="000A209A"/>
    <w:rsid w:val="000A6F81"/>
    <w:rsid w:val="000B654E"/>
    <w:rsid w:val="000C588B"/>
    <w:rsid w:val="00105428"/>
    <w:rsid w:val="0012727F"/>
    <w:rsid w:val="00140AF0"/>
    <w:rsid w:val="001507CE"/>
    <w:rsid w:val="00157667"/>
    <w:rsid w:val="001609FC"/>
    <w:rsid w:val="00162A76"/>
    <w:rsid w:val="00176534"/>
    <w:rsid w:val="00176ED4"/>
    <w:rsid w:val="00183209"/>
    <w:rsid w:val="0018461B"/>
    <w:rsid w:val="00192B6A"/>
    <w:rsid w:val="001B03C0"/>
    <w:rsid w:val="001B712C"/>
    <w:rsid w:val="001B7E84"/>
    <w:rsid w:val="001C0880"/>
    <w:rsid w:val="001C41C3"/>
    <w:rsid w:val="001C7C84"/>
    <w:rsid w:val="002204EA"/>
    <w:rsid w:val="00237253"/>
    <w:rsid w:val="00254427"/>
    <w:rsid w:val="00273DFB"/>
    <w:rsid w:val="002815C8"/>
    <w:rsid w:val="002A4902"/>
    <w:rsid w:val="002A6571"/>
    <w:rsid w:val="002B3A1B"/>
    <w:rsid w:val="002C6894"/>
    <w:rsid w:val="002D68DE"/>
    <w:rsid w:val="003027D7"/>
    <w:rsid w:val="00306BFA"/>
    <w:rsid w:val="00310E17"/>
    <w:rsid w:val="003113D4"/>
    <w:rsid w:val="003458D7"/>
    <w:rsid w:val="00345D8D"/>
    <w:rsid w:val="00353EC3"/>
    <w:rsid w:val="0036352F"/>
    <w:rsid w:val="003649AF"/>
    <w:rsid w:val="003657F1"/>
    <w:rsid w:val="003B0746"/>
    <w:rsid w:val="003B1B61"/>
    <w:rsid w:val="003B4AB9"/>
    <w:rsid w:val="003D06DB"/>
    <w:rsid w:val="003E4113"/>
    <w:rsid w:val="003E4FDA"/>
    <w:rsid w:val="004217EB"/>
    <w:rsid w:val="00426CB3"/>
    <w:rsid w:val="00453832"/>
    <w:rsid w:val="004951D7"/>
    <w:rsid w:val="004A3F40"/>
    <w:rsid w:val="004A43F0"/>
    <w:rsid w:val="004B3DFE"/>
    <w:rsid w:val="004B79DC"/>
    <w:rsid w:val="004C179C"/>
    <w:rsid w:val="004E36C2"/>
    <w:rsid w:val="004E4B14"/>
    <w:rsid w:val="00501176"/>
    <w:rsid w:val="0051081D"/>
    <w:rsid w:val="00510891"/>
    <w:rsid w:val="0052535A"/>
    <w:rsid w:val="0053111A"/>
    <w:rsid w:val="00543607"/>
    <w:rsid w:val="0056217E"/>
    <w:rsid w:val="00562C62"/>
    <w:rsid w:val="005633CE"/>
    <w:rsid w:val="00571ADE"/>
    <w:rsid w:val="005853E9"/>
    <w:rsid w:val="0059304A"/>
    <w:rsid w:val="005951EF"/>
    <w:rsid w:val="005B62C9"/>
    <w:rsid w:val="005C3DA0"/>
    <w:rsid w:val="005C47EF"/>
    <w:rsid w:val="005E66C3"/>
    <w:rsid w:val="005E6A0A"/>
    <w:rsid w:val="005F1571"/>
    <w:rsid w:val="005F401F"/>
    <w:rsid w:val="00611202"/>
    <w:rsid w:val="0061566C"/>
    <w:rsid w:val="006237BE"/>
    <w:rsid w:val="00636F27"/>
    <w:rsid w:val="00640733"/>
    <w:rsid w:val="00643E5E"/>
    <w:rsid w:val="00661117"/>
    <w:rsid w:val="00677607"/>
    <w:rsid w:val="006878E9"/>
    <w:rsid w:val="006C2918"/>
    <w:rsid w:val="006C782C"/>
    <w:rsid w:val="006D095D"/>
    <w:rsid w:val="00703AC6"/>
    <w:rsid w:val="00710AA5"/>
    <w:rsid w:val="00715B3F"/>
    <w:rsid w:val="0072224A"/>
    <w:rsid w:val="00750E3B"/>
    <w:rsid w:val="007554BB"/>
    <w:rsid w:val="0076501A"/>
    <w:rsid w:val="007839AE"/>
    <w:rsid w:val="00785146"/>
    <w:rsid w:val="00795C0B"/>
    <w:rsid w:val="007A1D63"/>
    <w:rsid w:val="007A5DE1"/>
    <w:rsid w:val="007B63C3"/>
    <w:rsid w:val="007F4BD9"/>
    <w:rsid w:val="00800E12"/>
    <w:rsid w:val="00801053"/>
    <w:rsid w:val="0080610F"/>
    <w:rsid w:val="008153D5"/>
    <w:rsid w:val="00823CA9"/>
    <w:rsid w:val="008403A0"/>
    <w:rsid w:val="0084652E"/>
    <w:rsid w:val="0085555C"/>
    <w:rsid w:val="00860346"/>
    <w:rsid w:val="00870113"/>
    <w:rsid w:val="00873F09"/>
    <w:rsid w:val="00875D35"/>
    <w:rsid w:val="0089621F"/>
    <w:rsid w:val="008A02D6"/>
    <w:rsid w:val="008B15F7"/>
    <w:rsid w:val="008C0BE7"/>
    <w:rsid w:val="008D094B"/>
    <w:rsid w:val="008F2ED3"/>
    <w:rsid w:val="00902581"/>
    <w:rsid w:val="00912013"/>
    <w:rsid w:val="00925E61"/>
    <w:rsid w:val="00946EF5"/>
    <w:rsid w:val="009608EB"/>
    <w:rsid w:val="0099177F"/>
    <w:rsid w:val="00995789"/>
    <w:rsid w:val="009B2EF0"/>
    <w:rsid w:val="009D3518"/>
    <w:rsid w:val="009F6CAB"/>
    <w:rsid w:val="009F741F"/>
    <w:rsid w:val="009F7A2C"/>
    <w:rsid w:val="00A047F0"/>
    <w:rsid w:val="00A161FC"/>
    <w:rsid w:val="00A61746"/>
    <w:rsid w:val="00A73F60"/>
    <w:rsid w:val="00A765E9"/>
    <w:rsid w:val="00A865ED"/>
    <w:rsid w:val="00A901C0"/>
    <w:rsid w:val="00AB48E9"/>
    <w:rsid w:val="00AC005D"/>
    <w:rsid w:val="00AC6F95"/>
    <w:rsid w:val="00AD0209"/>
    <w:rsid w:val="00AD5325"/>
    <w:rsid w:val="00AE1AFA"/>
    <w:rsid w:val="00AE67A6"/>
    <w:rsid w:val="00AF7468"/>
    <w:rsid w:val="00B015CE"/>
    <w:rsid w:val="00B151BE"/>
    <w:rsid w:val="00B43698"/>
    <w:rsid w:val="00B4481B"/>
    <w:rsid w:val="00B47D50"/>
    <w:rsid w:val="00B55BAD"/>
    <w:rsid w:val="00B72BD6"/>
    <w:rsid w:val="00B91989"/>
    <w:rsid w:val="00B94A57"/>
    <w:rsid w:val="00BA26F5"/>
    <w:rsid w:val="00BA359E"/>
    <w:rsid w:val="00BB2053"/>
    <w:rsid w:val="00BB469B"/>
    <w:rsid w:val="00BB7A38"/>
    <w:rsid w:val="00BC3D86"/>
    <w:rsid w:val="00BC7870"/>
    <w:rsid w:val="00BD0727"/>
    <w:rsid w:val="00BE12E8"/>
    <w:rsid w:val="00BE5444"/>
    <w:rsid w:val="00C1098B"/>
    <w:rsid w:val="00C13578"/>
    <w:rsid w:val="00C15054"/>
    <w:rsid w:val="00C34528"/>
    <w:rsid w:val="00C36A51"/>
    <w:rsid w:val="00C5032C"/>
    <w:rsid w:val="00C63818"/>
    <w:rsid w:val="00C76267"/>
    <w:rsid w:val="00C82348"/>
    <w:rsid w:val="00CD153F"/>
    <w:rsid w:val="00CD2230"/>
    <w:rsid w:val="00CD50E0"/>
    <w:rsid w:val="00D04B4C"/>
    <w:rsid w:val="00D324D9"/>
    <w:rsid w:val="00D41788"/>
    <w:rsid w:val="00D45ED1"/>
    <w:rsid w:val="00D56E82"/>
    <w:rsid w:val="00D94396"/>
    <w:rsid w:val="00D94542"/>
    <w:rsid w:val="00D97FEA"/>
    <w:rsid w:val="00DB6ED1"/>
    <w:rsid w:val="00DC1928"/>
    <w:rsid w:val="00DF1EA0"/>
    <w:rsid w:val="00DF5062"/>
    <w:rsid w:val="00E02FC1"/>
    <w:rsid w:val="00E0581E"/>
    <w:rsid w:val="00E1130A"/>
    <w:rsid w:val="00E22081"/>
    <w:rsid w:val="00E23A64"/>
    <w:rsid w:val="00E413A2"/>
    <w:rsid w:val="00E4264C"/>
    <w:rsid w:val="00E621BB"/>
    <w:rsid w:val="00E73399"/>
    <w:rsid w:val="00E74CB1"/>
    <w:rsid w:val="00E7573D"/>
    <w:rsid w:val="00E77A53"/>
    <w:rsid w:val="00E821CF"/>
    <w:rsid w:val="00E85682"/>
    <w:rsid w:val="00E85911"/>
    <w:rsid w:val="00E931F1"/>
    <w:rsid w:val="00E976C2"/>
    <w:rsid w:val="00F072C1"/>
    <w:rsid w:val="00F07693"/>
    <w:rsid w:val="00F10369"/>
    <w:rsid w:val="00F17DEA"/>
    <w:rsid w:val="00F35137"/>
    <w:rsid w:val="00F43286"/>
    <w:rsid w:val="00F57DCD"/>
    <w:rsid w:val="00F631F1"/>
    <w:rsid w:val="00F9789E"/>
    <w:rsid w:val="00FB00E1"/>
    <w:rsid w:val="00FC1111"/>
    <w:rsid w:val="00FC3BB8"/>
    <w:rsid w:val="00FE1B41"/>
    <w:rsid w:val="00FF21F2"/>
    <w:rsid w:val="00FF339E"/>
    <w:rsid w:val="00FF47AD"/>
    <w:rsid w:val="00FF698C"/>
    <w:rsid w:val="076F5347"/>
    <w:rsid w:val="0B136931"/>
    <w:rsid w:val="0DEC6564"/>
    <w:rsid w:val="121D1E44"/>
    <w:rsid w:val="13C25122"/>
    <w:rsid w:val="16307EC6"/>
    <w:rsid w:val="1B612DA1"/>
    <w:rsid w:val="1BB14B0E"/>
    <w:rsid w:val="1BC72B84"/>
    <w:rsid w:val="1C593FA8"/>
    <w:rsid w:val="1D295B40"/>
    <w:rsid w:val="20005694"/>
    <w:rsid w:val="23203542"/>
    <w:rsid w:val="235C2297"/>
    <w:rsid w:val="23832E99"/>
    <w:rsid w:val="28405D26"/>
    <w:rsid w:val="2A73664D"/>
    <w:rsid w:val="2ADC41F2"/>
    <w:rsid w:val="2C372A17"/>
    <w:rsid w:val="2CCD6CB4"/>
    <w:rsid w:val="2E876B6B"/>
    <w:rsid w:val="313528AE"/>
    <w:rsid w:val="38020AB7"/>
    <w:rsid w:val="3B3F6D33"/>
    <w:rsid w:val="3DDB76EA"/>
    <w:rsid w:val="42F6139F"/>
    <w:rsid w:val="44C61D43"/>
    <w:rsid w:val="457479F1"/>
    <w:rsid w:val="46991BF9"/>
    <w:rsid w:val="48403BBB"/>
    <w:rsid w:val="4FAF6015"/>
    <w:rsid w:val="511A58F1"/>
    <w:rsid w:val="513A3416"/>
    <w:rsid w:val="52F97788"/>
    <w:rsid w:val="53CA71D0"/>
    <w:rsid w:val="55042C7C"/>
    <w:rsid w:val="55D1679A"/>
    <w:rsid w:val="56C105BC"/>
    <w:rsid w:val="5A6C6A91"/>
    <w:rsid w:val="5AC01C3D"/>
    <w:rsid w:val="5ED04141"/>
    <w:rsid w:val="602848F6"/>
    <w:rsid w:val="60E303C2"/>
    <w:rsid w:val="63D80CF3"/>
    <w:rsid w:val="679B5FEB"/>
    <w:rsid w:val="69C45E93"/>
    <w:rsid w:val="6CF92406"/>
    <w:rsid w:val="6ED85841"/>
    <w:rsid w:val="6F905594"/>
    <w:rsid w:val="70B90980"/>
    <w:rsid w:val="73401623"/>
    <w:rsid w:val="77047750"/>
    <w:rsid w:val="786848E4"/>
    <w:rsid w:val="78E66C01"/>
    <w:rsid w:val="7BA9149B"/>
    <w:rsid w:val="7DB33A33"/>
    <w:rsid w:val="7ECE5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2"/>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2"/>
    <w:qFormat/>
    <w:uiPriority w:val="0"/>
    <w:rPr>
      <w:rFonts w:ascii="宋体" w:hAnsi="Courier New" w:cstheme="minorBidi"/>
      <w:szCs w:val="22"/>
    </w:rPr>
  </w:style>
  <w:style w:type="paragraph" w:styleId="4">
    <w:name w:val="Balloon Text"/>
    <w:basedOn w:val="1"/>
    <w:link w:val="20"/>
    <w:semiHidden/>
    <w:unhideWhenUsed/>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Title"/>
    <w:basedOn w:val="1"/>
    <w:link w:val="14"/>
    <w:qFormat/>
    <w:uiPriority w:val="0"/>
    <w:pPr>
      <w:spacing w:before="240" w:after="60"/>
      <w:jc w:val="center"/>
      <w:outlineLvl w:val="0"/>
    </w:pPr>
    <w:rPr>
      <w:rFonts w:ascii="Arial" w:hAnsi="Arial" w:cs="Arial"/>
      <w:b/>
      <w:bCs/>
      <w:sz w:val="32"/>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纯文本 字符"/>
    <w:link w:val="3"/>
    <w:qFormat/>
    <w:uiPriority w:val="0"/>
    <w:rPr>
      <w:rFonts w:ascii="宋体" w:hAnsi="Courier New" w:eastAsia="宋体"/>
    </w:rPr>
  </w:style>
  <w:style w:type="character" w:customStyle="1" w:styleId="13">
    <w:name w:val="页脚 字符"/>
    <w:link w:val="5"/>
    <w:qFormat/>
    <w:uiPriority w:val="0"/>
    <w:rPr>
      <w:sz w:val="18"/>
    </w:rPr>
  </w:style>
  <w:style w:type="character" w:customStyle="1" w:styleId="14">
    <w:name w:val="标题 字符"/>
    <w:link w:val="8"/>
    <w:qFormat/>
    <w:uiPriority w:val="0"/>
    <w:rPr>
      <w:rFonts w:ascii="Arial" w:hAnsi="Arial" w:eastAsia="宋体" w:cs="Arial"/>
      <w:b/>
      <w:bCs/>
      <w:sz w:val="32"/>
      <w:szCs w:val="32"/>
    </w:rPr>
  </w:style>
  <w:style w:type="character" w:customStyle="1" w:styleId="15">
    <w:name w:val="页脚 Char"/>
    <w:basedOn w:val="11"/>
    <w:semiHidden/>
    <w:qFormat/>
    <w:uiPriority w:val="99"/>
    <w:rPr>
      <w:rFonts w:ascii="Times New Roman" w:hAnsi="Times New Roman" w:eastAsia="宋体" w:cs="Times New Roman"/>
      <w:sz w:val="18"/>
      <w:szCs w:val="18"/>
    </w:rPr>
  </w:style>
  <w:style w:type="character" w:customStyle="1" w:styleId="16">
    <w:name w:val="标题 Char"/>
    <w:basedOn w:val="11"/>
    <w:qFormat/>
    <w:uiPriority w:val="10"/>
    <w:rPr>
      <w:rFonts w:eastAsia="宋体" w:asciiTheme="majorHAnsi" w:hAnsiTheme="majorHAnsi" w:cstheme="majorBidi"/>
      <w:b/>
      <w:bCs/>
      <w:sz w:val="32"/>
      <w:szCs w:val="32"/>
    </w:rPr>
  </w:style>
  <w:style w:type="character" w:customStyle="1" w:styleId="17">
    <w:name w:val="纯文本 Char"/>
    <w:basedOn w:val="11"/>
    <w:semiHidden/>
    <w:qFormat/>
    <w:uiPriority w:val="99"/>
    <w:rPr>
      <w:rFonts w:ascii="宋体" w:hAnsi="Courier New" w:eastAsia="宋体" w:cs="Courier New"/>
      <w:szCs w:val="21"/>
    </w:rPr>
  </w:style>
  <w:style w:type="character" w:customStyle="1" w:styleId="18">
    <w:name w:val="页眉 字符"/>
    <w:basedOn w:val="11"/>
    <w:link w:val="6"/>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批注框文本 字符"/>
    <w:basedOn w:val="11"/>
    <w:link w:val="4"/>
    <w:semiHidden/>
    <w:qFormat/>
    <w:uiPriority w:val="99"/>
    <w:rPr>
      <w:rFonts w:ascii="Times New Roman" w:hAnsi="Times New Roman" w:eastAsia="宋体" w:cs="Times New Roman"/>
      <w:sz w:val="18"/>
      <w:szCs w:val="18"/>
    </w:rPr>
  </w:style>
  <w:style w:type="paragraph" w:customStyle="1" w:styleId="21">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2">
    <w:name w:val="标题 3 字符"/>
    <w:basedOn w:val="11"/>
    <w:link w:val="2"/>
    <w:qFormat/>
    <w:uiPriority w:val="9"/>
    <w:rPr>
      <w:rFonts w:ascii="宋体" w:hAnsi="宋体" w:eastAsia="宋体" w:cs="宋体"/>
      <w:b/>
      <w:bCs/>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363</Words>
  <Characters>2075</Characters>
  <Lines>17</Lines>
  <Paragraphs>4</Paragraphs>
  <TotalTime>201</TotalTime>
  <ScaleCrop>false</ScaleCrop>
  <LinksUpToDate>false</LinksUpToDate>
  <CharactersWithSpaces>2434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2025-04-17T07:18:00Z</dcterms:created>
  <dc:creator>User</dc:creator>
  <cp:lastModifiedBy>Lenovo</cp:lastModifiedBy>
  <dcterms:modified xsi:type="dcterms:W3CDTF">2025-10-14T07:08:24Z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FD47254428C546C79753499200788EBF</vt:lpwstr>
  </property>
  <property fmtid="{D5CDD505-2E9C-101B-9397-08002B2CF9AE}" pid="4" name="KSOTemplateDocerSaveRecord">
    <vt:lpwstr>eyJoZGlkIjoiYWJmNTAxYTA0NTllZTU0OWY5NWY0MWNlMzBjNGU2OTYiLCJ1c2VySWQiOiIyODYyOTE4MjQifQ==</vt:lpwstr>
  </property>
</Properties>
</file>