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4FF20">
      <w:pPr>
        <w:pStyle w:val="9"/>
        <w:adjustRightInd w:val="0"/>
        <w:snapToGrid w:val="0"/>
        <w:spacing w:before="0" w:after="0" w:line="360" w:lineRule="auto"/>
        <w:outlineLvl w:val="9"/>
        <w:rPr>
          <w:rFonts w:ascii="方正小标宋简体" w:hAnsi="宋体" w:eastAsia="方正小标宋简体"/>
          <w:b w:val="0"/>
          <w:bCs w:val="0"/>
          <w:sz w:val="36"/>
        </w:rPr>
      </w:pPr>
      <w:bookmarkStart w:id="0" w:name="_Toc38367762"/>
      <w:r>
        <w:rPr>
          <w:rFonts w:hint="eastAsia" w:ascii="方正小标宋简体" w:hAnsi="宋体" w:eastAsia="方正小标宋简体"/>
          <w:b w:val="0"/>
          <w:bCs w:val="0"/>
          <w:sz w:val="36"/>
        </w:rPr>
        <w:t>【</w:t>
      </w:r>
      <w:bookmarkStart w:id="1" w:name="OLE_LINK1"/>
      <w:r>
        <w:rPr>
          <w:rFonts w:hint="eastAsia" w:ascii="方正小标宋简体" w:hAnsi="宋体" w:eastAsia="方正小标宋简体"/>
          <w:b w:val="0"/>
          <w:bCs w:val="0"/>
          <w:sz w:val="36"/>
        </w:rPr>
        <w:t>横山、米脂、子洲三区（县）采煤沉陷区煤层火烧区隐患风险核查技术服务</w:t>
      </w:r>
      <w:bookmarkEnd w:id="1"/>
      <w:r>
        <w:rPr>
          <w:rFonts w:hint="eastAsia" w:ascii="方正小标宋简体" w:hAnsi="宋体" w:eastAsia="方正小标宋简体"/>
          <w:b w:val="0"/>
          <w:bCs w:val="0"/>
          <w:sz w:val="36"/>
        </w:rPr>
        <w:t>】采购需求</w:t>
      </w:r>
      <w:bookmarkEnd w:id="0"/>
    </w:p>
    <w:p w14:paraId="77C2D7A7">
      <w:pPr>
        <w:tabs>
          <w:tab w:val="left" w:pos="900"/>
        </w:tabs>
        <w:adjustRightInd w:val="0"/>
        <w:snapToGrid w:val="0"/>
        <w:spacing w:line="360" w:lineRule="auto"/>
        <w:ind w:firstLine="422" w:firstLineChars="200"/>
        <w:rPr>
          <w:b/>
          <w:szCs w:val="21"/>
        </w:rPr>
      </w:pPr>
      <w:bookmarkStart w:id="2" w:name="_Toc219271393"/>
      <w:bookmarkStart w:id="3" w:name="_Toc158978330"/>
      <w:bookmarkStart w:id="4" w:name="_Toc172360661"/>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08D81523">
      <w:pPr>
        <w:tabs>
          <w:tab w:val="left" w:pos="900"/>
        </w:tabs>
        <w:adjustRightInd w:val="0"/>
        <w:snapToGrid w:val="0"/>
        <w:spacing w:line="360" w:lineRule="auto"/>
        <w:ind w:firstLine="422" w:firstLineChars="200"/>
        <w:rPr>
          <w:b/>
          <w:szCs w:val="21"/>
        </w:rPr>
      </w:pPr>
      <w:r>
        <w:rPr>
          <w:rFonts w:hAnsi="宋体"/>
          <w:b/>
          <w:szCs w:val="21"/>
        </w:rPr>
        <w:t>（一）采购</w:t>
      </w:r>
      <w:r>
        <w:rPr>
          <w:rFonts w:hint="eastAsia" w:hAnsi="宋体"/>
          <w:b/>
          <w:szCs w:val="21"/>
        </w:rPr>
        <w:t>标的</w:t>
      </w:r>
      <w:r>
        <w:rPr>
          <w:rFonts w:hAnsi="宋体"/>
          <w:b/>
          <w:szCs w:val="21"/>
        </w:rPr>
        <w:t>需实现的功能或者目标</w:t>
      </w:r>
    </w:p>
    <w:p w14:paraId="57FF3F9C">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本项目采购横山、米脂、子洲三区（县）采煤沉陷区煤层火烧区隐患风险核查技术服务，1套，用于榆林市采煤沉陷区煤层火烧区隐患风险大核查在横山、米脂、子洲三区（县）范围内的现场调查、信息采集和数据分析，确保核查工作严格遵循相关标准规范，具备高度的规范性、完整性和准确性，全面摸清</w:t>
      </w:r>
      <w:bookmarkStart w:id="5" w:name="OLE_LINK6"/>
      <w:r>
        <w:rPr>
          <w:rFonts w:hint="eastAsia" w:ascii="Times New Roman" w:hAnsi="Times New Roman" w:eastAsia="宋体" w:cs="Times New Roman"/>
          <w:szCs w:val="21"/>
          <w:lang w:eastAsia="zh-CN"/>
        </w:rPr>
        <w:t>横山、米脂、子洲三区（县）</w:t>
      </w:r>
      <w:bookmarkEnd w:id="5"/>
      <w:r>
        <w:rPr>
          <w:rFonts w:hint="eastAsia" w:ascii="Times New Roman" w:hAnsi="Times New Roman" w:eastAsia="宋体" w:cs="Times New Roman"/>
          <w:szCs w:val="21"/>
          <w:lang w:eastAsia="zh-CN"/>
        </w:rPr>
        <w:t>采煤沉陷区（含悬顶区）、煤层火烧区分布现状、隐患等级及风险范围，为区域地质灾害防控、生态修复及安全生产监管提供科学、可靠的技术支撑。</w:t>
      </w:r>
    </w:p>
    <w:p w14:paraId="7E45FA3A">
      <w:pPr>
        <w:tabs>
          <w:tab w:val="left" w:pos="900"/>
        </w:tabs>
        <w:adjustRightInd w:val="0"/>
        <w:snapToGrid w:val="0"/>
        <w:spacing w:line="360" w:lineRule="auto"/>
        <w:ind w:firstLine="422" w:firstLineChars="200"/>
        <w:rPr>
          <w:b/>
          <w:szCs w:val="21"/>
        </w:rPr>
      </w:pPr>
      <w:r>
        <w:rPr>
          <w:rFonts w:hAnsi="宋体"/>
          <w:b/>
          <w:szCs w:val="21"/>
        </w:rPr>
        <w:t>（二）政府采购政策</w:t>
      </w:r>
      <w:r>
        <w:rPr>
          <w:rFonts w:hint="eastAsia" w:hAnsi="宋体"/>
          <w:b/>
          <w:szCs w:val="21"/>
        </w:rPr>
        <w:t>落实</w:t>
      </w:r>
      <w:r>
        <w:rPr>
          <w:rFonts w:hAnsi="宋体"/>
          <w:b/>
          <w:szCs w:val="21"/>
        </w:rPr>
        <w:t>要求</w:t>
      </w:r>
    </w:p>
    <w:p w14:paraId="5D9D7DE0">
      <w:pPr>
        <w:tabs>
          <w:tab w:val="left" w:pos="900"/>
        </w:tabs>
        <w:adjustRightInd w:val="0"/>
        <w:snapToGrid w:val="0"/>
        <w:spacing w:line="360" w:lineRule="auto"/>
        <w:ind w:firstLine="420" w:firstLineChars="200"/>
        <w:rPr>
          <w:rFonts w:hAnsi="宋体"/>
          <w:szCs w:val="21"/>
        </w:rPr>
      </w:pPr>
      <w:r>
        <w:rPr>
          <w:rFonts w:hint="eastAsia" w:hAnsi="宋体"/>
          <w:szCs w:val="24"/>
        </w:rPr>
        <w:t>1</w:t>
      </w:r>
      <w:r>
        <w:rPr>
          <w:rFonts w:hAnsi="宋体"/>
          <w:szCs w:val="24"/>
        </w:rPr>
        <w:t xml:space="preserve">. </w:t>
      </w:r>
      <w:r>
        <w:rPr>
          <w:rFonts w:hint="eastAsia" w:hAnsi="宋体"/>
          <w:szCs w:val="24"/>
        </w:rPr>
        <w:t>中小企业扶持政策：</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10E82A49">
      <w:pPr>
        <w:tabs>
          <w:tab w:val="left" w:pos="900"/>
        </w:tabs>
        <w:adjustRightInd w:val="0"/>
        <w:snapToGrid w:val="0"/>
        <w:spacing w:line="360" w:lineRule="auto"/>
        <w:ind w:firstLine="420" w:firstLineChars="200"/>
        <w:rPr>
          <w:rFonts w:hAnsi="宋体"/>
          <w:szCs w:val="24"/>
        </w:rPr>
      </w:pPr>
      <w:r>
        <w:rPr>
          <w:rFonts w:hint="eastAsia" w:hAnsi="宋体"/>
          <w:szCs w:val="24"/>
        </w:rPr>
        <w:t>本项目</w:t>
      </w:r>
      <w:bookmarkStart w:id="6" w:name="OLE_LINK23"/>
      <w:r>
        <w:rPr>
          <w:rFonts w:hint="eastAsia" w:hAnsi="宋体"/>
          <w:szCs w:val="24"/>
        </w:rPr>
        <w:t>采购标的对应的《中小企业划型标准规定》所属行业</w:t>
      </w:r>
      <w:bookmarkEnd w:id="6"/>
      <w:r>
        <w:rPr>
          <w:rFonts w:hint="eastAsia" w:hAnsi="宋体"/>
          <w:szCs w:val="24"/>
        </w:rPr>
        <w:t>为：</w:t>
      </w:r>
      <w:r>
        <w:rPr>
          <w:rFonts w:hint="eastAsia" w:hAnsi="宋体"/>
          <w:szCs w:val="24"/>
          <w:u w:val="single"/>
        </w:rPr>
        <w:t>其他未列明行业（地质灾害调查、评估技术服务）</w:t>
      </w:r>
      <w:r>
        <w:rPr>
          <w:rFonts w:hint="eastAsia" w:hAnsi="宋体"/>
          <w:szCs w:val="24"/>
        </w:rPr>
        <w:t>。</w:t>
      </w:r>
    </w:p>
    <w:p w14:paraId="34515769">
      <w:pPr>
        <w:tabs>
          <w:tab w:val="left" w:pos="900"/>
        </w:tabs>
        <w:adjustRightInd w:val="0"/>
        <w:snapToGrid w:val="0"/>
        <w:spacing w:line="360" w:lineRule="auto"/>
        <w:ind w:firstLine="420" w:firstLineChars="200"/>
        <w:rPr>
          <w:rFonts w:hAnsi="宋体"/>
          <w:szCs w:val="24"/>
        </w:rPr>
      </w:pPr>
      <w:r>
        <w:rPr>
          <w:rFonts w:hAnsi="宋体"/>
          <w:szCs w:val="24"/>
        </w:rPr>
        <w:t xml:space="preserve">2. </w:t>
      </w:r>
      <w:r>
        <w:rPr>
          <w:rFonts w:hint="eastAsia" w:hAnsi="宋体"/>
          <w:szCs w:val="24"/>
        </w:rPr>
        <w:t>进口产品政策：本采购项目</w:t>
      </w:r>
      <w:r>
        <w:rPr>
          <w:rFonts w:hAnsi="宋体"/>
          <w:szCs w:val="24"/>
        </w:rPr>
        <w:t xml:space="preserve"> </w:t>
      </w:r>
      <w:r>
        <w:rPr>
          <w:rFonts w:hint="eastAsia" w:hAnsi="宋体"/>
          <w:szCs w:val="24"/>
        </w:rPr>
        <w:t>□允许</w:t>
      </w:r>
      <w:r>
        <w:rPr>
          <w:rFonts w:hAnsi="宋体"/>
          <w:szCs w:val="24"/>
        </w:rPr>
        <w:t xml:space="preserve"> </w:t>
      </w:r>
      <w:r>
        <w:rPr>
          <w:rFonts w:hint="eastAsia" w:hAnsi="宋体"/>
          <w:szCs w:val="24"/>
        </w:rPr>
        <w:t>□不允许</w:t>
      </w:r>
      <w:r>
        <w:rPr>
          <w:rFonts w:hAnsi="宋体"/>
          <w:szCs w:val="24"/>
        </w:rPr>
        <w:t xml:space="preserve"> </w:t>
      </w:r>
      <w:r>
        <w:rPr>
          <w:rFonts w:hint="eastAsia" w:hAnsi="宋体"/>
          <w:szCs w:val="24"/>
        </w:rPr>
        <w:t>进口产品参加。（未进行勾选的，视为只接受本国产品参加）</w:t>
      </w:r>
    </w:p>
    <w:p w14:paraId="3A979E91">
      <w:pPr>
        <w:tabs>
          <w:tab w:val="left" w:pos="900"/>
        </w:tabs>
        <w:adjustRightInd w:val="0"/>
        <w:snapToGrid w:val="0"/>
        <w:spacing w:line="360" w:lineRule="auto"/>
        <w:ind w:firstLine="422" w:firstLineChars="200"/>
        <w:rPr>
          <w:rFonts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65AAFC29">
      <w:pPr>
        <w:tabs>
          <w:tab w:val="left" w:pos="900"/>
        </w:tabs>
        <w:adjustRightInd w:val="0"/>
        <w:snapToGrid w:val="0"/>
        <w:spacing w:line="360" w:lineRule="auto"/>
        <w:ind w:firstLine="420" w:firstLineChars="200"/>
        <w:rPr>
          <w:rFonts w:hint="eastAsia" w:eastAsia="宋体"/>
          <w:szCs w:val="21"/>
          <w:lang w:eastAsia="zh-CN"/>
        </w:rPr>
      </w:pP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具体执行标准如下</w:t>
      </w:r>
      <w:r>
        <w:rPr>
          <w:rFonts w:hint="eastAsia"/>
          <w:szCs w:val="21"/>
          <w:lang w:eastAsia="zh-CN"/>
        </w:rPr>
        <w:t>：</w:t>
      </w:r>
    </w:p>
    <w:p w14:paraId="54894C29">
      <w:pPr>
        <w:numPr>
          <w:ilvl w:val="0"/>
          <w:numId w:val="1"/>
        </w:num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《采煤沉陷区地质环境调查技术规范》（GB/T 46548-2025）</w:t>
      </w:r>
    </w:p>
    <w:p w14:paraId="4FE98A39">
      <w:pPr>
        <w:numPr>
          <w:ilvl w:val="0"/>
          <w:numId w:val="1"/>
        </w:numPr>
        <w:tabs>
          <w:tab w:val="left" w:pos="900"/>
        </w:tabs>
        <w:adjustRightInd w:val="0"/>
        <w:snapToGrid w:val="0"/>
        <w:spacing w:line="360" w:lineRule="auto"/>
        <w:ind w:left="0" w:leftChars="0"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《煤矿老空区普查技术规范》（NB/T 10528-2021）</w:t>
      </w:r>
    </w:p>
    <w:p w14:paraId="20A5FE19">
      <w:pPr>
        <w:numPr>
          <w:ilvl w:val="0"/>
          <w:numId w:val="1"/>
        </w:numPr>
        <w:tabs>
          <w:tab w:val="left" w:pos="900"/>
        </w:tabs>
        <w:adjustRightInd w:val="0"/>
        <w:snapToGrid w:val="0"/>
        <w:spacing w:line="360" w:lineRule="auto"/>
        <w:ind w:left="0" w:leftChars="0"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《地质灾害风险调查评价规范（1∶50000）》（DZ/T 0438-2023）</w:t>
      </w:r>
    </w:p>
    <w:p w14:paraId="1BCDB9ED">
      <w:pPr>
        <w:numPr>
          <w:ilvl w:val="0"/>
          <w:numId w:val="1"/>
        </w:numPr>
        <w:tabs>
          <w:tab w:val="left" w:pos="900"/>
        </w:tabs>
        <w:adjustRightInd w:val="0"/>
        <w:snapToGrid w:val="0"/>
        <w:spacing w:line="360" w:lineRule="auto"/>
        <w:ind w:left="0" w:leftChars="0"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《岩土工程勘察规范》（GB 50021-2001 (2009 版)）</w:t>
      </w:r>
    </w:p>
    <w:p w14:paraId="3136C0A6">
      <w:pPr>
        <w:numPr>
          <w:ilvl w:val="0"/>
          <w:numId w:val="1"/>
        </w:numPr>
        <w:tabs>
          <w:tab w:val="left" w:pos="900"/>
        </w:tabs>
        <w:adjustRightInd w:val="0"/>
        <w:snapToGrid w:val="0"/>
        <w:spacing w:line="360" w:lineRule="auto"/>
        <w:ind w:left="0" w:leftChars="0"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《煤矿采空区岩土工程勘查规范》（GB51044-2014（2017年版））</w:t>
      </w:r>
    </w:p>
    <w:p w14:paraId="254D3512">
      <w:pPr>
        <w:numPr>
          <w:ilvl w:val="0"/>
          <w:numId w:val="1"/>
        </w:numPr>
        <w:tabs>
          <w:tab w:val="left" w:pos="900"/>
        </w:tabs>
        <w:adjustRightInd w:val="0"/>
        <w:snapToGrid w:val="0"/>
        <w:spacing w:line="360" w:lineRule="auto"/>
        <w:ind w:left="0" w:leftChars="0"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《采煤塌陷区水资源环境调查与评价方法》（GB/T 37574-2019）</w:t>
      </w:r>
    </w:p>
    <w:p w14:paraId="655A7563">
      <w:pPr>
        <w:numPr>
          <w:ilvl w:val="0"/>
          <w:numId w:val="1"/>
        </w:numPr>
        <w:tabs>
          <w:tab w:val="left" w:pos="900"/>
        </w:tabs>
        <w:adjustRightInd w:val="0"/>
        <w:snapToGrid w:val="0"/>
        <w:spacing w:line="360" w:lineRule="auto"/>
        <w:ind w:left="0" w:leftChars="0"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《煤矿专门水文地质勘查规范》（GB/T 40130-2021）</w:t>
      </w:r>
    </w:p>
    <w:p w14:paraId="5320D4F2">
      <w:pPr>
        <w:keepNext w:val="0"/>
        <w:keepLines w:val="0"/>
        <w:pageBreakBefore w:val="0"/>
        <w:widowControl w:val="0"/>
        <w:numPr>
          <w:ilvl w:val="0"/>
          <w:numId w:val="1"/>
        </w:numPr>
        <w:tabs>
          <w:tab w:val="left" w:pos="90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《矿山地质环境调查评价规范》（DD 2014-05）</w:t>
      </w:r>
    </w:p>
    <w:p w14:paraId="20C67017">
      <w:pPr>
        <w:keepNext w:val="0"/>
        <w:keepLines w:val="0"/>
        <w:pageBreakBefore w:val="0"/>
        <w:widowControl w:val="0"/>
        <w:numPr>
          <w:ilvl w:val="0"/>
          <w:numId w:val="1"/>
        </w:numPr>
        <w:tabs>
          <w:tab w:val="left" w:pos="90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《矿山地质环境保护与恢复治理方案编制规范》（DZ/T 0223-2011）</w:t>
      </w:r>
    </w:p>
    <w:p w14:paraId="3654B30B">
      <w:pPr>
        <w:keepNext w:val="0"/>
        <w:keepLines w:val="0"/>
        <w:pageBreakBefore w:val="0"/>
        <w:widowControl w:val="0"/>
        <w:numPr>
          <w:ilvl w:val="0"/>
          <w:numId w:val="1"/>
        </w:numPr>
        <w:tabs>
          <w:tab w:val="left" w:pos="90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《采煤沉陷区卫星遥感动态监测技术规程》（GB/T 45979-2025）</w:t>
      </w:r>
    </w:p>
    <w:p w14:paraId="14475641">
      <w:pPr>
        <w:keepNext w:val="0"/>
        <w:keepLines w:val="0"/>
        <w:pageBreakBefore w:val="0"/>
        <w:widowControl w:val="0"/>
        <w:numPr>
          <w:ilvl w:val="0"/>
          <w:numId w:val="1"/>
        </w:numPr>
        <w:tabs>
          <w:tab w:val="left" w:pos="90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《煤层自然发火标志气体及临界值确定方法》（GB/T 44819-2024）</w:t>
      </w:r>
    </w:p>
    <w:p w14:paraId="6218EE4C">
      <w:pPr>
        <w:keepNext w:val="0"/>
        <w:keepLines w:val="0"/>
        <w:pageBreakBefore w:val="0"/>
        <w:widowControl w:val="0"/>
        <w:numPr>
          <w:ilvl w:val="0"/>
          <w:numId w:val="1"/>
        </w:numPr>
        <w:tabs>
          <w:tab w:val="left" w:pos="90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《矿山环境遥感监测技术规范》（DZ/T 0392-2022）</w:t>
      </w:r>
    </w:p>
    <w:p w14:paraId="5127C15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szCs w:val="21"/>
        </w:rPr>
      </w:pPr>
      <w:r>
        <w:rPr>
          <w:rFonts w:hint="eastAsia" w:ascii="宋体" w:hAnsi="宋体"/>
          <w:szCs w:val="21"/>
        </w:rPr>
        <w:t>国家、行业及陕西省、榆林市现行有效的其他相关标准、规范（若有更新，按最新版本执行）。</w:t>
      </w:r>
    </w:p>
    <w:p w14:paraId="5A8FCC1C">
      <w:pPr>
        <w:tabs>
          <w:tab w:val="left" w:pos="900"/>
        </w:tabs>
        <w:adjustRightInd w:val="0"/>
        <w:snapToGrid w:val="0"/>
        <w:spacing w:line="360" w:lineRule="auto"/>
        <w:ind w:firstLine="422" w:firstLineChars="200"/>
        <w:rPr>
          <w:rFonts w:hAnsi="宋体"/>
          <w:b/>
          <w:szCs w:val="21"/>
        </w:rPr>
      </w:pPr>
      <w:r>
        <w:rPr>
          <w:rFonts w:hint="eastAsia" w:hAnsi="宋体"/>
          <w:b/>
          <w:szCs w:val="21"/>
        </w:rPr>
        <w:t>三、采购标的概况</w:t>
      </w:r>
    </w:p>
    <w:p w14:paraId="599624B6">
      <w:pPr>
        <w:adjustRightInd w:val="0"/>
        <w:snapToGrid w:val="0"/>
        <w:spacing w:line="360" w:lineRule="auto"/>
        <w:ind w:firstLine="420" w:firstLineChars="200"/>
        <w:rPr>
          <w:rFonts w:hAnsi="宋体"/>
          <w:szCs w:val="21"/>
        </w:rPr>
      </w:pPr>
      <w:r>
        <w:rPr>
          <w:rFonts w:hint="eastAsia" w:ascii="宋体" w:hAnsi="宋体"/>
          <w:szCs w:val="21"/>
        </w:rPr>
        <w:t>（一）采购项目名称：</w:t>
      </w:r>
      <w:bookmarkStart w:id="7" w:name="_Hlk226728066"/>
      <w:r>
        <w:rPr>
          <w:rFonts w:ascii="宋体" w:hAnsi="宋体"/>
          <w:color w:val="auto"/>
          <w:szCs w:val="21"/>
          <w:u w:val="single"/>
        </w:rPr>
        <w:t>横山、米脂、子洲三区（县）</w:t>
      </w:r>
      <w:r>
        <w:rPr>
          <w:rFonts w:hint="eastAsia" w:ascii="宋体" w:hAnsi="宋体"/>
          <w:szCs w:val="21"/>
          <w:u w:val="single"/>
        </w:rPr>
        <w:t>采煤沉陷区煤层火烧区</w:t>
      </w:r>
      <w:bookmarkEnd w:id="7"/>
      <w:r>
        <w:rPr>
          <w:rFonts w:hint="eastAsia" w:ascii="宋体" w:hAnsi="宋体"/>
          <w:szCs w:val="21"/>
          <w:u w:val="single"/>
        </w:rPr>
        <w:t>隐患风险核查技术服务</w:t>
      </w:r>
    </w:p>
    <w:p w14:paraId="700B5273">
      <w:pPr>
        <w:adjustRightInd w:val="0"/>
        <w:snapToGrid w:val="0"/>
        <w:spacing w:line="360" w:lineRule="auto"/>
        <w:ind w:firstLine="420" w:firstLineChars="200"/>
        <w:rPr>
          <w:rFonts w:hAnsi="宋体"/>
          <w:szCs w:val="21"/>
          <w:u w:val="single"/>
        </w:rPr>
      </w:pPr>
      <w:r>
        <w:rPr>
          <w:rFonts w:hint="eastAsia" w:hAnsi="宋体"/>
          <w:szCs w:val="21"/>
        </w:rPr>
        <w:t>（二）采购数量及计量单位：</w:t>
      </w:r>
      <w:r>
        <w:rPr>
          <w:rFonts w:ascii="宋体" w:hAnsi="宋体"/>
          <w:szCs w:val="21"/>
          <w:u w:val="single"/>
        </w:rPr>
        <w:t xml:space="preserve">   </w:t>
      </w:r>
      <w:r>
        <w:rPr>
          <w:rFonts w:hAnsi="宋体"/>
          <w:szCs w:val="21"/>
          <w:u w:val="single"/>
        </w:rPr>
        <w:t xml:space="preserve"> </w:t>
      </w:r>
      <w:r>
        <w:rPr>
          <w:rFonts w:hint="eastAsia" w:hAnsi="宋体"/>
          <w:szCs w:val="21"/>
          <w:u w:val="single"/>
        </w:rPr>
        <w:t>1套</w:t>
      </w:r>
      <w:r>
        <w:rPr>
          <w:rFonts w:hAnsi="宋体"/>
          <w:szCs w:val="21"/>
          <w:u w:val="single"/>
        </w:rPr>
        <w:t xml:space="preserve"> </w:t>
      </w:r>
      <w:r>
        <w:rPr>
          <w:rFonts w:ascii="宋体" w:hAnsi="宋体"/>
          <w:szCs w:val="21"/>
          <w:u w:val="single"/>
        </w:rPr>
        <w:t xml:space="preserve">  </w:t>
      </w:r>
    </w:p>
    <w:p w14:paraId="7D66FB09">
      <w:pPr>
        <w:adjustRightInd w:val="0"/>
        <w:snapToGrid w:val="0"/>
        <w:spacing w:line="360" w:lineRule="auto"/>
        <w:ind w:firstLine="420" w:firstLineChars="200"/>
        <w:rPr>
          <w:rFonts w:hAnsi="宋体"/>
          <w:szCs w:val="21"/>
        </w:rPr>
      </w:pPr>
      <w:r>
        <w:rPr>
          <w:rFonts w:hint="eastAsia" w:hAnsi="宋体"/>
          <w:szCs w:val="21"/>
        </w:rPr>
        <w:t>（三）最高限价：人民币</w:t>
      </w:r>
      <w:r>
        <w:rPr>
          <w:rFonts w:hint="eastAsia" w:hAnsi="宋体"/>
          <w:szCs w:val="21"/>
          <w:u w:val="single"/>
        </w:rPr>
        <w:t xml:space="preserve"> </w:t>
      </w:r>
      <w:r>
        <w:rPr>
          <w:rFonts w:hAnsi="宋体"/>
          <w:szCs w:val="21"/>
          <w:u w:val="single"/>
        </w:rPr>
        <w:t xml:space="preserve"> </w:t>
      </w:r>
      <w:r>
        <w:rPr>
          <w:rFonts w:hint="eastAsia" w:hAnsi="宋体"/>
          <w:szCs w:val="21"/>
          <w:u w:val="single"/>
          <w:lang w:val="en-US" w:eastAsia="zh-CN"/>
        </w:rPr>
        <w:t xml:space="preserve">130.00 </w:t>
      </w:r>
      <w:r>
        <w:rPr>
          <w:rFonts w:hint="eastAsia" w:hAnsi="宋体"/>
          <w:szCs w:val="21"/>
          <w:u w:val="none"/>
          <w:lang w:val="en-US" w:eastAsia="zh-CN"/>
        </w:rPr>
        <w:t xml:space="preserve"> 万</w:t>
      </w:r>
      <w:r>
        <w:rPr>
          <w:rFonts w:hint="eastAsia" w:hAnsi="宋体"/>
          <w:szCs w:val="21"/>
        </w:rPr>
        <w:t>元（大写：</w:t>
      </w:r>
      <w:r>
        <w:rPr>
          <w:rFonts w:hAnsi="宋体"/>
          <w:szCs w:val="21"/>
          <w:u w:val="single"/>
        </w:rPr>
        <w:t xml:space="preserve">  </w:t>
      </w:r>
      <w:r>
        <w:rPr>
          <w:rFonts w:hint="eastAsia" w:hAnsi="宋体"/>
          <w:szCs w:val="21"/>
          <w:u w:val="single"/>
          <w:lang w:val="en-US" w:eastAsia="zh-CN"/>
        </w:rPr>
        <w:t>壹佰叁拾万元整</w:t>
      </w:r>
      <w:r>
        <w:rPr>
          <w:rFonts w:hAnsi="宋体"/>
          <w:szCs w:val="21"/>
          <w:u w:val="single"/>
        </w:rPr>
        <w:t xml:space="preserve"> </w:t>
      </w:r>
      <w:r>
        <w:rPr>
          <w:rFonts w:hint="eastAsia" w:hAnsi="宋体"/>
          <w:szCs w:val="21"/>
        </w:rPr>
        <w:t>）</w:t>
      </w:r>
    </w:p>
    <w:p w14:paraId="72B992CF">
      <w:pPr>
        <w:adjustRightInd w:val="0"/>
        <w:snapToGrid w:val="0"/>
        <w:spacing w:line="360" w:lineRule="auto"/>
        <w:ind w:firstLine="420" w:firstLineChars="200"/>
        <w:rPr>
          <w:szCs w:val="21"/>
        </w:rPr>
      </w:pPr>
      <w:r>
        <w:rPr>
          <w:rFonts w:hint="eastAsia" w:hAnsi="宋体"/>
          <w:szCs w:val="21"/>
        </w:rPr>
        <w:t>（四）</w:t>
      </w:r>
      <w:r>
        <w:rPr>
          <w:rFonts w:hAnsi="宋体"/>
          <w:szCs w:val="21"/>
        </w:rPr>
        <w:t>交付时间：</w:t>
      </w:r>
      <w:r>
        <w:rPr>
          <w:rFonts w:hAnsi="宋体"/>
        </w:rPr>
        <w:t>合同签订后</w:t>
      </w:r>
      <w:r>
        <w:rPr>
          <w:rFonts w:hAnsi="宋体"/>
          <w:u w:val="single"/>
        </w:rPr>
        <w:t xml:space="preserve"> </w:t>
      </w:r>
      <w:r>
        <w:rPr>
          <w:rFonts w:hint="eastAsia" w:hAnsi="宋体"/>
          <w:u w:val="single"/>
          <w:lang w:val="en-US" w:eastAsia="zh-CN"/>
        </w:rPr>
        <w:t xml:space="preserve"> 180</w:t>
      </w:r>
      <w:r>
        <w:rPr>
          <w:rFonts w:hAnsi="宋体"/>
          <w:u w:val="single"/>
        </w:rPr>
        <w:t xml:space="preserve">  </w:t>
      </w:r>
      <w:r>
        <w:rPr>
          <w:rFonts w:hint="eastAsia" w:hAnsi="宋体"/>
        </w:rPr>
        <w:t>天内</w:t>
      </w:r>
    </w:p>
    <w:p w14:paraId="544209DB">
      <w:pPr>
        <w:tabs>
          <w:tab w:val="left" w:pos="420"/>
          <w:tab w:val="left" w:pos="900"/>
        </w:tabs>
        <w:adjustRightInd w:val="0"/>
        <w:snapToGrid w:val="0"/>
        <w:spacing w:line="360" w:lineRule="auto"/>
        <w:ind w:firstLine="420" w:firstLineChars="200"/>
        <w:rPr>
          <w:rFonts w:ascii="宋体" w:hAnsi="宋体"/>
          <w:szCs w:val="21"/>
        </w:rPr>
      </w:pPr>
      <w:r>
        <w:rPr>
          <w:rFonts w:hint="eastAsia" w:hAnsi="宋体"/>
          <w:szCs w:val="21"/>
        </w:rPr>
        <w:t>（五）</w:t>
      </w:r>
      <w:r>
        <w:rPr>
          <w:rFonts w:hAnsi="宋体"/>
          <w:szCs w:val="21"/>
        </w:rPr>
        <w:t>交付地点：</w:t>
      </w:r>
      <w:r>
        <w:rPr>
          <w:rFonts w:hAnsi="宋体"/>
          <w:szCs w:val="21"/>
          <w:u w:val="single"/>
        </w:rPr>
        <w:t xml:space="preserve"> </w:t>
      </w:r>
      <w:r>
        <w:rPr>
          <w:rFonts w:hint="eastAsia" w:hAnsi="宋体"/>
          <w:szCs w:val="21"/>
          <w:u w:val="single"/>
          <w:lang w:val="en-US" w:eastAsia="zh-CN"/>
        </w:rPr>
        <w:t>西安</w:t>
      </w:r>
      <w:r>
        <w:rPr>
          <w:rFonts w:hAnsi="宋体"/>
          <w:szCs w:val="21"/>
          <w:u w:val="single"/>
        </w:rPr>
        <w:t xml:space="preserve">  </w:t>
      </w:r>
    </w:p>
    <w:p w14:paraId="179C3B80">
      <w:pPr>
        <w:tabs>
          <w:tab w:val="left" w:pos="900"/>
        </w:tabs>
        <w:adjustRightInd w:val="0"/>
        <w:snapToGrid w:val="0"/>
        <w:spacing w:line="360" w:lineRule="auto"/>
        <w:ind w:firstLine="420" w:firstLineChars="200"/>
        <w:rPr>
          <w:rFonts w:hAnsi="宋体"/>
          <w:szCs w:val="21"/>
        </w:rPr>
      </w:pPr>
      <w:r>
        <w:rPr>
          <w:rFonts w:hint="eastAsia" w:hAnsi="宋体"/>
          <w:szCs w:val="21"/>
        </w:rPr>
        <w:t>（六）付款进度安排：</w:t>
      </w:r>
      <w:r>
        <w:rPr>
          <w:rFonts w:hint="eastAsia" w:cs="宋体" w:asciiTheme="minorEastAsia" w:hAnsiTheme="minorEastAsia"/>
          <w:b/>
          <w:color w:val="000000"/>
          <w:kern w:val="0"/>
          <w:szCs w:val="21"/>
        </w:rPr>
        <w:t>□</w:t>
      </w:r>
      <w:r>
        <w:rPr>
          <w:rFonts w:hint="eastAsia" w:hAnsi="宋体"/>
          <w:szCs w:val="21"/>
        </w:rPr>
        <w:t xml:space="preserve"> 按</w:t>
      </w:r>
      <w:r>
        <w:rPr>
          <w:rFonts w:hAnsi="宋体"/>
          <w:szCs w:val="21"/>
        </w:rPr>
        <w:t>采购文件</w:t>
      </w:r>
      <w:r>
        <w:rPr>
          <w:rFonts w:hint="eastAsia" w:hAnsi="宋体"/>
          <w:szCs w:val="21"/>
        </w:rPr>
        <w:t>要求。</w:t>
      </w:r>
    </w:p>
    <w:p w14:paraId="5FA361AF">
      <w:pPr>
        <w:tabs>
          <w:tab w:val="left" w:pos="900"/>
        </w:tabs>
        <w:adjustRightInd w:val="0"/>
        <w:snapToGrid w:val="0"/>
        <w:spacing w:line="360" w:lineRule="auto"/>
        <w:ind w:firstLine="402" w:firstLineChars="200"/>
        <w:rPr>
          <w:rFonts w:hAnsi="宋体"/>
          <w:szCs w:val="21"/>
        </w:rPr>
      </w:pP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hint="eastAsia" w:cs="宋体" w:asciiTheme="minorEastAsia" w:hAnsiTheme="minorEastAsia"/>
          <w:b/>
          <w:color w:val="000000"/>
          <w:kern w:val="0"/>
          <w:sz w:val="20"/>
          <w:szCs w:val="21"/>
          <w:lang w:eastAsia="zh-CN"/>
        </w:rPr>
        <w:t>☑</w:t>
      </w:r>
      <w:r>
        <w:rPr>
          <w:rFonts w:hAnsi="宋体"/>
          <w:szCs w:val="21"/>
        </w:rPr>
        <w:t>其他要求</w:t>
      </w:r>
      <w:r>
        <w:rPr>
          <w:rFonts w:hint="eastAsia" w:hAnsi="宋体"/>
          <w:szCs w:val="21"/>
        </w:rPr>
        <w:t>：</w:t>
      </w:r>
      <w:r>
        <w:rPr>
          <w:rFonts w:hAnsi="宋体"/>
          <w:szCs w:val="21"/>
          <w:u w:val="single"/>
        </w:rPr>
        <w:t xml:space="preserve"> </w:t>
      </w:r>
      <w:r>
        <w:rPr>
          <w:rFonts w:hint="eastAsia" w:hAnsi="宋体"/>
          <w:szCs w:val="21"/>
          <w:u w:val="single"/>
        </w:rPr>
        <w:t>（1）合同签订后，完成资料收集与先期调研，提交项目设计书后付款30%；（2）按照技术要求完成野外核查，提交野外核查表、遥感解译表、核查数据库后付款40%；（3）完成全部工作量并通过验收后付款30%</w:t>
      </w:r>
      <w:r>
        <w:rPr>
          <w:rFonts w:hint="eastAsia" w:hAnsi="宋体"/>
          <w:szCs w:val="21"/>
        </w:rPr>
        <w:t>。</w:t>
      </w:r>
    </w:p>
    <w:p w14:paraId="3C999C16">
      <w:pPr>
        <w:tabs>
          <w:tab w:val="left" w:pos="900"/>
        </w:tabs>
        <w:adjustRightInd w:val="0"/>
        <w:snapToGrid w:val="0"/>
        <w:spacing w:line="360" w:lineRule="auto"/>
        <w:ind w:firstLine="422" w:firstLineChars="200"/>
        <w:rPr>
          <w:rFonts w:hAnsi="宋体"/>
          <w:b/>
          <w:szCs w:val="21"/>
        </w:rPr>
      </w:pPr>
      <w:r>
        <w:rPr>
          <w:rFonts w:hint="eastAsia" w:hAnsi="宋体"/>
          <w:b/>
          <w:szCs w:val="21"/>
        </w:rPr>
        <w:t>四、采购标的需满足的质量、安全、技术规格、物理特性等要求：</w:t>
      </w:r>
    </w:p>
    <w:p w14:paraId="0C68D44A">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（一）总体思路</w:t>
      </w:r>
    </w:p>
    <w:p w14:paraId="2EA2975F">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坚持“以人为本、安全至上”的防范原则，瞄准采煤沉陷区与煤层火烧区“隐患在哪里？风险有多大？如何来管控？”的关键问题，充分应用新技术和新方法，对横山、米脂、子洲三区（县）进行全面、系统的采煤沉陷区和煤层火烧区隐患风险识别和核查。一是开展采煤沉陷区隐患风险核查，查明采煤沉陷区（含悬顶区）地面变形特征以及引起的地质环境安全风险，有效服务于地质灾害防治、矿区地质环境治理恢复与土地复垦及国土空间规划优化等；二是开展煤层火烧区隐患风险核查，查明煤层火烧区分布范围、状态、时空变化特征以及隐患风险，为从“治本”角度推进煤层火烧区生态保护修复与综合治理规划提供基础支撑。</w:t>
      </w:r>
    </w:p>
    <w:p w14:paraId="2F431344">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（二）核查范围</w:t>
      </w:r>
    </w:p>
    <w:p w14:paraId="50B865F3">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hAnsi="宋体"/>
          <w:szCs w:val="24"/>
        </w:rPr>
        <w:t>横山、米脂、子洲三区（县）全域范围内在产和历史遗留煤矿区。核查精度要求对在产和历史遗留矿山的采煤沉陷现状及发展趋势、煤层火烧现状与隐患分布等做到全覆盖核查</w:t>
      </w:r>
      <w:r>
        <w:rPr>
          <w:rFonts w:hint="eastAsia" w:ascii="Times New Roman" w:hAnsi="Times New Roman" w:eastAsia="宋体" w:cs="Times New Roman"/>
          <w:szCs w:val="21"/>
          <w:lang w:eastAsia="zh-CN"/>
        </w:rPr>
        <w:t>。</w:t>
      </w:r>
    </w:p>
    <w:p w14:paraId="6A05CE9E">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（三）核查内容</w:t>
      </w:r>
    </w:p>
    <w:p w14:paraId="6298EB20">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 采煤沉陷区隐患风险核查内容</w:t>
      </w:r>
    </w:p>
    <w:p w14:paraId="09E8DC4B">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（1）生产矿山的矿权范围、开采区范围；采煤沉陷（含地裂缝）发生时间、地点、规模、形态特征、沉陷区范围及其沉陷量、影响范围；采煤沉陷危害对象、致灾程度、处置情况等。</w:t>
      </w:r>
    </w:p>
    <w:p w14:paraId="2A48BE71">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（2）废弃煤矿的开采区范围、开采层位、开采方式；采空悬顶区的形成时间、范围、形态、影响区等；采空悬顶区的地面稳定与危险状况、威胁对象及潜在危害及综合防治情况。</w:t>
      </w:r>
    </w:p>
    <w:p w14:paraId="4F68A339">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露天煤矿的矿权范围、开采区范围；露天煤矿开采剥挖范围、深度、体积、开采面边坡稳定性；露天煤矿堆填范围、高度、体积、边坡稳定性及土地复垦情况；同时也包括影响范围的威胁对象及其潜在危害等。</w:t>
      </w:r>
    </w:p>
    <w:p w14:paraId="1E178BB0">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 煤层火烧区隐患风险核查内容</w:t>
      </w:r>
    </w:p>
    <w:p w14:paraId="55867665">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（1）煤矿区煤田地质结构特征、煤层埋深与分布、煤炭资源采空情况及剩余资源量；</w:t>
      </w:r>
    </w:p>
    <w:p w14:paraId="4F503679">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（2）采煤沉陷区煤层火烧区分布范围、空间位置、燃烧状态及时空发展趋势，划分煤层火烧区隐患风险等级；</w:t>
      </w:r>
    </w:p>
    <w:p w14:paraId="06BF16CB">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（3）煤层自燃所产生的资源环境灾害（如地表高温、地面沉降、土地/植被退化、烟气等），煤层火烧区威胁对象、危害现状与程度以及处置现状等。</w:t>
      </w:r>
    </w:p>
    <w:p w14:paraId="5C0BEA52">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（四）技术方案</w:t>
      </w:r>
    </w:p>
    <w:p w14:paraId="4FB12CAF">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 系统收集与整理分析煤矿区资料</w:t>
      </w:r>
    </w:p>
    <w:p w14:paraId="7EA64E7C">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全面搜集并梳理横山、米脂、子洲三区（县）各煤矿煤田地质勘查或资源整合、采矿设计或开发利用方案、矿区地质环境治理恢复与土地复垦实施方案及年度计划、采煤沉陷区与煤层火烧区调查、治理和监测等资料，以及各类地表变形监测资料，初步建立横山、米脂、子洲三区（县）煤矿采煤沉陷数据库。</w:t>
      </w:r>
    </w:p>
    <w:p w14:paraId="03452C6C">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 采煤沉陷区隐患风险核查方案</w:t>
      </w:r>
    </w:p>
    <w:p w14:paraId="7F5589FE">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（1）采煤沉陷区隐患早期识别</w:t>
      </w:r>
    </w:p>
    <w:p w14:paraId="7F07D187">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按照全覆盖核查的技术要求，利用基础地形数据和相关矿区资料，充分应用“基于多期DEM差分解算+InSAR分析”的隐患早期识别技术，实现对横山、米脂、子洲三区（县）采煤沉陷隐患的早期识别以及地面变形特征的解算。</w:t>
      </w:r>
    </w:p>
    <w:p w14:paraId="34B8F4EE">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（2）采煤沉陷区隐患特征分析</w:t>
      </w:r>
    </w:p>
    <w:p w14:paraId="6A315C35">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采用人机交互方式，对前述识别的采煤沉陷隐患及其地面变形特征进行空间比对，核实并区分不同采煤方式引起的地面沉陷范围、形变量及影响区，形成采煤沉陷区隐患数据库清单，并重点解译威胁对象和危害状况。</w:t>
      </w:r>
    </w:p>
    <w:p w14:paraId="0C6516B7">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（3）采煤沉陷区隐患实地核查</w:t>
      </w:r>
    </w:p>
    <w:p w14:paraId="46B46FC1">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采用野外核查APP，按照清单深入现场进行野外核查。野外核查内容原则上不遗漏重要数据，逐一核实确定采煤沉陷区范围及其沉陷量、采空悬顶区范围与危险性、地表土壤植被破坏、威胁对象及危害程度等，制定采煤沉陷隐患风险评价等级。野外核查期间要进一步按照资料收集内容要求补充搜集相关资料，满足后期总体报告编写要求。野外核查原则上用野外纪录薄记录核查、访问、沿途观察等相关内容，每个矿区都应有典型平（剖）面图、照片或素描图。</w:t>
      </w:r>
    </w:p>
    <w:p w14:paraId="73EA01B8">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 煤层火烧区隐患风险核查方案</w:t>
      </w:r>
    </w:p>
    <w:p w14:paraId="791793ED">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（1）煤层火烧隐患的自燃源分析与异常捕捉</w:t>
      </w:r>
    </w:p>
    <w:p w14:paraId="10D8A1B6">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在梳理已有煤层火烧隐患分布的基础上，利用前述收集基础资料情况，充分应用“基于自燃源充要条件的空-天-地-井协同感知”的煤层火烧区综合判识技术，圈定疑似煤层火烧重点区，形成煤层火烧隐患数据库清单，并根据空间识别与解译情况，制定适用于煤层火烧区隐患风险的野外核查表及其字段属性。</w:t>
      </w:r>
    </w:p>
    <w:p w14:paraId="56B6BCC7">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（2）煤层火烧区隐患现象异常实地核查</w:t>
      </w:r>
    </w:p>
    <w:p w14:paraId="0C33AC89">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采用野外核查APP，按照清单深入现场进行野外核查，重点根据明火、阴火、高温异常、烟气排放等异常现象，利用多种地面调查手段联合确定煤层火烧区隐患。在此基础上，构建煤层火烧区隐患风险评价体系，评定煤层火烧区隐患风险等级。另外，野外核查内容原则上不遗漏重要数据，逐一核实确定各煤层火烧区空间位置、分布范围、状态、危害对象及程度等。野外核查期间要进一步按照资料收集内容要求补充搜集相关资料，满足后期总体报告编写要求。野外核查原则上用野外纪录薄记录核查、访问、沿途观察等相关内容，每个矿区都应有典型平（剖）面图、照片或素描图。</w:t>
      </w:r>
    </w:p>
    <w:p w14:paraId="2B1243E1">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（五）预期成果</w:t>
      </w:r>
    </w:p>
    <w:p w14:paraId="7FDC9E7A">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 成果产出要求</w:t>
      </w:r>
    </w:p>
    <w:p w14:paraId="0BC18776">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针对采煤沉陷区隐患风险核查的成果产出，要求提出采煤沉陷区隐患风险管理措施建议，包括采煤沉陷区地质灾害防治建议、采煤沉陷区地质环境治理恢复与土地复垦建议、采空悬顶区地质环境治理方案建议、采煤沉陷区地下水保护与合理开发利用建议等。针对煤层火烧区隐患风险核查的成果产出，要求提出煤层火烧区隐患风险管理措施建议，如煤层火烧区隐患防治区划图、煤层火烧区隐患风险区划图等；另外按照源头治理、综合治理的思路，编制《煤层火烧区隐患风险防控专项规划》。若区内无煤层火烧区隐患，需说明。</w:t>
      </w:r>
    </w:p>
    <w:p w14:paraId="268A5B9F">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 预期成果清单</w:t>
      </w:r>
    </w:p>
    <w:p w14:paraId="5C0A8965">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按照技术要求，在完成核查工作并通过专家评审后，需提供以下正式成果资料。成果资料应提供纸质版与电子版（一式3份）。</w:t>
      </w:r>
    </w:p>
    <w:p w14:paraId="289CB88E">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（1）横山、米脂、子洲三区（县）采煤沉陷区煤层火烧区隐患风险核查报告 1份；</w:t>
      </w:r>
    </w:p>
    <w:p w14:paraId="0AC4A1ED">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（2）横山、米脂、子洲三区（县）采煤沉陷区（含悬顶区）现状分布及应用图系 1套；</w:t>
      </w:r>
    </w:p>
    <w:p w14:paraId="235EAF18">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（3）横山、米脂、子洲三区（县）采煤沉陷区生态修复与综合治理规划建议1套；</w:t>
      </w:r>
    </w:p>
    <w:p w14:paraId="015EBF52">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（4）横山、米脂、子洲三区（县）采煤沉陷区煤层火烧区隐患数据库1个；</w:t>
      </w:r>
    </w:p>
    <w:p w14:paraId="06F7FBEE">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（5）以Word、Excel、PPT、GIS及纸质版材料的形式，提交核查原始资料1套：主要包括收集资料、野外核查表、遥感解译表等。</w:t>
      </w:r>
    </w:p>
    <w:p w14:paraId="4B3EC89E">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六</w:t>
      </w:r>
      <w:r>
        <w:rPr>
          <w:rFonts w:hint="eastAsia" w:ascii="Times New Roman" w:hAnsi="宋体" w:eastAsia="宋体" w:cs="Times New Roman"/>
          <w:b/>
          <w:szCs w:val="21"/>
        </w:rPr>
        <w:t>）质量要求</w:t>
      </w:r>
    </w:p>
    <w:p w14:paraId="6ED2B8E8">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 核查工作质量要求</w:t>
      </w:r>
    </w:p>
    <w:p w14:paraId="1B775BD8">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供应方须严格遵循国家、行业及地方现行标准规范，采用“空-天-地-井协同感知”一体化技术路线，综合运用多期DEM差分、InSAR分析、无人机航测、地面调查、物探验证及钻探验证（必要时）等手段开展核查。项目负责人须具备地质工程专业高级职称及5年以上同类项目经验，投入设备（如高精度GPS、地质雷达、三维激光扫描仪等）须经计量检定合格且在有效期内。实施全过程质量控制，建立“作业员自检-项目组互检-公司专检”三级质检体系，野外调查点位覆盖率100%。野外记录须完整规范，每个矿区留存典型平（剖）面图、照片等资料，确保核查过程可追溯、依据充分。</w:t>
      </w:r>
    </w:p>
    <w:p w14:paraId="2D47365E">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 核查数据质量要求</w:t>
      </w:r>
    </w:p>
    <w:p w14:paraId="7550E1F6">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空间数据覆盖横山、米脂、子洲三区（县）全域在产及历史遗留煤矿区，无遗漏；属性数据包含地质背景、开采历史、沉陷特征（裂缝、塌陷坑、形变量）、火烧区状态（温度、范围、燃烧深度）、威胁对象及危害程度等全要素，数据采集率不低于95%。平面位置中误差≤±1.0m，火烧区边界划定误差≤±5.0m；隐患等级判定依据充分，误判率≤5%；沉陷量、燃烧深度等关键参数误差≤10%。数据须反映核查启动前3个月内的现状，禁止使用超过1年的历史数据替代新数据。</w:t>
      </w:r>
    </w:p>
    <w:p w14:paraId="149F0633">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 成果质量要求</w:t>
      </w:r>
    </w:p>
    <w:p w14:paraId="1F04565B">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产出成果需满足相关国家、地方、行业标准规范。此外，需满足采购方对成果类型的要求。若供应方交付成果存在数据造假、重大漏项或未达到上述质量标准，采购方有权扣除合同款的5%-20%作为违约金，并要求限期整改；拒不整改或整改后仍不合格的，采购人有权解除合同并追究由此造成的全部损失。</w:t>
      </w:r>
    </w:p>
    <w:p w14:paraId="0579CF5B">
      <w:pPr>
        <w:numPr>
          <w:ilvl w:val="0"/>
          <w:numId w:val="2"/>
        </w:num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专业能力要求</w:t>
      </w:r>
    </w:p>
    <w:p w14:paraId="5B0ACA77">
      <w:pPr>
        <w:numPr>
          <w:numId w:val="0"/>
        </w:num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投标人须具备开展采煤沉陷区、煤层火烧区隐患风险核查的专业能力，拥有不少于10名地质类相关专业技术人员，其中高级技术职称人员不少于3名，技术负责人须具有高级技术职称，且具有5年以上相关项目工作经验。此外，投标人须拥有相关核查设备，包括但不限于无人机热红外、高精度 GPS、航空物探、地面物探、工程钻机、测氡仪、钢尺水位计等技术设备，以及InSAR数据分析、地理空间信息处理（GIS）、数值模拟分析等大型软件，能够满足本项目开展过程中的设备需求与技术分析。业绩要求：近3年内（自投标截止之日起倒算），投标人须具有至少2项类似地质灾害调查相关项目业绩（提供项目合同、验收报告复印件，加盖投标人公章，合同须明确项目名称、服务内容、合同金额及服务期限，验收报告须有采购人验收合格意见）。</w:t>
      </w:r>
    </w:p>
    <w:p w14:paraId="3C80DDDF">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七</w:t>
      </w:r>
      <w:r>
        <w:rPr>
          <w:rFonts w:hint="eastAsia" w:ascii="Times New Roman" w:hAnsi="宋体" w:eastAsia="宋体" w:cs="Times New Roman"/>
          <w:b/>
          <w:szCs w:val="21"/>
        </w:rPr>
        <w:t>）安全要求</w:t>
      </w:r>
    </w:p>
    <w:p w14:paraId="255E2245">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eastAsia="zh-CN"/>
        </w:rPr>
        <w:t>供应方须建立完善的安全生产管理制度，严格遵守煤矿安全生产、野外作业安全相关规定，为参与项目人员购买足额保险，配备必要的安全防护设备（如安全帽、防护服、急救药品等），进行安全培训，确保作业过程中无安全事故发生。若发生人员意外，由供应方承担全部责任及赔偿费用。</w:t>
      </w:r>
    </w:p>
    <w:p w14:paraId="42A5AFD5">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eastAsia="zh-CN"/>
        </w:rPr>
        <w:t>作业过程中须严格保护作业区域内的生态环境、公共设施及群众财产，不得造成二次污染或损坏，若因中标人操作不当造成损失，由供应方承担全部责任及赔偿费用。</w:t>
      </w:r>
    </w:p>
    <w:p w14:paraId="4E857BB6">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eastAsia="zh-CN"/>
        </w:rPr>
        <w:t>供应方须对核查过程中获取的涉密信息（如煤矿地质资料、敏感区域数据等）严格保密，建立保密制度，严禁泄露、传播，若发生涉密事件，须承担相应法律责任及经济损失。</w:t>
      </w:r>
    </w:p>
    <w:p w14:paraId="142F3153">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八</w:t>
      </w:r>
      <w:r>
        <w:rPr>
          <w:rFonts w:hint="eastAsia" w:ascii="Times New Roman" w:hAnsi="宋体" w:eastAsia="宋体" w:cs="Times New Roman"/>
          <w:b/>
          <w:szCs w:val="21"/>
        </w:rPr>
        <w:t>）组织要求</w:t>
      </w:r>
    </w:p>
    <w:p w14:paraId="5179CB57">
      <w:pPr>
        <w:tabs>
          <w:tab w:val="left" w:pos="900"/>
        </w:tabs>
        <w:spacing w:line="360" w:lineRule="auto"/>
        <w:ind w:firstLine="420" w:firstLineChars="200"/>
        <w:rPr>
          <w:rFonts w:hint="eastAsia" w:hAnsi="宋体"/>
          <w:szCs w:val="24"/>
        </w:rPr>
      </w:pPr>
      <w:r>
        <w:rPr>
          <w:rFonts w:hint="eastAsia" w:hAnsi="宋体"/>
          <w:szCs w:val="24"/>
        </w:rPr>
        <w:t>为保证本次核查工作顺利进行并达到核查要求，供应方应针对本核查项目从组织保障、技术保障、设备保障、机制保障等方面制定详细的保障措施体系；从职责划分、政专督查、专家审查等方面提升本次隐患风险大核查成果质量，高质量高标准完成核查任务。</w:t>
      </w:r>
    </w:p>
    <w:p w14:paraId="68265909">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九</w:t>
      </w:r>
      <w:r>
        <w:rPr>
          <w:rFonts w:hint="eastAsia" w:ascii="Times New Roman" w:hAnsi="宋体" w:eastAsia="宋体" w:cs="Times New Roman"/>
          <w:b/>
          <w:szCs w:val="21"/>
        </w:rPr>
        <w:t>）报价要求与费用包含范围</w:t>
      </w:r>
    </w:p>
    <w:p w14:paraId="2B33AB5A">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1. 本项目采用固定总价包干方式，投标总报价（最高限价人民币</w:t>
      </w:r>
      <w:r>
        <w:rPr>
          <w:rFonts w:hint="eastAsia" w:ascii="Times New Roman" w:hAnsi="Times New Roman" w:eastAsia="宋体" w:cs="Times New Roman"/>
          <w:szCs w:val="21"/>
          <w:lang w:val="en-US" w:eastAsia="zh-CN"/>
        </w:rPr>
        <w:t>130</w:t>
      </w:r>
      <w:r>
        <w:rPr>
          <w:rFonts w:hint="eastAsia" w:ascii="Times New Roman" w:hAnsi="Times New Roman" w:eastAsia="宋体" w:cs="Times New Roman"/>
          <w:szCs w:val="21"/>
          <w:lang w:eastAsia="zh-CN"/>
        </w:rPr>
        <w:t>.00万元）须包含完成本采购需求约定的全部工作内容所需的一切费用，合同履行期间不因工作量变化、物价波动、政策调整等因素做任何调整。</w:t>
      </w:r>
    </w:p>
    <w:p w14:paraId="2516C07D">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2. 投标报价应包括但不限于以下内容，且不得在中标后以任何理由要求追加费用：技术服务费，人力成本，设备与物资费，交通与后勤保障费，安全与保险费，管理与税费，成果交付与验收费，质保与培训费，风险与不可预见费等。</w:t>
      </w:r>
    </w:p>
    <w:p w14:paraId="07C3D3B6">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3. 供应商在报价时应充分考虑横山、米脂、子洲三区（县）采煤沉陷区、煤层火烧区野外作业的复杂性和高风险性，凡采购需求中明确或隐含的、为完成本项目核查工作所必需的一切费用，均视为已包含在投标总报价中。</w:t>
      </w:r>
    </w:p>
    <w:p w14:paraId="48B1A6F4">
      <w:pPr>
        <w:tabs>
          <w:tab w:val="left" w:pos="900"/>
        </w:tabs>
        <w:adjustRightInd w:val="0"/>
        <w:snapToGrid w:val="0"/>
        <w:spacing w:line="360" w:lineRule="auto"/>
        <w:ind w:firstLine="422" w:firstLineChars="200"/>
        <w:rPr>
          <w:rFonts w:hint="eastAsia" w:ascii="Times New Roman" w:hAnsi="宋体" w:eastAsia="宋体" w:cs="Times New Roman"/>
          <w:b/>
          <w:szCs w:val="21"/>
        </w:rPr>
      </w:pP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十</w:t>
      </w:r>
      <w:r>
        <w:rPr>
          <w:rFonts w:hint="eastAsia" w:ascii="Times New Roman" w:hAnsi="宋体" w:eastAsia="宋体" w:cs="Times New Roman"/>
          <w:b/>
          <w:szCs w:val="21"/>
        </w:rPr>
        <w:t>）采购标的需满足的资质要求</w:t>
      </w:r>
    </w:p>
    <w:p w14:paraId="3BD4F4EE">
      <w:pPr>
        <w:numPr>
          <w:ilvl w:val="0"/>
          <w:numId w:val="0"/>
        </w:num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投标人须具备自然资源主管部门颁发的地质灾害防治单位甲级及以上资质（专业类别包含地质灾害评估和治理工程勘查设计），资质证书在有效期内，且可承揽相应等级的地质灾害风险调查评价相关工作，符合《地质灾害防治单位资质管理办法》（自然资源部令第8号）相关规定。</w:t>
      </w:r>
    </w:p>
    <w:p w14:paraId="2D432B8D">
      <w:pPr>
        <w:tabs>
          <w:tab w:val="left" w:pos="900"/>
        </w:tabs>
        <w:adjustRightInd w:val="0"/>
        <w:snapToGrid w:val="0"/>
        <w:spacing w:line="360" w:lineRule="auto"/>
        <w:ind w:firstLine="422" w:firstLineChars="200"/>
        <w:rPr>
          <w:rFonts w:hint="default" w:ascii="Times New Roman" w:hAnsi="宋体" w:eastAsia="宋体" w:cs="Times New Roman"/>
          <w:b/>
          <w:szCs w:val="21"/>
          <w:lang w:val="en-US" w:eastAsia="zh-CN"/>
        </w:rPr>
      </w:pP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十一</w:t>
      </w:r>
      <w:r>
        <w:rPr>
          <w:rFonts w:hint="eastAsia" w:ascii="Times New Roman" w:hAnsi="宋体" w:eastAsia="宋体" w:cs="Times New Roman"/>
          <w:b/>
          <w:szCs w:val="21"/>
        </w:rPr>
        <w:t>）</w:t>
      </w:r>
      <w:r>
        <w:rPr>
          <w:rFonts w:hint="eastAsia" w:hAnsi="宋体" w:cs="Times New Roman"/>
          <w:b/>
          <w:szCs w:val="21"/>
          <w:lang w:val="en-US" w:eastAsia="zh-CN"/>
        </w:rPr>
        <w:t>其他要求</w:t>
      </w:r>
      <w:r>
        <w:rPr>
          <w:rFonts w:hint="eastAsia" w:ascii="Times New Roman" w:hAnsi="宋体" w:eastAsia="宋体" w:cs="Times New Roman"/>
          <w:b/>
          <w:szCs w:val="21"/>
          <w:lang w:val="en-US" w:eastAsia="zh-CN"/>
        </w:rPr>
        <w:t xml:space="preserve"> </w:t>
      </w:r>
      <w:bookmarkStart w:id="11" w:name="_GoBack"/>
      <w:bookmarkEnd w:id="11"/>
    </w:p>
    <w:p w14:paraId="7E5574AE">
      <w:pPr>
        <w:tabs>
          <w:tab w:val="left" w:pos="900"/>
        </w:tabs>
        <w:adjustRightInd w:val="0"/>
        <w:snapToGrid w:val="0"/>
        <w:spacing w:line="360" w:lineRule="auto"/>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本项目与</w:t>
      </w:r>
      <w:r>
        <w:rPr>
          <w:rFonts w:hint="eastAsia" w:cs="Times New Roman"/>
          <w:szCs w:val="21"/>
          <w:lang w:val="en-US" w:eastAsia="zh-CN"/>
        </w:rPr>
        <w:t>榆阳区</w:t>
      </w:r>
      <w:r>
        <w:rPr>
          <w:rFonts w:hint="default" w:ascii="Times New Roman" w:hAnsi="Times New Roman" w:eastAsia="宋体" w:cs="Times New Roman"/>
          <w:szCs w:val="21"/>
          <w:lang w:val="en-US" w:eastAsia="zh-CN"/>
        </w:rPr>
        <w:t>采煤沉陷区煤层火烧区隐患风险核查技术服务</w:t>
      </w:r>
      <w:r>
        <w:rPr>
          <w:rFonts w:hint="eastAsia" w:cs="Times New Roman"/>
          <w:szCs w:val="21"/>
          <w:lang w:val="en-US" w:eastAsia="zh-CN"/>
        </w:rPr>
        <w:t>、府谷县</w:t>
      </w:r>
      <w:r>
        <w:rPr>
          <w:rFonts w:hint="default" w:ascii="Times New Roman" w:hAnsi="Times New Roman" w:eastAsia="宋体" w:cs="Times New Roman"/>
          <w:szCs w:val="21"/>
          <w:lang w:val="en-US" w:eastAsia="zh-CN"/>
        </w:rPr>
        <w:t>采煤沉陷区煤层火烧区隐患风险核查技术服务</w:t>
      </w:r>
      <w:r>
        <w:rPr>
          <w:rFonts w:hint="eastAsia" w:cs="Times New Roman"/>
          <w:szCs w:val="21"/>
          <w:lang w:val="en-US" w:eastAsia="zh-CN"/>
        </w:rPr>
        <w:t>、神木市</w:t>
      </w:r>
      <w:r>
        <w:rPr>
          <w:rFonts w:hint="default" w:ascii="Times New Roman" w:hAnsi="Times New Roman" w:eastAsia="宋体" w:cs="Times New Roman"/>
          <w:szCs w:val="21"/>
          <w:lang w:val="en-US" w:eastAsia="zh-CN"/>
        </w:rPr>
        <w:t>采煤沉陷区煤层火烧区隐患风险核查技术服务</w:t>
      </w:r>
      <w:r>
        <w:rPr>
          <w:rFonts w:hint="eastAsia" w:cs="Times New Roman"/>
          <w:szCs w:val="21"/>
          <w:lang w:val="en-US" w:eastAsia="zh-CN"/>
        </w:rPr>
        <w:t>及榆林市煤层分布规律及煤田地质结构研究技术服务</w:t>
      </w:r>
      <w:r>
        <w:rPr>
          <w:rFonts w:hint="default" w:ascii="Times New Roman" w:hAnsi="Times New Roman" w:eastAsia="宋体" w:cs="Times New Roman"/>
          <w:szCs w:val="21"/>
          <w:lang w:val="en-US" w:eastAsia="zh-CN"/>
        </w:rPr>
        <w:t>互为关联项目，同一投标人可同时参与上述多个项目投标，但每名投标人最多只能中标其中 1 个项目。若同一投标人在多个项目评审中综合排名均为第一，由该投标人自主选定 1 个项目中标，其余排名第一放弃的项目，依次顺延由对应项目综合排名第二的投标人递补中标。</w:t>
      </w:r>
    </w:p>
    <w:p w14:paraId="5551104A">
      <w:pPr>
        <w:tabs>
          <w:tab w:val="left" w:pos="900"/>
        </w:tabs>
        <w:adjustRightInd w:val="0"/>
        <w:snapToGrid w:val="0"/>
        <w:spacing w:line="360" w:lineRule="auto"/>
        <w:ind w:firstLine="422" w:firstLineChars="200"/>
        <w:rPr>
          <w:rFonts w:hint="default" w:ascii="Times New Roman" w:hAnsi="宋体" w:eastAsia="宋体" w:cs="Times New Roman"/>
          <w:b/>
          <w:szCs w:val="21"/>
          <w:lang w:val="en-US" w:eastAsia="zh-CN"/>
        </w:rPr>
      </w:pP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十一</w:t>
      </w:r>
      <w:r>
        <w:rPr>
          <w:rFonts w:hint="eastAsia" w:ascii="Times New Roman" w:hAnsi="宋体" w:eastAsia="宋体" w:cs="Times New Roman"/>
          <w:b/>
          <w:szCs w:val="21"/>
        </w:rPr>
        <w:t>）</w:t>
      </w:r>
      <w:r>
        <w:rPr>
          <w:rFonts w:hint="eastAsia" w:ascii="Times New Roman" w:hAnsi="宋体" w:eastAsia="宋体" w:cs="Times New Roman"/>
          <w:b/>
          <w:szCs w:val="21"/>
          <w:lang w:val="en-US" w:eastAsia="zh-CN"/>
        </w:rPr>
        <w:t xml:space="preserve">知识产权要求 </w:t>
      </w:r>
    </w:p>
    <w:p w14:paraId="010CCF89">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1. 本项目产生的所有成果（含报告、图件、数据、数据库等）知识产权完全归采购人所有。供应商仅享有署名权，不得擅自将成果用于其他项目或向第三方转让。</w:t>
      </w:r>
    </w:p>
    <w:p w14:paraId="4D1F224B">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 供应商须保证交付成果不侵犯第三方知识产权。若发生侵权纠纷，由供应商承担全部法律责任及赔偿费用。</w:t>
      </w:r>
    </w:p>
    <w:p w14:paraId="7978AC76">
      <w:pPr>
        <w:tabs>
          <w:tab w:val="left" w:pos="900"/>
        </w:tabs>
        <w:adjustRightInd w:val="0"/>
        <w:snapToGrid w:val="0"/>
        <w:spacing w:line="360" w:lineRule="auto"/>
        <w:ind w:firstLine="420" w:firstLineChars="200"/>
        <w:rPr>
          <w:rFonts w:hint="eastAsia"/>
          <w:lang w:eastAsia="zh-CN"/>
        </w:rPr>
      </w:pPr>
      <w:r>
        <w:rPr>
          <w:rFonts w:hint="eastAsia" w:ascii="Times New Roman" w:hAnsi="Times New Roman" w:eastAsia="宋体" w:cs="Times New Roman"/>
          <w:szCs w:val="21"/>
          <w:lang w:val="en-US" w:eastAsia="zh-CN"/>
        </w:rPr>
        <w:t>3. 供应商在服务过程中获取的所有基础数据及成果，均属采购人资产，严禁私自对外发布或用于商业用途。</w:t>
      </w:r>
    </w:p>
    <w:p w14:paraId="0E502799">
      <w:pPr>
        <w:tabs>
          <w:tab w:val="left" w:pos="900"/>
        </w:tabs>
        <w:adjustRightInd w:val="0"/>
        <w:snapToGrid w:val="0"/>
        <w:spacing w:line="360" w:lineRule="auto"/>
        <w:ind w:firstLine="422" w:firstLineChars="200"/>
        <w:rPr>
          <w:rFonts w:hAnsi="宋体"/>
          <w:b/>
          <w:szCs w:val="21"/>
        </w:rPr>
      </w:pPr>
      <w:r>
        <w:rPr>
          <w:rFonts w:hint="eastAsia" w:hAnsi="宋体"/>
          <w:b/>
          <w:szCs w:val="21"/>
        </w:rPr>
        <w:t>五、采购标的需满足的服务标准、期限、效率等要求</w:t>
      </w:r>
    </w:p>
    <w:p w14:paraId="1D8DFDC5">
      <w:pPr>
        <w:tabs>
          <w:tab w:val="left" w:pos="900"/>
        </w:tabs>
        <w:adjustRightInd w:val="0"/>
        <w:snapToGrid w:val="0"/>
        <w:spacing w:line="360" w:lineRule="auto"/>
        <w:ind w:firstLine="420" w:firstLineChars="20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（一）质保期： 不少于</w:t>
      </w:r>
      <w:r>
        <w:rPr>
          <w:rFonts w:hint="eastAsia" w:ascii="Times New Roman" w:hAnsi="Times New Roman" w:eastAsia="宋体" w:cs="Times New Roman"/>
          <w:szCs w:val="21"/>
          <w:u w:val="single"/>
          <w:lang w:eastAsia="zh-CN"/>
        </w:rPr>
        <w:t xml:space="preserve">   </w:t>
      </w:r>
      <w:r>
        <w:rPr>
          <w:rFonts w:hint="eastAsia" w:ascii="Times New Roman" w:hAnsi="Times New Roman" w:eastAsia="宋体" w:cs="Times New Roman"/>
          <w:szCs w:val="21"/>
          <w:u w:val="single"/>
          <w:lang w:val="en-US" w:eastAsia="zh-CN"/>
        </w:rPr>
        <w:t>1</w:t>
      </w:r>
      <w:r>
        <w:rPr>
          <w:rFonts w:hint="eastAsia" w:ascii="Times New Roman" w:hAnsi="Times New Roman" w:eastAsia="宋体" w:cs="Times New Roman"/>
          <w:szCs w:val="21"/>
          <w:u w:val="single"/>
          <w:lang w:eastAsia="zh-CN"/>
        </w:rPr>
        <w:t xml:space="preserve">   </w:t>
      </w:r>
      <w:r>
        <w:rPr>
          <w:rFonts w:hint="eastAsia" w:ascii="Times New Roman" w:hAnsi="Times New Roman" w:eastAsia="宋体" w:cs="Times New Roman"/>
          <w:szCs w:val="21"/>
          <w:lang w:eastAsia="zh-CN"/>
        </w:rPr>
        <w:t>年，质保期内，供应方须根据项目实际需要提供免费技术支撑服务（免人工服务费、差旅费等相关费用），包括数据更新、报告修改、数据库维护、技术咨询等，确保成果正常使用。质保期满后，供应方仍需提供长期专业技术支撑服务，投标人须在投标文件中明确专业技术支撑服务单项报价（包括人工、材料、差旅费等全部费用），报价须合理合规。</w:t>
      </w:r>
    </w:p>
    <w:p w14:paraId="446C43F0">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（二）服务响应时间：</w:t>
      </w:r>
      <w:r>
        <w:rPr>
          <w:rFonts w:hint="eastAsia" w:hAnsi="宋体"/>
          <w:szCs w:val="24"/>
        </w:rPr>
        <w:t>接到技术咨询或需求通知后</w:t>
      </w:r>
      <w:r>
        <w:rPr>
          <w:rFonts w:hint="eastAsia" w:ascii="宋体" w:hAnsi="宋体"/>
          <w:szCs w:val="21"/>
        </w:rPr>
        <w:t>4小时内给予明确答复，8小时内到达现场。</w:t>
      </w:r>
      <w:r>
        <w:rPr>
          <w:rFonts w:hint="eastAsia" w:hAnsi="宋体"/>
          <w:szCs w:val="24"/>
        </w:rPr>
        <w:t>减少对采购人工作的影响。</w:t>
      </w:r>
    </w:p>
    <w:p w14:paraId="79F6240D">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（三）</w:t>
      </w:r>
      <w:r>
        <w:rPr>
          <w:rFonts w:ascii="宋体" w:hAnsi="宋体"/>
          <w:szCs w:val="21"/>
        </w:rPr>
        <w:t>培训</w:t>
      </w:r>
      <w:r>
        <w:rPr>
          <w:rFonts w:hint="eastAsia" w:ascii="宋体" w:hAnsi="宋体"/>
          <w:szCs w:val="21"/>
        </w:rPr>
        <w:t>要求：</w:t>
      </w:r>
      <w:r>
        <w:rPr>
          <w:rFonts w:hint="eastAsia" w:hAnsi="宋体"/>
          <w:szCs w:val="24"/>
        </w:rPr>
        <w:t>中标人须提供完整的培训电子资料（含操作手册、注意事项等）及视频教程；免费为采购人培训至少</w:t>
      </w:r>
      <w:r>
        <w:rPr>
          <w:rFonts w:hint="eastAsia" w:hAnsi="宋体"/>
          <w:szCs w:val="24"/>
          <w:u w:val="single"/>
          <w:lang w:val="en-US" w:eastAsia="zh-CN"/>
        </w:rPr>
        <w:t xml:space="preserve">  </w:t>
      </w:r>
      <w:r>
        <w:rPr>
          <w:rFonts w:hint="eastAsia" w:hAnsi="宋体"/>
          <w:szCs w:val="24"/>
          <w:u w:val="single"/>
        </w:rPr>
        <w:t>2</w:t>
      </w:r>
      <w:r>
        <w:rPr>
          <w:rFonts w:hint="eastAsia" w:hAnsi="宋体"/>
          <w:szCs w:val="24"/>
          <w:u w:val="single"/>
          <w:lang w:val="en-US" w:eastAsia="zh-CN"/>
        </w:rPr>
        <w:t xml:space="preserve">  </w:t>
      </w:r>
      <w:r>
        <w:rPr>
          <w:rFonts w:hint="eastAsia" w:hAnsi="宋体"/>
          <w:szCs w:val="24"/>
        </w:rPr>
        <w:t>名操作人员，培训为期至少</w:t>
      </w:r>
      <w:r>
        <w:rPr>
          <w:rFonts w:hint="eastAsia" w:hAnsi="宋体"/>
          <w:szCs w:val="24"/>
          <w:u w:val="single"/>
          <w:lang w:val="en-US" w:eastAsia="zh-CN"/>
        </w:rPr>
        <w:t xml:space="preserve">   </w:t>
      </w:r>
      <w:r>
        <w:rPr>
          <w:rFonts w:hint="eastAsia" w:hAnsi="宋体"/>
          <w:szCs w:val="24"/>
          <w:u w:val="single"/>
        </w:rPr>
        <w:t>3</w:t>
      </w:r>
      <w:r>
        <w:rPr>
          <w:rFonts w:hint="eastAsia" w:hAnsi="宋体"/>
          <w:szCs w:val="24"/>
          <w:u w:val="single"/>
          <w:lang w:val="en-US" w:eastAsia="zh-CN"/>
        </w:rPr>
        <w:t xml:space="preserve">  </w:t>
      </w:r>
      <w:r>
        <w:rPr>
          <w:rFonts w:hint="eastAsia" w:hAnsi="宋体"/>
          <w:szCs w:val="24"/>
        </w:rPr>
        <w:t>天（现场操作培训及应用培训相结合），确保操作人员全面掌握核查成果、数据库及相关设备的使用、维护、管理和应用等相关工作要求。质保期内及期满后，不定期免费提供相关技术咨询、操作指导等服务，及时响应采购人的培训需求。</w:t>
      </w:r>
    </w:p>
    <w:p w14:paraId="250BAB25">
      <w:pPr>
        <w:tabs>
          <w:tab w:val="left" w:pos="420"/>
          <w:tab w:val="left" w:pos="900"/>
        </w:tabs>
        <w:adjustRightInd w:val="0"/>
        <w:snapToGrid w:val="0"/>
        <w:spacing w:line="360" w:lineRule="auto"/>
        <w:ind w:firstLine="422" w:firstLineChars="200"/>
        <w:rPr>
          <w:rFonts w:ascii="宋体" w:hAnsi="宋体"/>
          <w:b/>
          <w:szCs w:val="21"/>
        </w:rPr>
      </w:pPr>
      <w:r>
        <w:rPr>
          <w:rFonts w:hint="eastAsia" w:ascii="宋体" w:hAnsi="宋体"/>
          <w:b/>
          <w:szCs w:val="21"/>
        </w:rPr>
        <w:t>六、</w:t>
      </w:r>
      <w:r>
        <w:rPr>
          <w:rFonts w:ascii="宋体" w:hAnsi="宋体"/>
          <w:b/>
          <w:szCs w:val="21"/>
        </w:rPr>
        <w:t>采购标的的</w:t>
      </w:r>
      <w:r>
        <w:rPr>
          <w:rFonts w:hint="eastAsia" w:ascii="宋体" w:hAnsi="宋体"/>
          <w:b/>
          <w:szCs w:val="21"/>
        </w:rPr>
        <w:t>履约验收标准</w:t>
      </w:r>
    </w:p>
    <w:bookmarkEnd w:id="2"/>
    <w:bookmarkEnd w:id="3"/>
    <w:bookmarkEnd w:id="4"/>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3694"/>
        <w:gridCol w:w="4601"/>
      </w:tblGrid>
      <w:tr w14:paraId="7EC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7541F7C7">
            <w:pPr>
              <w:widowControl/>
              <w:adjustRightInd w:val="0"/>
              <w:snapToGrid w:val="0"/>
              <w:jc w:val="left"/>
              <w:textAlignment w:val="baseline"/>
              <w:rPr>
                <w:rFonts w:ascii="宋体" w:hAnsi="宋体"/>
                <w:b/>
                <w:bCs/>
                <w:color w:val="000000"/>
                <w:kern w:val="0"/>
                <w:szCs w:val="21"/>
              </w:rPr>
            </w:pPr>
            <w:bookmarkStart w:id="8" w:name="OLE_LINK3"/>
            <w:r>
              <w:rPr>
                <w:rFonts w:hint="eastAsia" w:ascii="宋体" w:hAnsi="宋体"/>
                <w:b/>
                <w:bCs/>
                <w:color w:val="000000"/>
                <w:kern w:val="0"/>
                <w:szCs w:val="21"/>
              </w:rPr>
              <w:t>一、货物类项目验收要求</w:t>
            </w:r>
          </w:p>
        </w:tc>
      </w:tr>
      <w:tr w14:paraId="1BB8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5E00C0EC">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序号</w:t>
            </w:r>
          </w:p>
        </w:tc>
        <w:tc>
          <w:tcPr>
            <w:tcW w:w="3694" w:type="dxa"/>
            <w:vAlign w:val="center"/>
          </w:tcPr>
          <w:p w14:paraId="5DF60775">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功能或指标</w:t>
            </w:r>
          </w:p>
        </w:tc>
        <w:tc>
          <w:tcPr>
            <w:tcW w:w="4601" w:type="dxa"/>
            <w:vAlign w:val="center"/>
          </w:tcPr>
          <w:p w14:paraId="4288F8A8">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验收或测试方法</w:t>
            </w:r>
          </w:p>
        </w:tc>
      </w:tr>
      <w:tr w14:paraId="4DD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02C15476">
            <w:pPr>
              <w:widowControl/>
              <w:adjustRightInd w:val="0"/>
              <w:snapToGrid w:val="0"/>
              <w:jc w:val="left"/>
              <w:textAlignment w:val="baseline"/>
              <w:rPr>
                <w:rFonts w:ascii="宋体" w:hAnsi="宋体"/>
                <w:b/>
                <w:color w:val="000000"/>
                <w:kern w:val="0"/>
                <w:szCs w:val="21"/>
              </w:rPr>
            </w:pPr>
            <w:r>
              <w:rPr>
                <w:rFonts w:hint="eastAsia" w:ascii="宋体" w:hAnsi="宋体"/>
                <w:b/>
                <w:color w:val="000000"/>
                <w:kern w:val="0"/>
                <w:szCs w:val="21"/>
              </w:rPr>
              <w:t>项目建设单位验收要求：</w:t>
            </w:r>
          </w:p>
        </w:tc>
      </w:tr>
      <w:tr w14:paraId="5919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097B844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628DDD59">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货物外包装与外观无损伤</w:t>
            </w:r>
          </w:p>
        </w:tc>
        <w:tc>
          <w:tcPr>
            <w:tcW w:w="4601" w:type="dxa"/>
            <w:vAlign w:val="center"/>
          </w:tcPr>
          <w:p w14:paraId="77718575">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现场核查</w:t>
            </w:r>
          </w:p>
        </w:tc>
      </w:tr>
      <w:tr w14:paraId="3668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4D5202A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2</w:t>
            </w:r>
          </w:p>
        </w:tc>
        <w:tc>
          <w:tcPr>
            <w:tcW w:w="3694" w:type="dxa"/>
            <w:vAlign w:val="center"/>
          </w:tcPr>
          <w:p w14:paraId="5E3C1A74">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货物配置、包括备品备件、耗品耗材等提供齐全，货物实物品牌、规格、型号、配置数量与采购结果、合同约定相符。</w:t>
            </w:r>
          </w:p>
        </w:tc>
        <w:tc>
          <w:tcPr>
            <w:tcW w:w="4601" w:type="dxa"/>
            <w:vAlign w:val="center"/>
          </w:tcPr>
          <w:p w14:paraId="42CFBBEB">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依据《合同》及其附件（包括但不限于《采购需求》《供应商投标（响应）文件》《投标澄清函》《技术协议》等）约定，现场核查。</w:t>
            </w:r>
          </w:p>
        </w:tc>
      </w:tr>
      <w:tr w14:paraId="5150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65" w:type="dxa"/>
            <w:vAlign w:val="center"/>
          </w:tcPr>
          <w:p w14:paraId="72C4659C">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vAlign w:val="center"/>
          </w:tcPr>
          <w:p w14:paraId="737AFF37">
            <w:pPr>
              <w:widowControl/>
              <w:adjustRightInd w:val="0"/>
              <w:snapToGrid w:val="0"/>
              <w:textAlignment w:val="baseline"/>
              <w:rPr>
                <w:rFonts w:ascii="宋体" w:hAnsi="宋体"/>
                <w:color w:val="000000" w:themeColor="text1"/>
                <w:kern w:val="0"/>
                <w:szCs w:val="21"/>
                <w14:textFill>
                  <w14:solidFill>
                    <w14:schemeClr w14:val="tx1"/>
                  </w14:solidFill>
                </w14:textFill>
              </w:rPr>
            </w:pPr>
            <w:r>
              <w:rPr>
                <w:rFonts w:hint="eastAsia" w:ascii="宋体" w:hAnsi="宋体"/>
                <w:color w:val="000000"/>
                <w:kern w:val="0"/>
                <w:szCs w:val="21"/>
              </w:rPr>
              <w:t>所有功能和指标参数（包括边界极限值）达到采购结果合同约定要求。</w:t>
            </w:r>
          </w:p>
        </w:tc>
        <w:tc>
          <w:tcPr>
            <w:tcW w:w="4601" w:type="dxa"/>
            <w:vAlign w:val="center"/>
          </w:tcPr>
          <w:p w14:paraId="509DD066">
            <w:pPr>
              <w:adjustRightInd w:val="0"/>
              <w:snapToGrid w:val="0"/>
              <w:rPr>
                <w:rFonts w:ascii="宋体" w:hAnsi="宋体"/>
                <w:kern w:val="0"/>
                <w:szCs w:val="21"/>
              </w:rPr>
            </w:pPr>
            <w:r>
              <w:rPr>
                <w:rFonts w:hint="eastAsia" w:ascii="宋体" w:hAnsi="宋体"/>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1AFC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2081462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1A6C95FE">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培训等合同服务要求完成情况。</w:t>
            </w:r>
          </w:p>
        </w:tc>
        <w:tc>
          <w:tcPr>
            <w:tcW w:w="4601" w:type="dxa"/>
            <w:vAlign w:val="center"/>
          </w:tcPr>
          <w:p w14:paraId="52C2EC9E">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现场核查。供应商须根据合同约定提供《培训视频》影像资料等。</w:t>
            </w:r>
          </w:p>
        </w:tc>
      </w:tr>
      <w:tr w14:paraId="083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59DD562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1B3E98A5">
            <w:pPr>
              <w:widowControl/>
              <w:adjustRightInd w:val="0"/>
              <w:snapToGrid w:val="0"/>
              <w:textAlignment w:val="baseline"/>
              <w:rPr>
                <w:rFonts w:ascii="宋体" w:hAnsi="宋体"/>
                <w:color w:val="000000" w:themeColor="text1"/>
                <w:kern w:val="0"/>
                <w:szCs w:val="21"/>
                <w14:textFill>
                  <w14:solidFill>
                    <w14:schemeClr w14:val="tx1"/>
                  </w14:solidFill>
                </w14:textFill>
              </w:rPr>
            </w:pPr>
            <w:r>
              <w:rPr>
                <w:rFonts w:hint="eastAsia" w:ascii="宋体" w:hAnsi="宋体"/>
                <w:color w:val="000000"/>
                <w:kern w:val="0"/>
                <w:szCs w:val="21"/>
              </w:rPr>
              <w:t>验证测试设备的运行稳定性</w:t>
            </w:r>
          </w:p>
        </w:tc>
        <w:tc>
          <w:tcPr>
            <w:tcW w:w="4601" w:type="dxa"/>
            <w:vAlign w:val="center"/>
          </w:tcPr>
          <w:p w14:paraId="4B72A531">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试运行验证测试设备运行稳定达标</w:t>
            </w:r>
          </w:p>
        </w:tc>
      </w:tr>
      <w:tr w14:paraId="660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6DFA2F36">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6</w:t>
            </w:r>
          </w:p>
        </w:tc>
        <w:tc>
          <w:tcPr>
            <w:tcW w:w="8295" w:type="dxa"/>
            <w:gridSpan w:val="2"/>
            <w:vAlign w:val="center"/>
          </w:tcPr>
          <w:p w14:paraId="31F21E15">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提示：</w:t>
            </w:r>
          </w:p>
          <w:p w14:paraId="3078E206">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1.经费负责人应当按照采购合同及其附件规定的每一项技术、服务、安全标准组织对供应商履约情况进行验收。</w:t>
            </w:r>
          </w:p>
          <w:p w14:paraId="2883C437">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2.《供应商货物类项目完工报告》《项目建设单位货物类项目完工自验收报告》《第三方检测报告》（如有）等与验收相关的材料由经费负责人妥善保管存档。</w:t>
            </w:r>
          </w:p>
          <w:p w14:paraId="620B491F">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3.</w:t>
            </w:r>
            <w:bookmarkStart w:id="9" w:name="OLE_LINK4"/>
            <w:r>
              <w:rPr>
                <w:rFonts w:hint="eastAsia" w:ascii="宋体" w:hAnsi="宋体"/>
                <w:color w:val="000000"/>
                <w:kern w:val="0"/>
                <w:szCs w:val="21"/>
              </w:rPr>
              <w:t>《技术协议》</w:t>
            </w:r>
            <w:bookmarkEnd w:id="9"/>
            <w:r>
              <w:rPr>
                <w:rFonts w:hint="eastAsia" w:ascii="宋体" w:hAnsi="宋体"/>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14:paraId="72FC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51743AB1">
            <w:pPr>
              <w:widowControl/>
              <w:adjustRightInd w:val="0"/>
              <w:snapToGrid w:val="0"/>
              <w:textAlignment w:val="baseline"/>
              <w:rPr>
                <w:rFonts w:ascii="宋体" w:hAnsi="宋体"/>
                <w:color w:val="000000"/>
                <w:kern w:val="0"/>
                <w:szCs w:val="21"/>
              </w:rPr>
            </w:pPr>
            <w:r>
              <w:rPr>
                <w:rFonts w:hint="eastAsia" w:ascii="宋体" w:hAnsi="宋体"/>
                <w:b/>
                <w:color w:val="000000"/>
                <w:kern w:val="0"/>
                <w:szCs w:val="21"/>
              </w:rPr>
              <w:t>学校验收复核要求：</w:t>
            </w:r>
            <w:r>
              <w:rPr>
                <w:rFonts w:hint="eastAsia" w:ascii="宋体" w:hAnsi="宋体"/>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5D45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14AE30AD">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验收时是否需要供应商提供样品</w:t>
            </w:r>
          </w:p>
        </w:tc>
        <w:tc>
          <w:tcPr>
            <w:tcW w:w="4601" w:type="dxa"/>
            <w:vAlign w:val="center"/>
          </w:tcPr>
          <w:p w14:paraId="798E259A">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rPr>
              <w:t>□</w:t>
            </w:r>
            <w:r>
              <w:rPr>
                <w:rFonts w:hint="eastAsia" w:ascii="宋体" w:hAnsi="宋体"/>
                <w:color w:val="000000"/>
                <w:kern w:val="0"/>
                <w:szCs w:val="21"/>
              </w:rPr>
              <w:t xml:space="preserve">是 </w:t>
            </w:r>
            <w:r>
              <w:rPr>
                <w:rFonts w:hint="eastAsia" w:ascii="宋体" w:hAnsi="宋体" w:cs="宋体"/>
                <w:color w:val="000000"/>
                <w:kern w:val="0"/>
                <w:szCs w:val="21"/>
              </w:rPr>
              <w:t>□</w:t>
            </w:r>
            <w:r>
              <w:rPr>
                <w:rFonts w:hint="eastAsia" w:ascii="宋体" w:hAnsi="宋体"/>
                <w:color w:val="000000"/>
                <w:kern w:val="0"/>
                <w:szCs w:val="21"/>
              </w:rPr>
              <w:t>否</w:t>
            </w:r>
          </w:p>
        </w:tc>
      </w:tr>
      <w:tr w14:paraId="38BC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4B771E24">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验收时是否需供应商提供必要的其他设备</w:t>
            </w:r>
          </w:p>
        </w:tc>
        <w:tc>
          <w:tcPr>
            <w:tcW w:w="4601" w:type="dxa"/>
            <w:vAlign w:val="center"/>
          </w:tcPr>
          <w:p w14:paraId="33CC1E8D">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hint="eastAsia" w:ascii="宋体" w:hAnsi="宋体" w:cs="宋体"/>
                <w:color w:val="000000"/>
                <w:kern w:val="0"/>
                <w:szCs w:val="21"/>
              </w:rPr>
              <w:t>□</w:t>
            </w:r>
            <w:r>
              <w:rPr>
                <w:rFonts w:ascii="宋体" w:hAnsi="宋体"/>
                <w:color w:val="000000"/>
                <w:kern w:val="0"/>
                <w:szCs w:val="21"/>
              </w:rPr>
              <w:t>否</w:t>
            </w:r>
          </w:p>
        </w:tc>
      </w:tr>
      <w:tr w14:paraId="2F5B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3D52DFAE">
            <w:pPr>
              <w:widowControl/>
              <w:adjustRightInd w:val="0"/>
              <w:snapToGrid w:val="0"/>
              <w:textAlignment w:val="baseline"/>
              <w:rPr>
                <w:rFonts w:ascii="宋体" w:hAnsi="宋体" w:cs="宋体"/>
                <w:color w:val="000000"/>
                <w:kern w:val="0"/>
                <w:szCs w:val="21"/>
              </w:rPr>
            </w:pPr>
            <w:r>
              <w:rPr>
                <w:rFonts w:hint="eastAsia" w:ascii="宋体" w:hAnsi="宋体"/>
                <w:color w:val="000000"/>
                <w:kern w:val="0"/>
                <w:szCs w:val="21"/>
              </w:rPr>
              <w:t>二、</w:t>
            </w:r>
            <w:r>
              <w:rPr>
                <w:rFonts w:hint="eastAsia" w:ascii="宋体" w:hAnsi="宋体"/>
                <w:b/>
                <w:bCs/>
                <w:color w:val="000000"/>
                <w:kern w:val="0"/>
                <w:szCs w:val="21"/>
              </w:rPr>
              <w:t>服务类项目验收要求</w:t>
            </w:r>
          </w:p>
        </w:tc>
      </w:tr>
      <w:tr w14:paraId="753C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74517D30">
            <w:pPr>
              <w:widowControl/>
              <w:adjustRightInd w:val="0"/>
              <w:snapToGrid w:val="0"/>
              <w:textAlignment w:val="baseline"/>
              <w:rPr>
                <w:rFonts w:ascii="宋体" w:hAnsi="宋体" w:cs="宋体"/>
                <w:color w:val="000000"/>
                <w:kern w:val="0"/>
                <w:szCs w:val="21"/>
              </w:rPr>
            </w:pPr>
            <w:r>
              <w:rPr>
                <w:rFonts w:hint="eastAsia" w:ascii="宋体" w:hAnsi="宋体"/>
                <w:b/>
                <w:color w:val="000000"/>
                <w:kern w:val="0"/>
                <w:szCs w:val="21"/>
              </w:rPr>
              <w:t>项目建设单位验收要求：</w:t>
            </w:r>
            <w:bookmarkStart w:id="10" w:name="OLE_LINK35"/>
            <w:r>
              <w:rPr>
                <w:rFonts w:hint="eastAsia" w:ascii="宋体" w:hAnsi="宋体"/>
                <w:szCs w:val="21"/>
              </w:rPr>
              <w:t>根据项目特点对服务期内的服务履约实施情况进行考核，结合考核情况和服务效果进行验收。验收报告须经国资处备案。</w:t>
            </w:r>
            <w:bookmarkEnd w:id="10"/>
          </w:p>
        </w:tc>
      </w:tr>
      <w:tr w14:paraId="4562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2CF4C624">
            <w:pPr>
              <w:widowControl/>
              <w:adjustRightInd w:val="0"/>
              <w:snapToGrid w:val="0"/>
              <w:textAlignment w:val="baseline"/>
              <w:rPr>
                <w:rFonts w:ascii="宋体" w:hAnsi="宋体" w:cs="宋体"/>
                <w:color w:val="000000"/>
                <w:kern w:val="0"/>
                <w:szCs w:val="21"/>
              </w:rPr>
            </w:pPr>
            <w:r>
              <w:rPr>
                <w:rFonts w:hint="eastAsia" w:ascii="宋体" w:hAnsi="宋体"/>
                <w:b/>
                <w:color w:val="000000"/>
                <w:kern w:val="0"/>
                <w:szCs w:val="21"/>
              </w:rPr>
              <w:t>学校验收备案要求：</w:t>
            </w:r>
            <w:r>
              <w:rPr>
                <w:rFonts w:hint="eastAsia" w:ascii="宋体" w:hAnsi="宋体"/>
                <w:bCs/>
                <w:color w:val="000000"/>
                <w:kern w:val="0"/>
                <w:szCs w:val="21"/>
              </w:rPr>
              <w:t>项目单位提供《学校采购服务类项目验收报告》《服务类供应商履约情况评价表》</w:t>
            </w:r>
            <w:r>
              <w:rPr>
                <w:rFonts w:hint="eastAsia" w:ascii="宋体" w:hAnsi="宋体"/>
                <w:szCs w:val="21"/>
              </w:rPr>
              <w:t>。国资处可根据项目情况采用抽查等方式进行复核。</w:t>
            </w:r>
          </w:p>
        </w:tc>
      </w:tr>
      <w:tr w14:paraId="51A8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62B84129">
            <w:pPr>
              <w:widowControl/>
              <w:adjustRightInd w:val="0"/>
              <w:snapToGrid w:val="0"/>
              <w:jc w:val="left"/>
              <w:textAlignment w:val="baseline"/>
              <w:rPr>
                <w:rFonts w:ascii="宋体" w:hAnsi="宋体"/>
                <w:color w:val="000000"/>
                <w:kern w:val="0"/>
                <w:szCs w:val="21"/>
              </w:rPr>
            </w:pPr>
            <w:r>
              <w:rPr>
                <w:rFonts w:hint="eastAsia" w:ascii="宋体" w:hAnsi="宋体"/>
                <w:b/>
                <w:bCs/>
                <w:color w:val="000000"/>
                <w:kern w:val="0"/>
                <w:szCs w:val="21"/>
              </w:rPr>
              <w:t>三、除现场验收外，需提供的其他验收要求</w:t>
            </w:r>
          </w:p>
        </w:tc>
      </w:tr>
      <w:tr w14:paraId="4317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50D21A46">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w:t>
            </w:r>
            <w:r>
              <w:rPr>
                <w:rFonts w:ascii="宋体" w:hAnsi="宋体"/>
                <w:color w:val="000000"/>
                <w:kern w:val="0"/>
                <w:szCs w:val="21"/>
              </w:rPr>
              <w:t>需提供第三方检测报告</w:t>
            </w:r>
          </w:p>
        </w:tc>
        <w:tc>
          <w:tcPr>
            <w:tcW w:w="4601" w:type="dxa"/>
            <w:vAlign w:val="center"/>
          </w:tcPr>
          <w:p w14:paraId="2746C4A0">
            <w:pPr>
              <w:widowControl/>
              <w:adjustRightInd w:val="0"/>
              <w:snapToGrid w:val="0"/>
              <w:textAlignment w:val="baseline"/>
              <w:rPr>
                <w:rFonts w:ascii="宋体" w:hAnsi="宋体" w:cs="宋体"/>
                <w:color w:val="000000"/>
                <w:kern w:val="0"/>
                <w:szCs w:val="21"/>
              </w:rPr>
            </w:pPr>
          </w:p>
          <w:p w14:paraId="60F1F5C1">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hint="eastAsia" w:ascii="宋体" w:hAnsi="宋体" w:cs="宋体"/>
                <w:color w:val="000000"/>
                <w:kern w:val="0"/>
                <w:szCs w:val="21"/>
                <w:lang w:eastAsia="zh-CN"/>
              </w:rPr>
              <w:t>☑</w:t>
            </w:r>
            <w:r>
              <w:rPr>
                <w:rFonts w:ascii="宋体" w:hAnsi="宋体"/>
                <w:color w:val="000000"/>
                <w:kern w:val="0"/>
                <w:szCs w:val="21"/>
              </w:rPr>
              <w:t>否</w:t>
            </w:r>
          </w:p>
          <w:p w14:paraId="3D6DDFD4">
            <w:pPr>
              <w:widowControl/>
              <w:adjustRightInd w:val="0"/>
              <w:snapToGrid w:val="0"/>
              <w:textAlignment w:val="baseline"/>
              <w:rPr>
                <w:rFonts w:ascii="宋体" w:hAnsi="宋体"/>
                <w:color w:val="000000"/>
                <w:kern w:val="0"/>
                <w:szCs w:val="21"/>
              </w:rPr>
            </w:pPr>
          </w:p>
          <w:p w14:paraId="3B30A560">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如需提供第三方检测报告，需满足下列要求：</w:t>
            </w:r>
          </w:p>
          <w:p w14:paraId="54453A27">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ED4C1AE">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8"/>
    </w:tbl>
    <w:p w14:paraId="38F80FC0">
      <w:pPr>
        <w:adjustRightInd w:val="0"/>
        <w:snapToGrid w:val="0"/>
        <w:spacing w:line="360" w:lineRule="auto"/>
        <w:ind w:firstLine="440" w:firstLineChars="200"/>
        <w:rPr>
          <w:rFonts w:ascii="楷体" w:hAnsi="楷体" w:eastAsia="楷体"/>
          <w:color w:val="FF0000"/>
          <w:sz w:val="22"/>
          <w:szCs w:val="22"/>
        </w:rPr>
      </w:pPr>
    </w:p>
    <w:p w14:paraId="35F239AF">
      <w:pPr>
        <w:adjustRightInd w:val="0"/>
        <w:snapToGrid w:val="0"/>
        <w:spacing w:line="360" w:lineRule="auto"/>
        <w:ind w:firstLine="440" w:firstLineChars="200"/>
        <w:rPr>
          <w:rFonts w:ascii="楷体" w:hAnsi="楷体" w:eastAsia="楷体"/>
          <w:color w:val="FF0000"/>
          <w:sz w:val="22"/>
          <w:szCs w:val="22"/>
        </w:rPr>
      </w:pPr>
    </w:p>
    <w:p w14:paraId="793C7502">
      <w:pPr>
        <w:adjustRightInd w:val="0"/>
        <w:snapToGrid w:val="0"/>
        <w:spacing w:line="360" w:lineRule="auto"/>
        <w:ind w:firstLine="420" w:firstLineChars="200"/>
      </w:pPr>
    </w:p>
    <w:sectPr>
      <w:footerReference r:id="rId3"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A28B">
    <w:pPr>
      <w:pStyle w:val="7"/>
      <w:jc w:val="center"/>
    </w:pPr>
    <w:r>
      <w:fldChar w:fldCharType="begin"/>
    </w:r>
    <w:r>
      <w:instrText xml:space="preserve">PAGE   \* MERGEFORMAT</w:instrText>
    </w:r>
    <w:r>
      <w:fldChar w:fldCharType="separate"/>
    </w:r>
    <w:r>
      <w:rPr>
        <w:lang w:val="zh-CN"/>
      </w:rPr>
      <w:t>5</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A6CF13"/>
    <w:multiLevelType w:val="singleLevel"/>
    <w:tmpl w:val="27A6CF13"/>
    <w:lvl w:ilvl="0" w:tentative="0">
      <w:start w:val="1"/>
      <w:numFmt w:val="decimal"/>
      <w:suff w:val="space"/>
      <w:lvlText w:val="%1."/>
      <w:lvlJc w:val="left"/>
    </w:lvl>
  </w:abstractNum>
  <w:abstractNum w:abstractNumId="1">
    <w:nsid w:val="75059FD3"/>
    <w:multiLevelType w:val="singleLevel"/>
    <w:tmpl w:val="75059FD3"/>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11D6102A"/>
    <w:rsid w:val="1BC72B84"/>
    <w:rsid w:val="34D6203C"/>
    <w:rsid w:val="4FAF6015"/>
    <w:rsid w:val="6ADC6A19"/>
    <w:rsid w:val="758A56CF"/>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9"/>
    <w:semiHidden/>
    <w:unhideWhenUsed/>
    <w:uiPriority w:val="99"/>
    <w:pPr>
      <w:jc w:val="left"/>
    </w:pPr>
  </w:style>
  <w:style w:type="paragraph" w:styleId="4">
    <w:name w:val="Body Text Indent"/>
    <w:basedOn w:val="1"/>
    <w:semiHidden/>
    <w:unhideWhenUsed/>
    <w:qFormat/>
    <w:uiPriority w:val="99"/>
    <w:pPr>
      <w:spacing w:after="120"/>
      <w:ind w:left="420" w:leftChars="200"/>
    </w:pPr>
  </w:style>
  <w:style w:type="paragraph" w:styleId="5">
    <w:name w:val="Plain Text"/>
    <w:basedOn w:val="1"/>
    <w:link w:val="19"/>
    <w:qFormat/>
    <w:uiPriority w:val="0"/>
    <w:rPr>
      <w:rFonts w:ascii="宋体" w:hAnsi="Courier New" w:cstheme="minorBidi"/>
      <w:szCs w:val="22"/>
    </w:rPr>
  </w:style>
  <w:style w:type="paragraph" w:styleId="6">
    <w:name w:val="Balloon Text"/>
    <w:basedOn w:val="1"/>
    <w:link w:val="27"/>
    <w:semiHidden/>
    <w:unhideWhenUsed/>
    <w:qFormat/>
    <w:uiPriority w:val="99"/>
    <w:rPr>
      <w:sz w:val="18"/>
      <w:szCs w:val="18"/>
    </w:rPr>
  </w:style>
  <w:style w:type="paragraph" w:styleId="7">
    <w:name w:val="footer"/>
    <w:basedOn w:val="1"/>
    <w:link w:val="20"/>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8">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link w:val="21"/>
    <w:qFormat/>
    <w:uiPriority w:val="0"/>
    <w:pPr>
      <w:spacing w:before="240" w:after="60"/>
      <w:jc w:val="center"/>
      <w:outlineLvl w:val="0"/>
    </w:pPr>
    <w:rPr>
      <w:rFonts w:ascii="Arial" w:hAnsi="Arial" w:cs="Arial"/>
      <w:b/>
      <w:bCs/>
      <w:sz w:val="32"/>
      <w:szCs w:val="32"/>
    </w:rPr>
  </w:style>
  <w:style w:type="paragraph" w:styleId="10">
    <w:name w:val="annotation subject"/>
    <w:basedOn w:val="3"/>
    <w:next w:val="3"/>
    <w:link w:val="30"/>
    <w:semiHidden/>
    <w:unhideWhenUsed/>
    <w:qFormat/>
    <w:uiPriority w:val="99"/>
    <w:rPr>
      <w:b/>
      <w:bCs/>
    </w:rPr>
  </w:style>
  <w:style w:type="paragraph" w:styleId="11">
    <w:name w:val="Body Text First Indent 2"/>
    <w:basedOn w:val="4"/>
    <w:unhideWhenUsed/>
    <w:qFormat/>
    <w:uiPriority w:val="99"/>
    <w:pPr>
      <w:ind w:firstLine="420"/>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Emphasis"/>
    <w:basedOn w:val="14"/>
    <w:qFormat/>
    <w:uiPriority w:val="20"/>
    <w:rPr>
      <w:i/>
      <w:iCs/>
    </w:rPr>
  </w:style>
  <w:style w:type="character" w:styleId="17">
    <w:name w:val="Hyperlink"/>
    <w:basedOn w:val="14"/>
    <w:semiHidden/>
    <w:unhideWhenUsed/>
    <w:qFormat/>
    <w:uiPriority w:val="99"/>
    <w:rPr>
      <w:color w:val="0000FF"/>
      <w:u w:val="single"/>
    </w:rPr>
  </w:style>
  <w:style w:type="character" w:styleId="18">
    <w:name w:val="annotation reference"/>
    <w:basedOn w:val="14"/>
    <w:semiHidden/>
    <w:unhideWhenUsed/>
    <w:qFormat/>
    <w:uiPriority w:val="99"/>
    <w:rPr>
      <w:sz w:val="21"/>
      <w:szCs w:val="21"/>
    </w:rPr>
  </w:style>
  <w:style w:type="character" w:customStyle="1" w:styleId="19">
    <w:name w:val="纯文本 字符"/>
    <w:link w:val="5"/>
    <w:uiPriority w:val="0"/>
    <w:rPr>
      <w:rFonts w:ascii="宋体" w:hAnsi="Courier New" w:eastAsia="宋体"/>
    </w:rPr>
  </w:style>
  <w:style w:type="character" w:customStyle="1" w:styleId="20">
    <w:name w:val="页脚 字符"/>
    <w:link w:val="7"/>
    <w:qFormat/>
    <w:uiPriority w:val="0"/>
    <w:rPr>
      <w:sz w:val="18"/>
    </w:rPr>
  </w:style>
  <w:style w:type="character" w:customStyle="1" w:styleId="21">
    <w:name w:val="标题 字符"/>
    <w:link w:val="9"/>
    <w:qFormat/>
    <w:uiPriority w:val="0"/>
    <w:rPr>
      <w:rFonts w:ascii="Arial" w:hAnsi="Arial" w:eastAsia="宋体" w:cs="Arial"/>
      <w:b/>
      <w:bCs/>
      <w:sz w:val="32"/>
      <w:szCs w:val="32"/>
    </w:rPr>
  </w:style>
  <w:style w:type="character" w:customStyle="1" w:styleId="22">
    <w:name w:val="页脚 Char"/>
    <w:basedOn w:val="14"/>
    <w:semiHidden/>
    <w:qFormat/>
    <w:uiPriority w:val="99"/>
    <w:rPr>
      <w:rFonts w:ascii="Times New Roman" w:hAnsi="Times New Roman" w:eastAsia="宋体" w:cs="Times New Roman"/>
      <w:sz w:val="18"/>
      <w:szCs w:val="18"/>
    </w:rPr>
  </w:style>
  <w:style w:type="character" w:customStyle="1" w:styleId="23">
    <w:name w:val="标题 Char"/>
    <w:basedOn w:val="14"/>
    <w:qFormat/>
    <w:uiPriority w:val="10"/>
    <w:rPr>
      <w:rFonts w:eastAsia="宋体" w:asciiTheme="majorHAnsi" w:hAnsiTheme="majorHAnsi" w:cstheme="majorBidi"/>
      <w:b/>
      <w:bCs/>
      <w:sz w:val="32"/>
      <w:szCs w:val="32"/>
    </w:rPr>
  </w:style>
  <w:style w:type="character" w:customStyle="1" w:styleId="24">
    <w:name w:val="纯文本 Char"/>
    <w:basedOn w:val="14"/>
    <w:semiHidden/>
    <w:qFormat/>
    <w:uiPriority w:val="99"/>
    <w:rPr>
      <w:rFonts w:ascii="宋体" w:hAnsi="Courier New" w:eastAsia="宋体" w:cs="Courier New"/>
      <w:szCs w:val="21"/>
    </w:rPr>
  </w:style>
  <w:style w:type="character" w:customStyle="1" w:styleId="25">
    <w:name w:val="页眉 字符"/>
    <w:basedOn w:val="14"/>
    <w:link w:val="8"/>
    <w:qFormat/>
    <w:uiPriority w:val="99"/>
    <w:rPr>
      <w:rFonts w:ascii="Times New Roman" w:hAnsi="Times New Roman" w:eastAsia="宋体" w:cs="Times New Roman"/>
      <w:sz w:val="18"/>
      <w:szCs w:val="18"/>
    </w:rPr>
  </w:style>
  <w:style w:type="paragraph" w:styleId="26">
    <w:name w:val="List Paragraph"/>
    <w:basedOn w:val="1"/>
    <w:qFormat/>
    <w:uiPriority w:val="34"/>
    <w:pPr>
      <w:ind w:firstLine="420" w:firstLineChars="200"/>
    </w:pPr>
  </w:style>
  <w:style w:type="character" w:customStyle="1" w:styleId="27">
    <w:name w:val="批注框文本 字符"/>
    <w:basedOn w:val="14"/>
    <w:link w:val="6"/>
    <w:semiHidden/>
    <w:qFormat/>
    <w:uiPriority w:val="99"/>
    <w:rPr>
      <w:rFonts w:ascii="Times New Roman" w:hAnsi="Times New Roman" w:eastAsia="宋体" w:cs="Times New Roman"/>
      <w:sz w:val="18"/>
      <w:szCs w:val="18"/>
    </w:rPr>
  </w:style>
  <w:style w:type="paragraph" w:customStyle="1" w:styleId="28">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character" w:customStyle="1" w:styleId="29">
    <w:name w:val="批注文字 字符"/>
    <w:basedOn w:val="14"/>
    <w:link w:val="3"/>
    <w:semiHidden/>
    <w:qFormat/>
    <w:uiPriority w:val="99"/>
    <w:rPr>
      <w:rFonts w:ascii="Times New Roman" w:hAnsi="Times New Roman" w:eastAsia="宋体" w:cs="Times New Roman"/>
      <w:kern w:val="2"/>
      <w:sz w:val="21"/>
    </w:rPr>
  </w:style>
  <w:style w:type="character" w:customStyle="1" w:styleId="30">
    <w:name w:val="批注主题 字符"/>
    <w:basedOn w:val="29"/>
    <w:link w:val="10"/>
    <w:semiHidden/>
    <w:qFormat/>
    <w:uiPriority w:val="99"/>
    <w:rPr>
      <w:rFonts w:ascii="Times New Roman" w:hAnsi="Times New Roman" w:eastAsia="宋体" w:cs="Times New Roman"/>
      <w:b/>
      <w:bCs/>
      <w:kern w:val="2"/>
      <w:sz w:val="21"/>
    </w:rPr>
  </w:style>
  <w:style w:type="paragraph" w:customStyle="1" w:styleId="31">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7640</Words>
  <Characters>7891</Characters>
  <Lines>37</Lines>
  <Paragraphs>10</Paragraphs>
  <TotalTime>1</TotalTime>
  <ScaleCrop>false</ScaleCrop>
  <LinksUpToDate>false</LinksUpToDate>
  <CharactersWithSpaces>7984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2021-03-17T07:37:00Z</dcterms:created>
  <dc:creator>User</dc:creator>
  <cp:lastModifiedBy>张     帆</cp:lastModifiedBy>
  <dcterms:modified xsi:type="dcterms:W3CDTF">2026-05-24T06:06:03Z</dcterms:modified>
  <cp:revision>708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2145737C5C49469AB3931202656F0226_13</vt:lpwstr>
  </property>
  <property fmtid="{D5CDD505-2E9C-101B-9397-08002B2CF9AE}" pid="4" name="KSOTemplateDocerSaveRecord">
    <vt:lpwstr>eyJoZGlkIjoiYWVhNjBmZDQyNmI2MGZkYmY1ZjAyY2ZkOTMxYzBkMDkiLCJ1c2VySWQiOiI2NTIyNzU2NTYifQ==</vt:lpwstr>
  </property>
</Properties>
</file>