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75E9C0">
      <w:pPr>
        <w:pStyle w:val="27"/>
        <w:spacing w:before="312" w:beforeLines="100" w:after="156" w:afterLines="50" w:line="300" w:lineRule="auto"/>
        <w:jc w:val="center"/>
        <w:rPr>
          <w:rFonts w:ascii="黑体" w:hAnsi="黑体" w:eastAsia="黑体"/>
          <w:sz w:val="36"/>
        </w:rPr>
      </w:pPr>
      <w:bookmarkStart w:id="0" w:name="_Toc38367762"/>
      <w:r>
        <w:rPr>
          <w:rFonts w:hint="eastAsia" w:ascii="黑体" w:hAnsi="黑体" w:eastAsia="黑体"/>
          <w:sz w:val="36"/>
        </w:rPr>
        <w:t>【绿色化工与新材料研究院多媒体系统设备采购项目】</w:t>
      </w:r>
      <w:r>
        <w:rPr>
          <w:rFonts w:ascii="黑体" w:hAnsi="黑体" w:eastAsia="黑体"/>
          <w:sz w:val="36"/>
        </w:rPr>
        <w:t>采购需求</w:t>
      </w:r>
      <w:bookmarkEnd w:id="0"/>
    </w:p>
    <w:p w14:paraId="22D31246">
      <w:pPr>
        <w:tabs>
          <w:tab w:val="left" w:pos="900"/>
        </w:tabs>
        <w:spacing w:line="300" w:lineRule="auto"/>
        <w:rPr>
          <w:rFonts w:ascii="微软雅黑" w:hAnsi="微软雅黑" w:eastAsia="微软雅黑"/>
          <w:b/>
          <w:sz w:val="24"/>
          <w:szCs w:val="24"/>
        </w:rPr>
      </w:pPr>
      <w:bookmarkStart w:id="1" w:name="_Toc172360661"/>
      <w:bookmarkStart w:id="2" w:name="_Toc158978330"/>
      <w:bookmarkStart w:id="3" w:name="_Toc219271393"/>
      <w:r>
        <w:rPr>
          <w:rFonts w:hint="eastAsia" w:ascii="微软雅黑" w:hAnsi="微软雅黑" w:eastAsia="微软雅黑"/>
          <w:b/>
          <w:sz w:val="24"/>
          <w:szCs w:val="24"/>
        </w:rPr>
        <w:t>一、</w:t>
      </w:r>
      <w:r>
        <w:rPr>
          <w:rFonts w:ascii="微软雅黑" w:hAnsi="微软雅黑" w:eastAsia="微软雅黑"/>
          <w:b/>
          <w:sz w:val="24"/>
          <w:szCs w:val="24"/>
        </w:rPr>
        <w:t>采购</w:t>
      </w:r>
      <w:r>
        <w:rPr>
          <w:rFonts w:hint="eastAsia" w:ascii="微软雅黑" w:hAnsi="微软雅黑" w:eastAsia="微软雅黑"/>
          <w:b/>
          <w:sz w:val="24"/>
          <w:szCs w:val="24"/>
        </w:rPr>
        <w:t>标的</w:t>
      </w:r>
      <w:r>
        <w:rPr>
          <w:rFonts w:ascii="微软雅黑" w:hAnsi="微软雅黑" w:eastAsia="微软雅黑"/>
          <w:b/>
          <w:sz w:val="24"/>
          <w:szCs w:val="24"/>
        </w:rPr>
        <w:t>需实现的功能或者目标，以及为落实政府采购政策需满足的要求</w:t>
      </w:r>
    </w:p>
    <w:p w14:paraId="1670CF4A">
      <w:pPr>
        <w:tabs>
          <w:tab w:val="left" w:pos="900"/>
        </w:tabs>
        <w:spacing w:line="300" w:lineRule="auto"/>
        <w:rPr>
          <w:b/>
          <w:szCs w:val="21"/>
        </w:rPr>
      </w:pPr>
      <w:bookmarkStart w:id="4" w:name="OLE_LINK3"/>
      <w:bookmarkStart w:id="5" w:name="OLE_LINK4"/>
      <w:r>
        <w:rPr>
          <w:rFonts w:hAnsi="宋体"/>
          <w:b/>
          <w:szCs w:val="21"/>
        </w:rPr>
        <w:t>（</w:t>
      </w:r>
      <w:bookmarkStart w:id="6" w:name="OLE_LINK1"/>
      <w:bookmarkStart w:id="7" w:name="OLE_LINK2"/>
      <w:r>
        <w:rPr>
          <w:rFonts w:hAnsi="宋体"/>
          <w:b/>
          <w:szCs w:val="21"/>
        </w:rPr>
        <w:t>一）采购</w:t>
      </w:r>
      <w:r>
        <w:rPr>
          <w:rFonts w:hint="eastAsia" w:hAnsi="宋体"/>
          <w:b/>
          <w:szCs w:val="21"/>
        </w:rPr>
        <w:t>标的</w:t>
      </w:r>
      <w:r>
        <w:rPr>
          <w:rFonts w:hAnsi="宋体"/>
          <w:b/>
          <w:szCs w:val="21"/>
        </w:rPr>
        <w:t>需实现的功能或者目标</w:t>
      </w:r>
    </w:p>
    <w:p w14:paraId="78202A7B">
      <w:pPr>
        <w:tabs>
          <w:tab w:val="left" w:pos="900"/>
        </w:tabs>
        <w:spacing w:line="300" w:lineRule="auto"/>
        <w:ind w:firstLine="420" w:firstLineChars="200"/>
        <w:rPr>
          <w:rFonts w:hAnsi="宋体"/>
          <w:szCs w:val="24"/>
        </w:rPr>
      </w:pPr>
      <w:r>
        <w:rPr>
          <w:rFonts w:hAnsi="宋体"/>
          <w:szCs w:val="24"/>
        </w:rPr>
        <w:t>本项目聚焦绿色化工与新材料研究院作为高校科研机构的学术交流、科研协作与日常管理实际需求，系统规划并实施会议多媒体设备配套建设，旨在全面提升研究院学术会议与行政办公的硬件支撑能力，为高水平学术研讨、科研项目论证、国际合作交流及内部工作部署提供稳定、高效、智能化的技术保障。</w:t>
      </w:r>
    </w:p>
    <w:p w14:paraId="050AAFC4">
      <w:pPr>
        <w:tabs>
          <w:tab w:val="left" w:pos="900"/>
        </w:tabs>
        <w:spacing w:line="300" w:lineRule="auto"/>
        <w:ind w:firstLine="420" w:firstLineChars="200"/>
        <w:rPr>
          <w:rFonts w:hAnsi="宋体"/>
          <w:szCs w:val="24"/>
        </w:rPr>
      </w:pPr>
      <w:r>
        <w:rPr>
          <w:rFonts w:hAnsi="宋体"/>
          <w:szCs w:val="24"/>
        </w:rPr>
        <w:t>在会议多媒体设备设施建设方面，项目立足研究院多类型会议场景（包括大型学术报告会、国际视频研讨会、课题组组会、项目评审答辩、保密专题会议及日常行政例会），部署全链条智能会务硬件系统。最终建成集高清显示系统、专业音频拾音与扩声系统、远程协同与视频会议系统、智能信号切换与中央控制系统、影音录制与直播系统及辅助配套设备于一体的综合会务系统，实现各类设备有机集成、统一管控与协同联动，全面适配研究院多元化会议使用需求。</w:t>
      </w:r>
    </w:p>
    <w:p w14:paraId="0605A815">
      <w:pPr>
        <w:tabs>
          <w:tab w:val="left" w:pos="900"/>
        </w:tabs>
        <w:spacing w:line="300" w:lineRule="auto"/>
        <w:ind w:firstLine="420" w:firstLineChars="200"/>
        <w:rPr>
          <w:rFonts w:hAnsi="宋体"/>
          <w:szCs w:val="24"/>
        </w:rPr>
      </w:pPr>
      <w:r>
        <w:rPr>
          <w:rFonts w:hAnsi="宋体"/>
          <w:szCs w:val="24"/>
        </w:rPr>
        <w:t>在项目安装调试方面，全面拆除会场原有多媒体及配套设备，清理现场原有设备设施。同时结合研究院会议场景功能需求、空间布局及智能化建设标准，重新科学规划各类新设备的安装点位，优化设备排布方案。依据弱电安装规范开展系统化、规范化布线作业，规避线路杂乱、信号干扰等问题，保障设备运行稳定性与后期运维便捷性。同步配套改造会场顶面、地面相关基础设施，适配新设备安装、线路铺设及整体智能化会务系统落地需求，实现会场硬件环境的整体升级优化。</w:t>
      </w:r>
    </w:p>
    <w:p w14:paraId="220DD1BF">
      <w:pPr>
        <w:tabs>
          <w:tab w:val="left" w:pos="900"/>
        </w:tabs>
        <w:spacing w:line="300" w:lineRule="auto"/>
        <w:ind w:firstLine="420" w:firstLineChars="200"/>
        <w:rPr>
          <w:rFonts w:hAnsi="宋体"/>
          <w:szCs w:val="24"/>
        </w:rPr>
      </w:pPr>
      <w:r>
        <w:rPr>
          <w:rFonts w:hAnsi="宋体"/>
          <w:szCs w:val="24"/>
        </w:rPr>
        <w:t>项目建成后，研究院整体会议环境将实现设备智能化、操作便捷化与场景适配化，全面满足科研团队在学术交流、项目研讨、人才培养及对外合作中的多元需求，有力支撑研究院教学科研工作的规范化、高效化与现代化发展，为提升研究院在绿色化工与新材料领域的学术影响力与协同创新能力奠定坚实的硬件基础。</w:t>
      </w:r>
      <w:bookmarkEnd w:id="4"/>
      <w:bookmarkEnd w:id="5"/>
    </w:p>
    <w:bookmarkEnd w:id="6"/>
    <w:bookmarkEnd w:id="7"/>
    <w:p w14:paraId="69751DEF">
      <w:pPr>
        <w:tabs>
          <w:tab w:val="left" w:pos="900"/>
        </w:tabs>
        <w:spacing w:line="300" w:lineRule="auto"/>
        <w:rPr>
          <w:b/>
          <w:szCs w:val="21"/>
        </w:rPr>
      </w:pPr>
      <w:r>
        <w:rPr>
          <w:rFonts w:hAnsi="宋体"/>
          <w:b/>
          <w:szCs w:val="21"/>
        </w:rPr>
        <w:t>（二）为落实政府采购政策需满足的要求</w:t>
      </w:r>
    </w:p>
    <w:p w14:paraId="4D0A408D">
      <w:pPr>
        <w:tabs>
          <w:tab w:val="left" w:pos="900"/>
        </w:tabs>
        <w:spacing w:line="300" w:lineRule="auto"/>
        <w:ind w:firstLine="420" w:firstLineChars="200"/>
        <w:rPr>
          <w:rFonts w:hAnsi="宋体"/>
          <w:szCs w:val="21"/>
        </w:rPr>
      </w:pPr>
      <w:r>
        <w:rPr>
          <w:rFonts w:hint="eastAsia" w:hAnsi="宋体"/>
          <w:szCs w:val="24"/>
        </w:rPr>
        <w:t>1</w:t>
      </w:r>
      <w:r>
        <w:rPr>
          <w:rFonts w:hAnsi="宋体"/>
          <w:szCs w:val="24"/>
        </w:rPr>
        <w:t>. 根据</w:t>
      </w:r>
      <w:r>
        <w:rPr>
          <w:rFonts w:hAnsi="宋体"/>
        </w:rPr>
        <w:t>《政府采购促进中小企业发展管理办法》</w:t>
      </w:r>
      <w:r>
        <w:rPr>
          <w:rFonts w:hint="eastAsia" w:hAnsi="宋体"/>
        </w:rPr>
        <w:t>（财库【2</w:t>
      </w:r>
      <w:r>
        <w:rPr>
          <w:rFonts w:hAnsi="宋体"/>
        </w:rPr>
        <w:t>020</w:t>
      </w:r>
      <w:r>
        <w:rPr>
          <w:rFonts w:hint="eastAsia" w:hAnsi="宋体"/>
        </w:rPr>
        <w:t>】4</w:t>
      </w:r>
      <w:r>
        <w:rPr>
          <w:rFonts w:hAnsi="宋体"/>
        </w:rPr>
        <w:t>6</w:t>
      </w:r>
      <w:r>
        <w:rPr>
          <w:rFonts w:hint="eastAsia" w:hAnsi="宋体"/>
        </w:rPr>
        <w:t>号）</w:t>
      </w:r>
      <w:r>
        <w:rPr>
          <w:rFonts w:hAnsi="宋体"/>
        </w:rPr>
        <w:t>规定，本项目</w:t>
      </w:r>
      <w:r>
        <w:rPr>
          <w:rFonts w:hint="eastAsia" w:hAnsi="宋体"/>
        </w:rPr>
        <w:t>采购标的</w:t>
      </w:r>
      <w:r>
        <w:rPr>
          <w:rFonts w:hAnsi="宋体"/>
        </w:rPr>
        <w:t>为</w:t>
      </w:r>
      <w:r>
        <w:rPr>
          <w:rFonts w:hint="eastAsia" w:hAnsi="宋体"/>
        </w:rPr>
        <w:t>中小</w:t>
      </w:r>
      <w:r>
        <w:rPr>
          <w:rFonts w:hAnsi="宋体"/>
        </w:rPr>
        <w:t>型企业</w:t>
      </w:r>
      <w:r>
        <w:rPr>
          <w:rFonts w:hint="eastAsia" w:hAnsi="宋体"/>
        </w:rPr>
        <w:t>制造、承建或承接</w:t>
      </w:r>
      <w:r>
        <w:rPr>
          <w:rFonts w:hAnsi="宋体"/>
          <w:szCs w:val="24"/>
        </w:rPr>
        <w:t>的，</w:t>
      </w:r>
      <w:r>
        <w:rPr>
          <w:rFonts w:hAnsi="宋体"/>
        </w:rPr>
        <w:t>投标人应</w:t>
      </w:r>
      <w:r>
        <w:rPr>
          <w:rFonts w:hint="eastAsia" w:hAnsi="宋体"/>
        </w:rPr>
        <w:t>提供办法规定的</w:t>
      </w:r>
      <w:r>
        <w:rPr>
          <w:rFonts w:hAnsi="宋体"/>
          <w:szCs w:val="21"/>
        </w:rPr>
        <w:t>《中小企业声明函》</w:t>
      </w:r>
      <w:r>
        <w:rPr>
          <w:rFonts w:hint="eastAsia" w:hAnsi="宋体"/>
          <w:szCs w:val="21"/>
        </w:rPr>
        <w:t>，否则不得享受相关中小企业扶持政策</w:t>
      </w:r>
      <w:r>
        <w:rPr>
          <w:rFonts w:hAnsi="宋体"/>
          <w:szCs w:val="24"/>
        </w:rPr>
        <w:t>。投标人应对提交的中小企业声明函的真实性负责，提交的中小企业声明函不真实的，应承担相应的法律责任</w:t>
      </w:r>
      <w:r>
        <w:rPr>
          <w:rFonts w:hAnsi="宋体"/>
          <w:szCs w:val="21"/>
        </w:rPr>
        <w:t>。</w:t>
      </w:r>
    </w:p>
    <w:p w14:paraId="1D5B3C30">
      <w:pPr>
        <w:tabs>
          <w:tab w:val="left" w:pos="900"/>
        </w:tabs>
        <w:spacing w:line="300" w:lineRule="auto"/>
        <w:ind w:firstLine="420" w:firstLineChars="200"/>
        <w:rPr>
          <w:rFonts w:hAnsi="宋体"/>
          <w:color w:val="FF0000"/>
          <w:szCs w:val="24"/>
        </w:rPr>
      </w:pPr>
      <w:r>
        <w:rPr>
          <w:rFonts w:hint="eastAsia" w:hAnsi="宋体"/>
          <w:szCs w:val="24"/>
        </w:rPr>
        <w:t>本项目采购标的对应的《中小企业划型标准规定》所属行业为：</w:t>
      </w:r>
      <w:r>
        <w:rPr>
          <w:rFonts w:hint="eastAsia" w:hAnsi="宋体"/>
          <w:szCs w:val="24"/>
          <w:u w:val="single"/>
        </w:rPr>
        <w:t xml:space="preserve"> </w:t>
      </w:r>
      <w:r>
        <w:rPr>
          <w:rFonts w:hAnsi="宋体"/>
          <w:szCs w:val="24"/>
          <w:u w:val="single"/>
        </w:rPr>
        <w:t xml:space="preserve"> </w:t>
      </w:r>
      <w:r>
        <w:rPr>
          <w:rFonts w:hint="eastAsia" w:hAnsi="宋体"/>
          <w:szCs w:val="24"/>
          <w:u w:val="single"/>
        </w:rPr>
        <w:t>工业</w:t>
      </w:r>
      <w:r>
        <w:rPr>
          <w:rFonts w:hAnsi="宋体"/>
          <w:szCs w:val="24"/>
          <w:u w:val="single"/>
        </w:rPr>
        <w:t xml:space="preserve">  </w:t>
      </w:r>
      <w:r>
        <w:rPr>
          <w:rFonts w:hint="eastAsia" w:hAnsi="宋体"/>
          <w:szCs w:val="24"/>
        </w:rPr>
        <w:t>。</w:t>
      </w:r>
    </w:p>
    <w:p w14:paraId="5020C48B">
      <w:pPr>
        <w:tabs>
          <w:tab w:val="left" w:pos="900"/>
        </w:tabs>
        <w:spacing w:line="300" w:lineRule="auto"/>
        <w:ind w:left="420" w:leftChars="200"/>
        <w:rPr>
          <w:rFonts w:cs="宋体" w:asciiTheme="minorEastAsia" w:hAnsiTheme="minorEastAsia"/>
          <w:b/>
          <w:kern w:val="0"/>
          <w:sz w:val="20"/>
          <w:szCs w:val="21"/>
        </w:rPr>
      </w:pPr>
      <w:r>
        <w:rPr>
          <w:rFonts w:hint="eastAsia" w:hAnsi="宋体"/>
          <w:szCs w:val="24"/>
        </w:rPr>
        <w:t>2</w:t>
      </w:r>
      <w:r>
        <w:rPr>
          <w:rFonts w:hAnsi="宋体"/>
          <w:szCs w:val="24"/>
        </w:rPr>
        <w:t>.</w:t>
      </w:r>
      <w:r>
        <w:rPr>
          <w:rFonts w:hint="eastAsia" w:cs="宋体" w:asciiTheme="minorEastAsia" w:hAnsiTheme="minorEastAsia"/>
          <w:kern w:val="0"/>
          <w:sz w:val="20"/>
          <w:szCs w:val="21"/>
        </w:rPr>
        <w:t xml:space="preserve"> </w:t>
      </w:r>
      <w:r>
        <w:rPr>
          <w:rFonts w:hint="eastAsia" w:cs="宋体" w:asciiTheme="minorEastAsia" w:hAnsiTheme="minorEastAsia"/>
          <w:b/>
          <w:kern w:val="0"/>
          <w:sz w:val="20"/>
          <w:szCs w:val="21"/>
        </w:rPr>
        <w:t>□ 本采购项目允许进口产品参加。</w:t>
      </w:r>
    </w:p>
    <w:p w14:paraId="1420F0CD">
      <w:pPr>
        <w:tabs>
          <w:tab w:val="left" w:pos="900"/>
        </w:tabs>
        <w:spacing w:line="300" w:lineRule="auto"/>
        <w:ind w:left="420" w:firstLine="201" w:firstLineChars="100"/>
        <w:rPr>
          <w:rFonts w:cs="宋体" w:asciiTheme="minorEastAsia" w:hAnsiTheme="minorEastAsia"/>
          <w:b/>
          <w:color w:val="000000"/>
          <w:kern w:val="0"/>
          <w:sz w:val="20"/>
          <w:szCs w:val="21"/>
        </w:rPr>
      </w:pPr>
      <w:r>
        <w:rPr>
          <w:rFonts w:hint="eastAsia" w:cs="宋体" w:asciiTheme="minorEastAsia" w:hAnsiTheme="minorEastAsia"/>
          <w:b/>
          <w:color w:val="000000"/>
          <w:kern w:val="0"/>
          <w:sz w:val="20"/>
          <w:szCs w:val="21"/>
        </w:rPr>
        <w:t>（说明：请项目单位根据采购实际情况在“□”中打勾（</w:t>
      </w:r>
      <w:r>
        <w:rPr>
          <w:rFonts w:hint="eastAsia" w:cs="宋体" w:asciiTheme="minorEastAsia" w:hAnsiTheme="minorEastAsia"/>
          <w:b/>
          <w:color w:val="000000"/>
          <w:kern w:val="0"/>
          <w:sz w:val="24"/>
          <w:szCs w:val="24"/>
        </w:rPr>
        <w:sym w:font="Wingdings 2" w:char="F052"/>
      </w:r>
      <w:r>
        <w:rPr>
          <w:rFonts w:hint="eastAsia" w:cs="宋体" w:asciiTheme="minorEastAsia" w:hAnsiTheme="minorEastAsia"/>
          <w:b/>
          <w:color w:val="000000"/>
          <w:kern w:val="0"/>
          <w:sz w:val="24"/>
          <w:szCs w:val="24"/>
        </w:rPr>
        <w:t>）</w:t>
      </w:r>
      <w:r>
        <w:rPr>
          <w:rFonts w:hint="eastAsia" w:cs="宋体" w:asciiTheme="minorEastAsia" w:hAnsiTheme="minorEastAsia"/>
          <w:b/>
          <w:color w:val="000000"/>
          <w:kern w:val="0"/>
          <w:sz w:val="20"/>
          <w:szCs w:val="21"/>
        </w:rPr>
        <w:t>。未进行勾选的，视为只接受本国产品参加）</w:t>
      </w:r>
    </w:p>
    <w:p w14:paraId="19FF954C">
      <w:pPr>
        <w:tabs>
          <w:tab w:val="left" w:pos="900"/>
        </w:tabs>
        <w:spacing w:line="300" w:lineRule="auto"/>
        <w:rPr>
          <w:rFonts w:ascii="微软雅黑" w:hAnsi="微软雅黑" w:eastAsia="微软雅黑"/>
          <w:b/>
          <w:sz w:val="24"/>
          <w:szCs w:val="24"/>
        </w:rPr>
      </w:pPr>
      <w:r>
        <w:rPr>
          <w:rFonts w:hint="eastAsia" w:ascii="微软雅黑" w:hAnsi="微软雅黑" w:eastAsia="微软雅黑"/>
          <w:b/>
          <w:sz w:val="24"/>
          <w:szCs w:val="24"/>
        </w:rPr>
        <w:t>二、</w:t>
      </w:r>
      <w:r>
        <w:rPr>
          <w:rFonts w:ascii="微软雅黑" w:hAnsi="微软雅黑" w:eastAsia="微软雅黑"/>
          <w:b/>
          <w:sz w:val="24"/>
          <w:szCs w:val="24"/>
        </w:rPr>
        <w:t>采购</w:t>
      </w:r>
      <w:r>
        <w:rPr>
          <w:rFonts w:hint="eastAsia" w:ascii="微软雅黑" w:hAnsi="微软雅黑" w:eastAsia="微软雅黑"/>
          <w:b/>
          <w:sz w:val="24"/>
          <w:szCs w:val="24"/>
        </w:rPr>
        <w:t>标的</w:t>
      </w:r>
      <w:r>
        <w:rPr>
          <w:rFonts w:ascii="微软雅黑" w:hAnsi="微软雅黑" w:eastAsia="微软雅黑"/>
          <w:b/>
          <w:sz w:val="24"/>
          <w:szCs w:val="24"/>
        </w:rPr>
        <w:t>需执行的国家相关标准、行业标准、地方标准或者其他标准、规范</w:t>
      </w:r>
    </w:p>
    <w:p w14:paraId="7D0F4E69">
      <w:pPr>
        <w:tabs>
          <w:tab w:val="left" w:pos="900"/>
        </w:tabs>
        <w:spacing w:line="300" w:lineRule="auto"/>
        <w:ind w:firstLine="420" w:firstLineChars="200"/>
        <w:rPr>
          <w:szCs w:val="21"/>
        </w:rPr>
      </w:pPr>
      <w:r>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所提供的产品应主要遵循如下最新技术标准和规范：</w:t>
      </w:r>
    </w:p>
    <w:p w14:paraId="499B2BEF">
      <w:pPr>
        <w:tabs>
          <w:tab w:val="left" w:pos="900"/>
        </w:tabs>
        <w:spacing w:line="300" w:lineRule="auto"/>
        <w:ind w:firstLine="420" w:firstLineChars="200"/>
        <w:rPr>
          <w:szCs w:val="21"/>
        </w:rPr>
      </w:pPr>
      <w:bookmarkStart w:id="8" w:name="OLE_LINK7"/>
      <w:r>
        <w:rPr>
          <w:rFonts w:hint="eastAsia"/>
          <w:szCs w:val="21"/>
        </w:rPr>
        <w:t>1、执行标准</w:t>
      </w:r>
    </w:p>
    <w:bookmarkEnd w:id="8"/>
    <w:p w14:paraId="31D71AD3">
      <w:pPr>
        <w:tabs>
          <w:tab w:val="left" w:pos="900"/>
        </w:tabs>
        <w:spacing w:line="300" w:lineRule="auto"/>
        <w:ind w:firstLine="420" w:firstLineChars="200"/>
        <w:rPr>
          <w:szCs w:val="21"/>
        </w:rPr>
      </w:pPr>
      <w:r>
        <w:rPr>
          <w:rFonts w:hint="eastAsia"/>
          <w:szCs w:val="21"/>
        </w:rPr>
        <w:t>GB 4943.1-2022 《音视频、信息技术和通信技术设备 第 1 部分：安全要求》</w:t>
      </w:r>
    </w:p>
    <w:p w14:paraId="791894FD">
      <w:pPr>
        <w:tabs>
          <w:tab w:val="left" w:pos="900"/>
        </w:tabs>
        <w:spacing w:line="300" w:lineRule="auto"/>
        <w:ind w:firstLine="420" w:firstLineChars="200"/>
        <w:rPr>
          <w:rFonts w:hint="eastAsia"/>
          <w:szCs w:val="21"/>
        </w:rPr>
      </w:pPr>
      <w:r>
        <w:rPr>
          <w:rFonts w:hint="eastAsia"/>
          <w:szCs w:val="21"/>
        </w:rPr>
        <w:t>GB/T 26572‑2011《电子电气产品有害物质限制使用限量》</w:t>
      </w:r>
    </w:p>
    <w:p w14:paraId="6ABC6EFA">
      <w:pPr>
        <w:tabs>
          <w:tab w:val="left" w:pos="900"/>
        </w:tabs>
        <w:spacing w:line="300" w:lineRule="auto"/>
        <w:ind w:firstLine="420" w:firstLineChars="200"/>
        <w:rPr>
          <w:szCs w:val="21"/>
        </w:rPr>
      </w:pPr>
      <w:bookmarkStart w:id="10" w:name="_GoBack"/>
      <w:bookmarkEnd w:id="10"/>
      <w:r>
        <w:rPr>
          <w:rFonts w:hint="eastAsia"/>
          <w:szCs w:val="21"/>
        </w:rPr>
        <w:t>GB/T 9254.1-2021 《信息技术设备、多媒体设备和接收机 电磁兼容 第 1 部分：发射要求》</w:t>
      </w:r>
    </w:p>
    <w:p w14:paraId="59FA5E56">
      <w:pPr>
        <w:tabs>
          <w:tab w:val="left" w:pos="900"/>
        </w:tabs>
        <w:spacing w:line="300" w:lineRule="auto"/>
        <w:ind w:firstLine="420" w:firstLineChars="200"/>
        <w:rPr>
          <w:szCs w:val="21"/>
        </w:rPr>
      </w:pPr>
      <w:r>
        <w:rPr>
          <w:rFonts w:hint="eastAsia"/>
          <w:szCs w:val="21"/>
        </w:rPr>
        <w:t>GB/T 9254.2-2021 《信息技术设备、多媒体设备和接收机 电磁兼容 第 2 部分：抗扰度要求》</w:t>
      </w:r>
    </w:p>
    <w:p w14:paraId="7501EA32">
      <w:pPr>
        <w:tabs>
          <w:tab w:val="left" w:pos="900"/>
        </w:tabs>
        <w:spacing w:line="300" w:lineRule="auto"/>
        <w:ind w:firstLine="420" w:firstLineChars="200"/>
        <w:rPr>
          <w:szCs w:val="21"/>
        </w:rPr>
      </w:pPr>
      <w:r>
        <w:rPr>
          <w:rFonts w:hint="eastAsia"/>
          <w:szCs w:val="21"/>
        </w:rPr>
        <w:t>GB 17625.1-2022 《电磁兼容限值谐波电流发射限值（设备每相输入电流≤16A）》</w:t>
      </w:r>
    </w:p>
    <w:p w14:paraId="65828203">
      <w:pPr>
        <w:tabs>
          <w:tab w:val="left" w:pos="900"/>
        </w:tabs>
        <w:spacing w:line="300" w:lineRule="auto"/>
        <w:ind w:firstLine="420" w:firstLineChars="200"/>
        <w:rPr>
          <w:szCs w:val="21"/>
        </w:rPr>
      </w:pPr>
      <w:r>
        <w:rPr>
          <w:rFonts w:hint="eastAsia"/>
          <w:szCs w:val="21"/>
        </w:rPr>
        <w:t>GB/T 13837-2021 《声音和电视广播接收机及有关设备 无线电骚扰特性限值和测量方法》</w:t>
      </w:r>
    </w:p>
    <w:p w14:paraId="5AC2A50C">
      <w:pPr>
        <w:tabs>
          <w:tab w:val="left" w:pos="900"/>
        </w:tabs>
        <w:spacing w:line="300" w:lineRule="auto"/>
        <w:ind w:firstLine="420" w:firstLineChars="200"/>
        <w:rPr>
          <w:szCs w:val="21"/>
        </w:rPr>
      </w:pPr>
      <w:r>
        <w:rPr>
          <w:rFonts w:hint="eastAsia"/>
          <w:szCs w:val="21"/>
        </w:rPr>
        <w:t>GB 24850-2020 《平板电视与机顶盒能效限定值及能效等级》</w:t>
      </w:r>
    </w:p>
    <w:p w14:paraId="7842B624">
      <w:pPr>
        <w:tabs>
          <w:tab w:val="left" w:pos="900"/>
        </w:tabs>
        <w:spacing w:line="300" w:lineRule="auto"/>
        <w:ind w:firstLine="420" w:firstLineChars="200"/>
        <w:rPr>
          <w:szCs w:val="21"/>
        </w:rPr>
      </w:pPr>
      <w:r>
        <w:rPr>
          <w:rFonts w:hint="eastAsia"/>
          <w:szCs w:val="21"/>
        </w:rPr>
        <w:t>GB 21520‑2023《显示器能效限定值及能效等级》</w:t>
      </w:r>
    </w:p>
    <w:p w14:paraId="32527BCA">
      <w:pPr>
        <w:tabs>
          <w:tab w:val="left" w:pos="900"/>
        </w:tabs>
        <w:spacing w:line="300" w:lineRule="auto"/>
        <w:ind w:firstLine="420" w:firstLineChars="200"/>
        <w:rPr>
          <w:szCs w:val="21"/>
        </w:rPr>
      </w:pPr>
      <w:r>
        <w:rPr>
          <w:rFonts w:hint="eastAsia"/>
          <w:szCs w:val="21"/>
        </w:rPr>
        <w:t>GB 28380-2025 《微型计算机能效限定值及能效等级》</w:t>
      </w:r>
    </w:p>
    <w:p w14:paraId="2163BFD6">
      <w:pPr>
        <w:tabs>
          <w:tab w:val="left" w:pos="900"/>
        </w:tabs>
        <w:spacing w:line="300" w:lineRule="auto"/>
        <w:ind w:firstLine="420" w:firstLineChars="200"/>
        <w:rPr>
          <w:szCs w:val="21"/>
        </w:rPr>
      </w:pPr>
      <w:r>
        <w:rPr>
          <w:rFonts w:hint="eastAsia"/>
          <w:szCs w:val="21"/>
        </w:rPr>
        <w:t>GB/T 12060.3-2021 《声系统设备 第 3 部分：声频放大器测量方法》</w:t>
      </w:r>
    </w:p>
    <w:p w14:paraId="0AC34B37">
      <w:pPr>
        <w:tabs>
          <w:tab w:val="left" w:pos="900"/>
        </w:tabs>
        <w:spacing w:line="300" w:lineRule="auto"/>
        <w:ind w:firstLine="420" w:firstLineChars="200"/>
        <w:rPr>
          <w:szCs w:val="21"/>
        </w:rPr>
      </w:pPr>
      <w:r>
        <w:rPr>
          <w:rFonts w:hint="eastAsia"/>
          <w:szCs w:val="21"/>
        </w:rPr>
        <w:t>SJ/T 10406-2016 《声频功率放大器通用规范》</w:t>
      </w:r>
    </w:p>
    <w:p w14:paraId="012921A0">
      <w:pPr>
        <w:tabs>
          <w:tab w:val="left" w:pos="900"/>
        </w:tabs>
        <w:spacing w:line="300" w:lineRule="auto"/>
        <w:ind w:firstLine="420" w:firstLineChars="200"/>
        <w:rPr>
          <w:szCs w:val="21"/>
        </w:rPr>
      </w:pPr>
      <w:r>
        <w:rPr>
          <w:rFonts w:hint="eastAsia"/>
          <w:szCs w:val="21"/>
        </w:rPr>
        <w:t>GB/T 14471-2022 《头戴耳机通用规范》</w:t>
      </w:r>
    </w:p>
    <w:p w14:paraId="21FBA3C9">
      <w:pPr>
        <w:tabs>
          <w:tab w:val="left" w:pos="900"/>
        </w:tabs>
        <w:spacing w:line="300" w:lineRule="auto"/>
        <w:ind w:firstLine="420" w:firstLineChars="200"/>
        <w:rPr>
          <w:szCs w:val="21"/>
        </w:rPr>
      </w:pPr>
      <w:r>
        <w:rPr>
          <w:rFonts w:hint="eastAsia"/>
          <w:szCs w:val="21"/>
        </w:rPr>
        <w:t>GB/T 15644-2017 《视频投影仪通用规范》</w:t>
      </w:r>
    </w:p>
    <w:p w14:paraId="4DC71363">
      <w:pPr>
        <w:tabs>
          <w:tab w:val="left" w:pos="900"/>
        </w:tabs>
        <w:spacing w:line="300" w:lineRule="auto"/>
        <w:ind w:firstLine="420" w:firstLineChars="200"/>
        <w:rPr>
          <w:szCs w:val="21"/>
        </w:rPr>
      </w:pPr>
      <w:r>
        <w:rPr>
          <w:rFonts w:hint="eastAsia"/>
          <w:szCs w:val="21"/>
        </w:rPr>
        <w:t>GB/T 17309-2018 《电视广播接收机通用规范》</w:t>
      </w:r>
    </w:p>
    <w:p w14:paraId="693F993D">
      <w:pPr>
        <w:tabs>
          <w:tab w:val="left" w:pos="900"/>
        </w:tabs>
        <w:spacing w:line="300" w:lineRule="auto"/>
        <w:ind w:firstLine="420" w:firstLineChars="200"/>
        <w:rPr>
          <w:szCs w:val="21"/>
        </w:rPr>
      </w:pPr>
      <w:r>
        <w:rPr>
          <w:rFonts w:hint="eastAsia"/>
          <w:szCs w:val="21"/>
        </w:rPr>
        <w:t>GB/T 9002-2017 《音频、视频和视听设备及系统词汇》</w:t>
      </w:r>
    </w:p>
    <w:p w14:paraId="47E69A44">
      <w:pPr>
        <w:tabs>
          <w:tab w:val="left" w:pos="900"/>
        </w:tabs>
        <w:spacing w:line="300" w:lineRule="auto"/>
        <w:ind w:firstLine="420" w:firstLineChars="200"/>
        <w:rPr>
          <w:szCs w:val="21"/>
        </w:rPr>
      </w:pPr>
      <w:r>
        <w:rPr>
          <w:rFonts w:hint="eastAsia"/>
          <w:szCs w:val="21"/>
        </w:rPr>
        <w:t>GB/T 9813.1-2016 《台式微型计算机通用规范》</w:t>
      </w:r>
    </w:p>
    <w:p w14:paraId="74B90C20">
      <w:pPr>
        <w:tabs>
          <w:tab w:val="left" w:pos="900"/>
        </w:tabs>
        <w:spacing w:line="300" w:lineRule="auto"/>
        <w:ind w:firstLine="420" w:firstLineChars="200"/>
        <w:rPr>
          <w:szCs w:val="21"/>
        </w:rPr>
      </w:pPr>
      <w:r>
        <w:rPr>
          <w:rFonts w:hint="eastAsia"/>
          <w:szCs w:val="21"/>
        </w:rPr>
        <w:t>GB/T 35590-2017 《信息技术便携式数字设备用移动电源通用规范》</w:t>
      </w:r>
    </w:p>
    <w:p w14:paraId="7A131744">
      <w:pPr>
        <w:tabs>
          <w:tab w:val="left" w:pos="900"/>
        </w:tabs>
        <w:spacing w:line="300" w:lineRule="auto"/>
        <w:ind w:firstLine="420" w:firstLineChars="200"/>
        <w:rPr>
          <w:szCs w:val="21"/>
        </w:rPr>
      </w:pPr>
      <w:r>
        <w:rPr>
          <w:rFonts w:hint="eastAsia"/>
          <w:szCs w:val="21"/>
        </w:rPr>
        <w:t>GB/T 3956-2008 《电缆的导体》</w:t>
      </w:r>
    </w:p>
    <w:p w14:paraId="49707E6B">
      <w:pPr>
        <w:tabs>
          <w:tab w:val="left" w:pos="900"/>
        </w:tabs>
        <w:spacing w:line="300" w:lineRule="auto"/>
        <w:ind w:firstLine="420" w:firstLineChars="200"/>
        <w:rPr>
          <w:szCs w:val="21"/>
        </w:rPr>
      </w:pPr>
      <w:r>
        <w:rPr>
          <w:rFonts w:hint="eastAsia"/>
          <w:szCs w:val="21"/>
        </w:rPr>
        <w:t>YD/T 1591-2021 《移动通信终端电源适配器及充电 / 数据接口技术要求和测试方法》</w:t>
      </w:r>
    </w:p>
    <w:p w14:paraId="7BAEAC4E">
      <w:pPr>
        <w:tabs>
          <w:tab w:val="left" w:pos="900"/>
        </w:tabs>
        <w:spacing w:line="300" w:lineRule="auto"/>
        <w:ind w:firstLine="420" w:firstLineChars="200"/>
        <w:rPr>
          <w:szCs w:val="21"/>
        </w:rPr>
      </w:pPr>
      <w:r>
        <w:rPr>
          <w:rFonts w:hint="eastAsia"/>
          <w:szCs w:val="21"/>
        </w:rPr>
        <w:t>GY/T 420-2025 《超高清音视频编码码流网络传输封装技术要求》</w:t>
      </w:r>
    </w:p>
    <w:p w14:paraId="77151994">
      <w:pPr>
        <w:tabs>
          <w:tab w:val="left" w:pos="900"/>
        </w:tabs>
        <w:spacing w:line="300" w:lineRule="auto"/>
        <w:ind w:firstLine="420" w:firstLineChars="200"/>
        <w:rPr>
          <w:szCs w:val="21"/>
        </w:rPr>
      </w:pPr>
      <w:r>
        <w:rPr>
          <w:rFonts w:hint="eastAsia"/>
          <w:szCs w:val="21"/>
        </w:rPr>
        <w:t>GY/T 422-2025 《电视节目多音频传输技术规范》</w:t>
      </w:r>
    </w:p>
    <w:p w14:paraId="7C455AB8">
      <w:pPr>
        <w:tabs>
          <w:tab w:val="left" w:pos="900"/>
        </w:tabs>
        <w:spacing w:line="300" w:lineRule="auto"/>
        <w:ind w:firstLine="420" w:firstLineChars="200"/>
        <w:rPr>
          <w:szCs w:val="21"/>
        </w:rPr>
      </w:pPr>
      <w:r>
        <w:rPr>
          <w:rFonts w:hint="eastAsia"/>
          <w:szCs w:val="21"/>
        </w:rPr>
        <w:t>GY/T 425-2025 《广播级超高清摄像机技术要求和测量方法》</w:t>
      </w:r>
    </w:p>
    <w:p w14:paraId="67911790">
      <w:pPr>
        <w:tabs>
          <w:tab w:val="left" w:pos="900"/>
        </w:tabs>
        <w:spacing w:line="300" w:lineRule="auto"/>
        <w:ind w:firstLine="480" w:firstLineChars="200"/>
        <w:rPr>
          <w:rFonts w:ascii="微软雅黑" w:hAnsi="微软雅黑" w:eastAsia="微软雅黑"/>
          <w:b/>
          <w:sz w:val="24"/>
          <w:szCs w:val="24"/>
        </w:rPr>
      </w:pPr>
      <w:r>
        <w:rPr>
          <w:rFonts w:hint="eastAsia" w:ascii="微软雅黑" w:hAnsi="微软雅黑" w:eastAsia="微软雅黑"/>
          <w:b/>
          <w:sz w:val="24"/>
          <w:szCs w:val="24"/>
        </w:rPr>
        <w:t>三、采购标的概况</w:t>
      </w:r>
    </w:p>
    <w:p w14:paraId="4441E074">
      <w:pPr>
        <w:spacing w:line="300" w:lineRule="auto"/>
        <w:ind w:firstLine="420" w:firstLineChars="200"/>
        <w:rPr>
          <w:rFonts w:hAnsi="宋体"/>
          <w:szCs w:val="21"/>
        </w:rPr>
      </w:pPr>
      <w:r>
        <w:rPr>
          <w:rFonts w:hint="eastAsia" w:ascii="宋体" w:hAnsi="宋体"/>
          <w:szCs w:val="21"/>
        </w:rPr>
        <w:t>（一）采购项目名称：</w:t>
      </w:r>
      <w:r>
        <w:rPr>
          <w:rFonts w:hint="eastAsia" w:ascii="宋体" w:hAnsi="宋体"/>
          <w:szCs w:val="21"/>
          <w:u w:val="single"/>
        </w:rPr>
        <w:t xml:space="preserve"> 绿色化工与新材料研究院多媒体系统设备采购项目</w:t>
      </w:r>
      <w:r>
        <w:rPr>
          <w:rFonts w:ascii="宋体" w:hAnsi="宋体"/>
          <w:szCs w:val="21"/>
          <w:u w:val="single"/>
        </w:rPr>
        <w:t xml:space="preserve"> </w:t>
      </w:r>
    </w:p>
    <w:p w14:paraId="2E4CA69F">
      <w:pPr>
        <w:spacing w:line="300" w:lineRule="auto"/>
        <w:ind w:firstLine="420" w:firstLineChars="200"/>
        <w:rPr>
          <w:rFonts w:hAnsi="宋体"/>
          <w:szCs w:val="21"/>
          <w:u w:val="single"/>
        </w:rPr>
      </w:pPr>
      <w:r>
        <w:rPr>
          <w:rFonts w:hint="eastAsia" w:hAnsi="宋体"/>
          <w:szCs w:val="21"/>
        </w:rPr>
        <w:t>（二）采购数量及计量单位：</w:t>
      </w:r>
    </w:p>
    <w:p w14:paraId="48705EAA">
      <w:pPr>
        <w:tabs>
          <w:tab w:val="left" w:pos="900"/>
        </w:tabs>
        <w:spacing w:line="300" w:lineRule="auto"/>
        <w:ind w:firstLine="840" w:firstLineChars="400"/>
        <w:rPr>
          <w:szCs w:val="21"/>
        </w:rPr>
      </w:pPr>
      <w:r>
        <w:rPr>
          <w:rFonts w:hint="eastAsia" w:ascii="宋体" w:hAnsi="宋体"/>
          <w:szCs w:val="21"/>
          <w:u w:val="single"/>
        </w:rPr>
        <w:t>多媒体系统设备</w:t>
      </w:r>
      <w:r>
        <w:rPr>
          <w:rFonts w:hint="eastAsia"/>
          <w:szCs w:val="21"/>
        </w:rPr>
        <w:t>1批（详单见附件1）</w:t>
      </w:r>
    </w:p>
    <w:p w14:paraId="4DA0EB7E">
      <w:pPr>
        <w:spacing w:line="300" w:lineRule="auto"/>
        <w:ind w:firstLine="420" w:firstLineChars="200"/>
        <w:rPr>
          <w:rFonts w:hAnsi="宋体"/>
          <w:szCs w:val="21"/>
        </w:rPr>
      </w:pPr>
      <w:r>
        <w:rPr>
          <w:rFonts w:hint="eastAsia" w:hAnsi="宋体"/>
          <w:szCs w:val="21"/>
        </w:rPr>
        <w:t>（三）最高限价：人民币</w:t>
      </w:r>
      <w:r>
        <w:rPr>
          <w:rFonts w:hint="eastAsia" w:hAnsi="宋体"/>
          <w:szCs w:val="21"/>
          <w:u w:val="single"/>
        </w:rPr>
        <w:t xml:space="preserve"> </w:t>
      </w:r>
      <w:r>
        <w:rPr>
          <w:rFonts w:hAnsi="宋体"/>
          <w:szCs w:val="21"/>
          <w:u w:val="single"/>
        </w:rPr>
        <w:t xml:space="preserve"> 玖拾万元整   </w:t>
      </w:r>
      <w:r>
        <w:rPr>
          <w:rFonts w:hAnsi="宋体"/>
          <w:szCs w:val="21"/>
        </w:rPr>
        <w:t xml:space="preserve"> </w:t>
      </w:r>
      <w:r>
        <w:rPr>
          <w:rFonts w:hint="eastAsia" w:hAnsi="宋体"/>
          <w:szCs w:val="21"/>
        </w:rPr>
        <w:t>元。</w:t>
      </w:r>
    </w:p>
    <w:p w14:paraId="3177106C">
      <w:pPr>
        <w:spacing w:line="300" w:lineRule="auto"/>
        <w:ind w:firstLine="420" w:firstLineChars="200"/>
        <w:rPr>
          <w:szCs w:val="21"/>
        </w:rPr>
      </w:pPr>
      <w:r>
        <w:rPr>
          <w:rFonts w:hint="eastAsia" w:hAnsi="宋体"/>
          <w:szCs w:val="21"/>
        </w:rPr>
        <w:t>（四）</w:t>
      </w:r>
      <w:r>
        <w:rPr>
          <w:rFonts w:hAnsi="宋体"/>
          <w:szCs w:val="21"/>
        </w:rPr>
        <w:t>交付时间：</w:t>
      </w:r>
      <w:r>
        <w:rPr>
          <w:rFonts w:hAnsi="宋体"/>
        </w:rPr>
        <w:t>合同签订后</w:t>
      </w:r>
      <w:r>
        <w:rPr>
          <w:rFonts w:hAnsi="宋体"/>
          <w:u w:val="single"/>
        </w:rPr>
        <w:t xml:space="preserve">  15</w:t>
      </w:r>
      <w:r>
        <w:rPr>
          <w:rFonts w:hAnsi="宋体"/>
          <w:u w:val="single"/>
        </w:rPr>
        <w:tab/>
      </w:r>
      <w:r>
        <w:rPr>
          <w:rFonts w:hAnsi="宋体"/>
          <w:u w:val="single"/>
        </w:rPr>
        <w:t xml:space="preserve">  </w:t>
      </w:r>
      <w:r>
        <w:rPr>
          <w:rFonts w:hint="eastAsia" w:hAnsi="宋体"/>
        </w:rPr>
        <w:t>天内。</w:t>
      </w:r>
    </w:p>
    <w:p w14:paraId="3FBDDC4C">
      <w:pPr>
        <w:tabs>
          <w:tab w:val="left" w:pos="900"/>
        </w:tabs>
        <w:spacing w:line="300" w:lineRule="auto"/>
        <w:ind w:firstLine="420" w:firstLineChars="200"/>
        <w:rPr>
          <w:rFonts w:hAnsi="宋体"/>
          <w:szCs w:val="21"/>
        </w:rPr>
      </w:pPr>
      <w:r>
        <w:rPr>
          <w:rFonts w:hint="eastAsia" w:hAnsi="宋体"/>
          <w:szCs w:val="21"/>
        </w:rPr>
        <w:t>（五）</w:t>
      </w:r>
      <w:r>
        <w:rPr>
          <w:rFonts w:hAnsi="宋体"/>
          <w:szCs w:val="21"/>
        </w:rPr>
        <w:t>交付地点：</w:t>
      </w:r>
      <w:r>
        <w:rPr>
          <w:rFonts w:hint="eastAsia" w:hAnsi="宋体"/>
          <w:szCs w:val="21"/>
          <w:u w:val="single"/>
        </w:rPr>
        <w:t xml:space="preserve">  创新港1</w:t>
      </w:r>
      <w:r>
        <w:rPr>
          <w:rFonts w:hAnsi="宋体"/>
          <w:szCs w:val="21"/>
          <w:u w:val="single"/>
        </w:rPr>
        <w:t>#</w:t>
      </w:r>
      <w:r>
        <w:rPr>
          <w:rFonts w:hint="eastAsia" w:hAnsi="宋体"/>
          <w:szCs w:val="21"/>
          <w:u w:val="single"/>
        </w:rPr>
        <w:t>巨构</w:t>
      </w:r>
      <w:r>
        <w:rPr>
          <w:rFonts w:hAnsi="宋体"/>
          <w:szCs w:val="21"/>
          <w:u w:val="single"/>
        </w:rPr>
        <w:t xml:space="preserve">  </w:t>
      </w:r>
      <w:r>
        <w:rPr>
          <w:rFonts w:hint="eastAsia" w:hAnsi="宋体"/>
          <w:szCs w:val="21"/>
        </w:rPr>
        <w:t>。</w:t>
      </w:r>
    </w:p>
    <w:p w14:paraId="71B91A03">
      <w:pPr>
        <w:tabs>
          <w:tab w:val="left" w:pos="900"/>
        </w:tabs>
        <w:spacing w:line="300" w:lineRule="auto"/>
        <w:ind w:firstLine="420" w:firstLineChars="200"/>
        <w:rPr>
          <w:rFonts w:hAnsi="宋体"/>
          <w:szCs w:val="21"/>
        </w:rPr>
      </w:pPr>
      <w:r>
        <w:rPr>
          <w:rFonts w:hint="eastAsia" w:hAnsi="宋体"/>
          <w:szCs w:val="21"/>
        </w:rPr>
        <w:t>（六）付款进度安排：</w:t>
      </w:r>
      <w:r>
        <w:rPr>
          <w:rFonts w:hint="eastAsia" w:hAnsi="宋体"/>
          <w:szCs w:val="21"/>
          <w:u w:val="single"/>
        </w:rPr>
        <w:t>合同签订后货到安装调试完毕验收合格支付9</w:t>
      </w:r>
      <w:r>
        <w:rPr>
          <w:rFonts w:hAnsi="宋体"/>
          <w:szCs w:val="21"/>
          <w:u w:val="single"/>
        </w:rPr>
        <w:t>5%</w:t>
      </w:r>
      <w:r>
        <w:rPr>
          <w:rFonts w:hint="eastAsia" w:hAnsi="宋体"/>
          <w:szCs w:val="21"/>
          <w:u w:val="single"/>
        </w:rPr>
        <w:t>，质保期满无问题解付5</w:t>
      </w:r>
      <w:r>
        <w:rPr>
          <w:rFonts w:hAnsi="宋体"/>
          <w:szCs w:val="21"/>
          <w:u w:val="single"/>
        </w:rPr>
        <w:t>%</w:t>
      </w:r>
      <w:r>
        <w:rPr>
          <w:rFonts w:hint="eastAsia" w:hAnsi="宋体"/>
          <w:szCs w:val="21"/>
        </w:rPr>
        <w:t>。</w:t>
      </w:r>
    </w:p>
    <w:p w14:paraId="42F3C9B1">
      <w:pPr>
        <w:tabs>
          <w:tab w:val="left" w:pos="900"/>
        </w:tabs>
        <w:spacing w:line="300" w:lineRule="auto"/>
        <w:rPr>
          <w:rFonts w:ascii="微软雅黑" w:hAnsi="微软雅黑" w:eastAsia="微软雅黑"/>
          <w:b/>
          <w:sz w:val="24"/>
          <w:szCs w:val="24"/>
        </w:rPr>
      </w:pPr>
      <w:r>
        <w:rPr>
          <w:rFonts w:hint="eastAsia" w:ascii="微软雅黑" w:hAnsi="微软雅黑" w:eastAsia="微软雅黑"/>
          <w:b/>
          <w:sz w:val="24"/>
          <w:szCs w:val="24"/>
        </w:rPr>
        <w:t>四、采购标的需满足的质量、安全、技术规格、物理特性等要求</w:t>
      </w:r>
    </w:p>
    <w:p w14:paraId="49BE4DE1">
      <w:pPr>
        <w:spacing w:line="300" w:lineRule="auto"/>
        <w:ind w:firstLine="420" w:firstLineChars="200"/>
        <w:rPr>
          <w:rFonts w:ascii="宋体" w:hAnsi="宋体"/>
          <w:szCs w:val="21"/>
        </w:rPr>
      </w:pPr>
      <w:r>
        <w:rPr>
          <w:rFonts w:hint="eastAsia" w:ascii="宋体" w:hAnsi="宋体"/>
          <w:szCs w:val="21"/>
        </w:rPr>
        <w:t>采购标的需满足的质量、安全、技术规格、物理特性等要求</w:t>
      </w:r>
      <w:bookmarkStart w:id="9" w:name="_Hlk202289628"/>
      <w:r>
        <w:rPr>
          <w:rFonts w:hint="eastAsia" w:ascii="宋体" w:hAnsi="宋体"/>
          <w:szCs w:val="21"/>
        </w:rPr>
        <w:t>详见附件</w:t>
      </w:r>
      <w:r>
        <w:rPr>
          <w:rFonts w:ascii="宋体" w:hAnsi="宋体"/>
          <w:szCs w:val="21"/>
        </w:rPr>
        <w:t>2-</w:t>
      </w:r>
      <w:r>
        <w:rPr>
          <w:rFonts w:hint="eastAsia" w:ascii="宋体" w:hAnsi="宋体"/>
          <w:szCs w:val="21"/>
        </w:rPr>
        <w:t>附件</w:t>
      </w:r>
      <w:r>
        <w:rPr>
          <w:rFonts w:ascii="宋体" w:hAnsi="宋体"/>
          <w:szCs w:val="21"/>
        </w:rPr>
        <w:t>4</w:t>
      </w:r>
      <w:r>
        <w:rPr>
          <w:rFonts w:hint="eastAsia" w:ascii="宋体" w:hAnsi="宋体"/>
          <w:szCs w:val="21"/>
        </w:rPr>
        <w:t>：</w:t>
      </w:r>
    </w:p>
    <w:p w14:paraId="606B457F">
      <w:pPr>
        <w:widowControl/>
        <w:numPr>
          <w:ilvl w:val="0"/>
          <w:numId w:val="7"/>
        </w:numPr>
        <w:spacing w:before="100" w:beforeAutospacing="1" w:after="100" w:afterAutospacing="1"/>
        <w:jc w:val="left"/>
        <w:rPr>
          <w:rFonts w:ascii="宋体" w:hAnsi="宋体" w:cs="宋体"/>
          <w:kern w:val="0"/>
          <w:szCs w:val="21"/>
        </w:rPr>
      </w:pPr>
      <w:r>
        <w:rPr>
          <w:rFonts w:ascii="宋体" w:hAnsi="宋体" w:cs="宋体"/>
          <w:kern w:val="0"/>
          <w:szCs w:val="21"/>
        </w:rPr>
        <w:t xml:space="preserve">标注 </w:t>
      </w:r>
      <w:r>
        <w:rPr>
          <w:rFonts w:ascii="宋体" w:hAnsi="宋体" w:cs="宋体"/>
          <w:bCs/>
          <w:kern w:val="0"/>
          <w:szCs w:val="21"/>
        </w:rPr>
        <w:t>“★”</w:t>
      </w:r>
      <w:r>
        <w:rPr>
          <w:rFonts w:ascii="宋体" w:hAnsi="宋体" w:cs="宋体"/>
          <w:kern w:val="0"/>
          <w:szCs w:val="21"/>
        </w:rPr>
        <w:t xml:space="preserve"> 的条款为</w:t>
      </w:r>
      <w:r>
        <w:rPr>
          <w:rFonts w:ascii="宋体" w:hAnsi="宋体" w:cs="宋体"/>
          <w:bCs/>
          <w:kern w:val="0"/>
          <w:szCs w:val="21"/>
        </w:rPr>
        <w:t>实质性要求</w:t>
      </w:r>
      <w:r>
        <w:rPr>
          <w:rFonts w:ascii="宋体" w:hAnsi="宋体" w:cs="宋体"/>
          <w:kern w:val="0"/>
          <w:szCs w:val="21"/>
        </w:rPr>
        <w:t>，投标人必须完全响应，不得偏离；对★条款存在负偏离（不满足、部分满足或未按要求响应）的，其投标将被</w:t>
      </w:r>
      <w:r>
        <w:rPr>
          <w:rFonts w:ascii="宋体" w:hAnsi="宋体" w:cs="宋体"/>
          <w:bCs/>
          <w:kern w:val="0"/>
          <w:szCs w:val="21"/>
        </w:rPr>
        <w:t>按无效投标处理</w:t>
      </w:r>
      <w:r>
        <w:rPr>
          <w:rFonts w:ascii="宋体" w:hAnsi="宋体" w:cs="宋体"/>
          <w:kern w:val="0"/>
          <w:szCs w:val="21"/>
        </w:rPr>
        <w:t>。</w:t>
      </w:r>
    </w:p>
    <w:p w14:paraId="0E560676">
      <w:pPr>
        <w:widowControl/>
        <w:numPr>
          <w:ilvl w:val="0"/>
          <w:numId w:val="7"/>
        </w:numPr>
        <w:spacing w:before="100" w:beforeAutospacing="1" w:after="100" w:afterAutospacing="1"/>
        <w:jc w:val="left"/>
        <w:rPr>
          <w:rFonts w:ascii="宋体" w:hAnsi="宋体" w:cs="宋体"/>
          <w:kern w:val="0"/>
          <w:szCs w:val="21"/>
        </w:rPr>
      </w:pPr>
      <w:r>
        <w:rPr>
          <w:rFonts w:ascii="宋体" w:hAnsi="宋体" w:cs="宋体"/>
          <w:kern w:val="0"/>
          <w:szCs w:val="21"/>
        </w:rPr>
        <w:t xml:space="preserve">标注 </w:t>
      </w:r>
      <w:r>
        <w:rPr>
          <w:rFonts w:ascii="宋体" w:hAnsi="宋体" w:cs="宋体"/>
          <w:bCs/>
          <w:kern w:val="0"/>
          <w:szCs w:val="21"/>
        </w:rPr>
        <w:t>“▲”</w:t>
      </w:r>
      <w:r>
        <w:rPr>
          <w:rFonts w:ascii="宋体" w:hAnsi="宋体" w:cs="宋体"/>
          <w:kern w:val="0"/>
          <w:szCs w:val="21"/>
        </w:rPr>
        <w:t xml:space="preserve"> 的条款，投标人须针对该条款</w:t>
      </w:r>
      <w:r>
        <w:rPr>
          <w:rFonts w:ascii="宋体" w:hAnsi="宋体" w:cs="宋体"/>
          <w:bCs/>
          <w:kern w:val="0"/>
          <w:szCs w:val="21"/>
        </w:rPr>
        <w:t>提供相应的技术证明材料</w:t>
      </w:r>
      <w:r>
        <w:rPr>
          <w:rFonts w:ascii="宋体" w:hAnsi="宋体" w:cs="宋体"/>
          <w:kern w:val="0"/>
          <w:szCs w:val="21"/>
        </w:rPr>
        <w:t>（如检测报告、认证证书、产品彩页、功能截图等），未提供或证明材料与条款要求不符的，相应评审项将按</w:t>
      </w:r>
      <w:r>
        <w:rPr>
          <w:rFonts w:ascii="宋体" w:hAnsi="宋体" w:cs="宋体"/>
          <w:bCs/>
          <w:kern w:val="0"/>
          <w:szCs w:val="21"/>
        </w:rPr>
        <w:t>不响应处理</w:t>
      </w:r>
      <w:r>
        <w:rPr>
          <w:rFonts w:ascii="宋体" w:hAnsi="宋体" w:cs="宋体"/>
          <w:kern w:val="0"/>
          <w:szCs w:val="21"/>
        </w:rPr>
        <w:t>（或：将被扣除相应分值，具体以评标办法为准）。</w:t>
      </w:r>
    </w:p>
    <w:p w14:paraId="154290DF">
      <w:pPr>
        <w:widowControl/>
        <w:numPr>
          <w:ilvl w:val="0"/>
          <w:numId w:val="7"/>
        </w:numPr>
        <w:spacing w:before="100" w:beforeAutospacing="1" w:after="100" w:afterAutospacing="1"/>
        <w:jc w:val="left"/>
        <w:rPr>
          <w:rFonts w:ascii="宋体" w:hAnsi="宋体" w:cs="宋体"/>
          <w:kern w:val="0"/>
          <w:szCs w:val="21"/>
        </w:rPr>
      </w:pPr>
      <w:r>
        <w:rPr>
          <w:rFonts w:ascii="宋体" w:hAnsi="宋体" w:cs="宋体"/>
          <w:kern w:val="0"/>
          <w:szCs w:val="21"/>
        </w:rPr>
        <w:t>未标注符号的条款为一般性要求，投标人应按要求如实响应。</w:t>
      </w:r>
    </w:p>
    <w:p w14:paraId="35BC70BC">
      <w:pPr>
        <w:widowControl/>
        <w:numPr>
          <w:ilvl w:val="0"/>
          <w:numId w:val="7"/>
        </w:numPr>
        <w:spacing w:before="100" w:beforeAutospacing="1" w:after="100" w:afterAutospacing="1"/>
        <w:jc w:val="left"/>
        <w:rPr>
          <w:rFonts w:ascii="宋体" w:hAnsi="宋体" w:cs="宋体"/>
          <w:kern w:val="0"/>
          <w:szCs w:val="21"/>
        </w:rPr>
      </w:pPr>
      <w:r>
        <w:rPr>
          <w:rFonts w:ascii="宋体" w:hAnsi="宋体" w:cs="宋体"/>
          <w:kern w:val="0"/>
          <w:szCs w:val="21"/>
        </w:rPr>
        <w:t>投标人应在 “响应情况” 栏中逐条明确填写 “响应”“不响应” 或 “正偏离 / 负偏离”，并注明对应的证明文件页码。</w:t>
      </w:r>
    </w:p>
    <w:p w14:paraId="7DEBD2DC">
      <w:pPr>
        <w:spacing w:line="300" w:lineRule="auto"/>
        <w:ind w:firstLine="420" w:firstLineChars="200"/>
        <w:rPr>
          <w:rFonts w:ascii="宋体" w:hAnsi="宋体"/>
          <w:szCs w:val="21"/>
        </w:rPr>
      </w:pPr>
    </w:p>
    <w:bookmarkEnd w:id="9"/>
    <w:p w14:paraId="3C88E9A2">
      <w:pPr>
        <w:spacing w:after="156" w:afterLines="50" w:line="300" w:lineRule="auto"/>
        <w:rPr>
          <w:rFonts w:ascii="微软雅黑" w:hAnsi="微软雅黑" w:eastAsia="微软雅黑"/>
          <w:b/>
          <w:bCs/>
          <w:sz w:val="24"/>
          <w:szCs w:val="22"/>
        </w:rPr>
      </w:pPr>
      <w:r>
        <w:rPr>
          <w:rFonts w:hint="eastAsia" w:ascii="微软雅黑" w:hAnsi="微软雅黑" w:eastAsia="微软雅黑"/>
          <w:b/>
          <w:bCs/>
          <w:sz w:val="24"/>
          <w:szCs w:val="22"/>
        </w:rPr>
        <w:t>附件1——采购清单及说明</w:t>
      </w:r>
    </w:p>
    <w:tbl>
      <w:tblPr>
        <w:tblStyle w:val="40"/>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843"/>
        <w:gridCol w:w="2693"/>
        <w:gridCol w:w="851"/>
        <w:gridCol w:w="850"/>
        <w:gridCol w:w="3119"/>
      </w:tblGrid>
      <w:tr w14:paraId="6E469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60" w:type="dxa"/>
            <w:gridSpan w:val="6"/>
            <w:shd w:val="clear" w:color="000000" w:fill="D9E1F4"/>
            <w:noWrap/>
            <w:vAlign w:val="center"/>
          </w:tcPr>
          <w:p w14:paraId="6B77CED4">
            <w:pPr>
              <w:widowControl/>
              <w:jc w:val="center"/>
              <w:rPr>
                <w:color w:val="000000"/>
                <w:kern w:val="0"/>
                <w:sz w:val="18"/>
                <w:szCs w:val="18"/>
              </w:rPr>
            </w:pPr>
            <w:r>
              <w:rPr>
                <w:rFonts w:hint="eastAsia"/>
                <w:color w:val="000000"/>
                <w:kern w:val="0"/>
                <w:sz w:val="18"/>
                <w:szCs w:val="18"/>
              </w:rPr>
              <w:t>多媒体音频设备</w:t>
            </w:r>
          </w:p>
        </w:tc>
      </w:tr>
      <w:tr w14:paraId="21603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auto" w:fill="auto"/>
            <w:noWrap/>
            <w:vAlign w:val="center"/>
          </w:tcPr>
          <w:p w14:paraId="256FE882">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序号</w:t>
            </w:r>
          </w:p>
        </w:tc>
        <w:tc>
          <w:tcPr>
            <w:tcW w:w="1843" w:type="dxa"/>
            <w:shd w:val="clear" w:color="auto" w:fill="auto"/>
            <w:noWrap/>
            <w:vAlign w:val="center"/>
          </w:tcPr>
          <w:p w14:paraId="513798DE">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品名</w:t>
            </w:r>
          </w:p>
        </w:tc>
        <w:tc>
          <w:tcPr>
            <w:tcW w:w="2693" w:type="dxa"/>
            <w:shd w:val="clear" w:color="auto" w:fill="auto"/>
            <w:noWrap/>
            <w:vAlign w:val="center"/>
          </w:tcPr>
          <w:p w14:paraId="5CF06E17">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规格</w:t>
            </w:r>
          </w:p>
        </w:tc>
        <w:tc>
          <w:tcPr>
            <w:tcW w:w="851" w:type="dxa"/>
            <w:shd w:val="clear" w:color="auto" w:fill="auto"/>
            <w:noWrap/>
            <w:vAlign w:val="center"/>
          </w:tcPr>
          <w:p w14:paraId="0EBC4259">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单位</w:t>
            </w:r>
          </w:p>
        </w:tc>
        <w:tc>
          <w:tcPr>
            <w:tcW w:w="850" w:type="dxa"/>
            <w:shd w:val="clear" w:color="auto" w:fill="auto"/>
            <w:noWrap/>
            <w:vAlign w:val="center"/>
          </w:tcPr>
          <w:p w14:paraId="674A0993">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数量</w:t>
            </w:r>
          </w:p>
        </w:tc>
        <w:tc>
          <w:tcPr>
            <w:tcW w:w="3119" w:type="dxa"/>
            <w:shd w:val="clear" w:color="auto" w:fill="auto"/>
            <w:noWrap/>
            <w:vAlign w:val="center"/>
          </w:tcPr>
          <w:p w14:paraId="1E5E43EA">
            <w:pPr>
              <w:widowControl/>
              <w:jc w:val="center"/>
              <w:rPr>
                <w:color w:val="000000"/>
                <w:kern w:val="0"/>
                <w:sz w:val="18"/>
                <w:szCs w:val="18"/>
              </w:rPr>
            </w:pPr>
            <w:r>
              <w:rPr>
                <w:color w:val="000000"/>
                <w:kern w:val="0"/>
                <w:sz w:val="18"/>
                <w:szCs w:val="18"/>
              </w:rPr>
              <w:t>备注</w:t>
            </w:r>
          </w:p>
        </w:tc>
      </w:tr>
      <w:tr w14:paraId="6C68C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032A2643">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1</w:t>
            </w:r>
          </w:p>
        </w:tc>
        <w:tc>
          <w:tcPr>
            <w:tcW w:w="1843" w:type="dxa"/>
            <w:shd w:val="clear" w:color="auto" w:fill="auto"/>
            <w:noWrap/>
          </w:tcPr>
          <w:p w14:paraId="030A7B1C">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视频矩阵</w:t>
            </w:r>
          </w:p>
        </w:tc>
        <w:tc>
          <w:tcPr>
            <w:tcW w:w="2693" w:type="dxa"/>
            <w:shd w:val="clear" w:color="auto" w:fill="auto"/>
            <w:noWrap/>
          </w:tcPr>
          <w:p w14:paraId="44219F71">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输入输出≥8路、4K 30Hz</w:t>
            </w:r>
          </w:p>
        </w:tc>
        <w:tc>
          <w:tcPr>
            <w:tcW w:w="851" w:type="dxa"/>
            <w:shd w:val="clear" w:color="auto" w:fill="auto"/>
            <w:noWrap/>
          </w:tcPr>
          <w:p w14:paraId="58EE7A5A">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4FD8ABC1">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1</w:t>
            </w:r>
          </w:p>
        </w:tc>
        <w:tc>
          <w:tcPr>
            <w:tcW w:w="3119" w:type="dxa"/>
            <w:vMerge w:val="restart"/>
            <w:shd w:val="clear" w:color="auto" w:fill="auto"/>
            <w:noWrap/>
            <w:vAlign w:val="center"/>
          </w:tcPr>
          <w:p w14:paraId="57A3E1EF">
            <w:pPr>
              <w:widowControl/>
              <w:jc w:val="left"/>
              <w:rPr>
                <w:rFonts w:cs="华文仿宋" w:asciiTheme="minorEastAsia" w:hAnsiTheme="minorEastAsia" w:eastAsiaTheme="minorEastAsia"/>
                <w:color w:val="333333"/>
                <w:sz w:val="18"/>
                <w:szCs w:val="18"/>
                <w:shd w:val="clear" w:color="auto" w:fill="FFFFFF"/>
              </w:rPr>
            </w:pPr>
          </w:p>
          <w:p w14:paraId="451F64AB">
            <w:pPr>
              <w:widowControl/>
              <w:jc w:val="left"/>
              <w:rPr>
                <w:rFonts w:cs="华文仿宋" w:asciiTheme="minorEastAsia" w:hAnsiTheme="minorEastAsia" w:eastAsiaTheme="minorEastAsia"/>
                <w:color w:val="333333"/>
                <w:sz w:val="18"/>
                <w:szCs w:val="18"/>
                <w:shd w:val="clear" w:color="auto" w:fill="FFFFFF"/>
              </w:rPr>
            </w:pPr>
          </w:p>
          <w:p w14:paraId="6065BB9A">
            <w:pPr>
              <w:widowControl/>
              <w:jc w:val="left"/>
              <w:rPr>
                <w:rFonts w:cs="华文仿宋" w:asciiTheme="minorEastAsia" w:hAnsiTheme="minorEastAsia" w:eastAsiaTheme="minorEastAsia"/>
                <w:color w:val="333333"/>
                <w:sz w:val="18"/>
                <w:szCs w:val="18"/>
                <w:shd w:val="clear" w:color="auto" w:fill="FFFFFF"/>
              </w:rPr>
            </w:pPr>
          </w:p>
          <w:p w14:paraId="39DAE7B9">
            <w:pPr>
              <w:widowControl/>
              <w:jc w:val="left"/>
              <w:rPr>
                <w:rFonts w:cs="华文仿宋" w:asciiTheme="minorEastAsia" w:hAnsiTheme="minorEastAsia" w:eastAsiaTheme="minorEastAsia"/>
                <w:color w:val="333333"/>
                <w:sz w:val="18"/>
                <w:szCs w:val="18"/>
                <w:shd w:val="clear" w:color="auto" w:fill="FFFFFF"/>
              </w:rPr>
            </w:pPr>
          </w:p>
          <w:p w14:paraId="1DF889D0">
            <w:pPr>
              <w:widowControl/>
              <w:jc w:val="left"/>
              <w:rPr>
                <w:rFonts w:cs="华文仿宋" w:asciiTheme="minorEastAsia" w:hAnsiTheme="minorEastAsia" w:eastAsiaTheme="minorEastAsia"/>
                <w:color w:val="333333"/>
                <w:sz w:val="18"/>
                <w:szCs w:val="18"/>
                <w:shd w:val="clear" w:color="auto" w:fill="FFFFFF"/>
              </w:rPr>
            </w:pPr>
          </w:p>
          <w:p w14:paraId="62CBAFBA">
            <w:pPr>
              <w:widowControl/>
              <w:jc w:val="left"/>
              <w:rPr>
                <w:rFonts w:cs="华文仿宋" w:asciiTheme="minorEastAsia" w:hAnsiTheme="minorEastAsia" w:eastAsiaTheme="minorEastAsia"/>
                <w:color w:val="333333"/>
                <w:sz w:val="18"/>
                <w:szCs w:val="18"/>
                <w:shd w:val="clear" w:color="auto" w:fill="FFFFFF"/>
              </w:rPr>
            </w:pPr>
          </w:p>
          <w:p w14:paraId="3B215121">
            <w:pPr>
              <w:widowControl/>
              <w:jc w:val="left"/>
              <w:rPr>
                <w:rFonts w:cs="华文仿宋" w:asciiTheme="minorEastAsia" w:hAnsiTheme="minorEastAsia" w:eastAsiaTheme="minorEastAsia"/>
                <w:color w:val="333333"/>
                <w:sz w:val="18"/>
                <w:szCs w:val="18"/>
                <w:shd w:val="clear" w:color="auto" w:fill="FFFFFF"/>
              </w:rPr>
            </w:pPr>
          </w:p>
          <w:p w14:paraId="083241AC">
            <w:pPr>
              <w:widowControl/>
              <w:jc w:val="left"/>
              <w:rPr>
                <w:rFonts w:cs="华文仿宋" w:asciiTheme="minorEastAsia" w:hAnsiTheme="minorEastAsia" w:eastAsiaTheme="minorEastAsia"/>
                <w:color w:val="333333"/>
                <w:sz w:val="18"/>
                <w:szCs w:val="18"/>
                <w:shd w:val="clear" w:color="auto" w:fill="FFFFFF"/>
              </w:rPr>
            </w:pPr>
          </w:p>
          <w:p w14:paraId="0B0E1F6E">
            <w:pPr>
              <w:widowControl/>
              <w:jc w:val="left"/>
              <w:rPr>
                <w:rFonts w:cs="华文仿宋" w:asciiTheme="minorEastAsia" w:hAnsiTheme="minorEastAsia" w:eastAsiaTheme="minorEastAsia"/>
                <w:color w:val="333333"/>
                <w:sz w:val="18"/>
                <w:szCs w:val="18"/>
                <w:shd w:val="clear" w:color="auto" w:fill="FFFFFF"/>
              </w:rPr>
            </w:pPr>
          </w:p>
          <w:p w14:paraId="37D87E6D">
            <w:pPr>
              <w:widowControl/>
              <w:jc w:val="left"/>
              <w:rPr>
                <w:rFonts w:cs="华文仿宋" w:asciiTheme="minorEastAsia" w:hAnsiTheme="minorEastAsia" w:eastAsiaTheme="minorEastAsia"/>
                <w:color w:val="333333"/>
                <w:sz w:val="18"/>
                <w:szCs w:val="18"/>
                <w:shd w:val="clear" w:color="auto" w:fill="FFFFFF"/>
              </w:rPr>
            </w:pPr>
          </w:p>
          <w:p w14:paraId="0776EFAC">
            <w:pPr>
              <w:widowControl/>
              <w:jc w:val="left"/>
              <w:rPr>
                <w:rFonts w:cs="华文仿宋" w:asciiTheme="minorEastAsia" w:hAnsiTheme="minorEastAsia" w:eastAsiaTheme="minorEastAsia"/>
                <w:color w:val="333333"/>
                <w:sz w:val="18"/>
                <w:szCs w:val="18"/>
                <w:shd w:val="clear" w:color="auto" w:fill="FFFFFF"/>
              </w:rPr>
            </w:pPr>
          </w:p>
          <w:p w14:paraId="78D54550">
            <w:pPr>
              <w:widowControl/>
              <w:jc w:val="left"/>
              <w:rPr>
                <w:rFonts w:cs="华文仿宋" w:asciiTheme="minorEastAsia" w:hAnsiTheme="minorEastAsia" w:eastAsiaTheme="minorEastAsia"/>
                <w:color w:val="333333"/>
                <w:sz w:val="18"/>
                <w:szCs w:val="18"/>
                <w:shd w:val="clear" w:color="auto" w:fill="FFFFFF"/>
              </w:rPr>
            </w:pPr>
          </w:p>
          <w:p w14:paraId="28D1183B">
            <w:pPr>
              <w:widowControl/>
              <w:jc w:val="left"/>
              <w:rPr>
                <w:rFonts w:cs="华文仿宋" w:asciiTheme="minorEastAsia" w:hAnsiTheme="minorEastAsia" w:eastAsiaTheme="minorEastAsia"/>
                <w:color w:val="333333"/>
                <w:sz w:val="18"/>
                <w:szCs w:val="18"/>
                <w:shd w:val="clear" w:color="auto" w:fill="FFFFFF"/>
              </w:rPr>
            </w:pPr>
          </w:p>
          <w:p w14:paraId="789B672C">
            <w:pPr>
              <w:widowControl/>
              <w:jc w:val="left"/>
              <w:rPr>
                <w:rFonts w:cs="华文仿宋" w:asciiTheme="minorEastAsia" w:hAnsiTheme="minorEastAsia" w:eastAsiaTheme="minorEastAsia"/>
                <w:color w:val="333333"/>
                <w:sz w:val="18"/>
                <w:szCs w:val="18"/>
                <w:shd w:val="clear" w:color="auto" w:fill="FFFFFF"/>
              </w:rPr>
            </w:pPr>
          </w:p>
          <w:p w14:paraId="7CD1F7B8">
            <w:pPr>
              <w:widowControl/>
              <w:jc w:val="left"/>
              <w:rPr>
                <w:rFonts w:cs="华文仿宋" w:asciiTheme="minorEastAsia" w:hAnsiTheme="minorEastAsia" w:eastAsiaTheme="minorEastAsia"/>
                <w:color w:val="333333"/>
                <w:sz w:val="18"/>
                <w:szCs w:val="18"/>
                <w:shd w:val="clear" w:color="auto" w:fill="FFFFFF"/>
              </w:rPr>
            </w:pPr>
          </w:p>
          <w:p w14:paraId="1E194E0C">
            <w:pPr>
              <w:widowControl/>
              <w:jc w:val="left"/>
              <w:rPr>
                <w:rFonts w:cs="华文仿宋" w:asciiTheme="minorEastAsia" w:hAnsiTheme="minorEastAsia" w:eastAsiaTheme="minorEastAsia"/>
                <w:color w:val="333333"/>
                <w:sz w:val="18"/>
                <w:szCs w:val="18"/>
                <w:shd w:val="clear" w:color="auto" w:fill="FFFFFF"/>
              </w:rPr>
            </w:pPr>
          </w:p>
          <w:p w14:paraId="4BD3F41B">
            <w:pPr>
              <w:widowControl/>
              <w:jc w:val="left"/>
              <w:rPr>
                <w:rFonts w:cs="华文仿宋" w:asciiTheme="minorEastAsia" w:hAnsiTheme="minorEastAsia" w:eastAsiaTheme="minorEastAsia"/>
                <w:color w:val="333333"/>
                <w:sz w:val="18"/>
                <w:szCs w:val="18"/>
                <w:shd w:val="clear" w:color="auto" w:fill="FFFFFF"/>
              </w:rPr>
            </w:pPr>
          </w:p>
          <w:p w14:paraId="1D48902B">
            <w:pPr>
              <w:widowControl/>
              <w:jc w:val="left"/>
              <w:rPr>
                <w:rFonts w:cs="华文仿宋" w:asciiTheme="minorEastAsia" w:hAnsiTheme="minorEastAsia" w:eastAsiaTheme="minorEastAsia"/>
                <w:color w:val="333333"/>
                <w:sz w:val="18"/>
                <w:szCs w:val="18"/>
                <w:shd w:val="clear" w:color="auto" w:fill="FFFFFF"/>
              </w:rPr>
            </w:pPr>
          </w:p>
          <w:p w14:paraId="03CF8BBB">
            <w:pPr>
              <w:widowControl/>
              <w:jc w:val="left"/>
              <w:rPr>
                <w:rFonts w:cs="华文仿宋" w:asciiTheme="minorEastAsia" w:hAnsiTheme="minorEastAsia" w:eastAsiaTheme="minorEastAsia"/>
                <w:color w:val="333333"/>
                <w:sz w:val="18"/>
                <w:szCs w:val="18"/>
                <w:shd w:val="clear" w:color="auto" w:fill="FFFFFF"/>
              </w:rPr>
            </w:pPr>
          </w:p>
          <w:p w14:paraId="4C302AB2">
            <w:pPr>
              <w:widowControl/>
              <w:jc w:val="left"/>
              <w:rPr>
                <w:rFonts w:cs="华文仿宋" w:asciiTheme="minorEastAsia" w:hAnsiTheme="minorEastAsia" w:eastAsiaTheme="minorEastAsia"/>
                <w:color w:val="333333"/>
                <w:sz w:val="18"/>
                <w:szCs w:val="18"/>
                <w:shd w:val="clear" w:color="auto" w:fill="FFFFFF"/>
              </w:rPr>
            </w:pPr>
          </w:p>
          <w:p w14:paraId="0DE07948">
            <w:pPr>
              <w:widowControl/>
              <w:jc w:val="left"/>
              <w:rPr>
                <w:rFonts w:cs="华文仿宋" w:asciiTheme="minorEastAsia" w:hAnsiTheme="minorEastAsia" w:eastAsiaTheme="minorEastAsia"/>
                <w:color w:val="333333"/>
                <w:sz w:val="18"/>
                <w:szCs w:val="18"/>
                <w:shd w:val="clear" w:color="auto" w:fill="FFFFFF"/>
              </w:rPr>
            </w:pPr>
            <w:r>
              <w:rPr>
                <w:rFonts w:hint="eastAsia" w:cs="华文仿宋" w:asciiTheme="minorEastAsia" w:hAnsiTheme="minorEastAsia" w:eastAsiaTheme="minorEastAsia"/>
                <w:color w:val="333333"/>
                <w:sz w:val="18"/>
                <w:szCs w:val="18"/>
                <w:shd w:val="clear" w:color="auto" w:fill="FFFFFF"/>
              </w:rPr>
              <w:t>为防止三无产品或贴标，显示屏</w:t>
            </w:r>
            <w:r>
              <w:rPr>
                <w:rFonts w:cs="华文仿宋" w:asciiTheme="minorEastAsia" w:hAnsiTheme="minorEastAsia" w:eastAsiaTheme="minorEastAsia"/>
                <w:color w:val="333333"/>
                <w:sz w:val="18"/>
                <w:szCs w:val="18"/>
                <w:shd w:val="clear" w:color="auto" w:fill="FFFFFF"/>
              </w:rPr>
              <w:t>PCB</w:t>
            </w:r>
            <w:r>
              <w:rPr>
                <w:rFonts w:hint="eastAsia" w:cs="华文仿宋" w:asciiTheme="minorEastAsia" w:hAnsiTheme="minorEastAsia" w:eastAsiaTheme="minorEastAsia"/>
                <w:color w:val="333333"/>
                <w:sz w:val="18"/>
                <w:szCs w:val="18"/>
                <w:shd w:val="clear" w:color="auto" w:fill="FFFFFF"/>
              </w:rPr>
              <w:t>以及塑料套件上必须明显标注厂家</w:t>
            </w:r>
            <w:r>
              <w:rPr>
                <w:rFonts w:cs="华文仿宋" w:asciiTheme="minorEastAsia" w:hAnsiTheme="minorEastAsia" w:eastAsiaTheme="minorEastAsia"/>
                <w:color w:val="333333"/>
                <w:sz w:val="18"/>
                <w:szCs w:val="18"/>
                <w:shd w:val="clear" w:color="auto" w:fill="FFFFFF"/>
              </w:rPr>
              <w:t xml:space="preserve">LOGO </w:t>
            </w:r>
            <w:r>
              <w:rPr>
                <w:rFonts w:hint="eastAsia" w:cs="华文仿宋" w:asciiTheme="minorEastAsia" w:hAnsiTheme="minorEastAsia" w:eastAsiaTheme="minorEastAsia"/>
                <w:color w:val="333333"/>
                <w:sz w:val="18"/>
                <w:szCs w:val="18"/>
                <w:shd w:val="clear" w:color="auto" w:fill="FFFFFF"/>
              </w:rPr>
              <w:t>或品牌，需要和所投品牌为同一生产厂家，即时贴按无效产品处理，并提供包含但不限于原厂授权及售后服务声明等资料。</w:t>
            </w:r>
          </w:p>
          <w:p w14:paraId="4641FBE1">
            <w:pPr>
              <w:widowControl/>
              <w:jc w:val="left"/>
              <w:rPr>
                <w:kern w:val="0"/>
                <w:sz w:val="18"/>
                <w:szCs w:val="18"/>
              </w:rPr>
            </w:pPr>
            <w:r>
              <w:rPr>
                <w:rFonts w:hint="eastAsia" w:cs="华文仿宋" w:asciiTheme="minorEastAsia" w:hAnsiTheme="minorEastAsia" w:eastAsiaTheme="minorEastAsia"/>
                <w:color w:val="333333"/>
                <w:sz w:val="18"/>
                <w:szCs w:val="18"/>
                <w:shd w:val="clear" w:color="auto" w:fill="FFFFFF"/>
              </w:rPr>
              <w:t>推荐品牌：</w:t>
            </w:r>
            <w:r>
              <w:rPr>
                <w:rFonts w:cs="华文仿宋" w:asciiTheme="minorEastAsia" w:hAnsiTheme="minorEastAsia" w:eastAsiaTheme="minorEastAsia"/>
                <w:color w:val="333333"/>
                <w:sz w:val="18"/>
                <w:szCs w:val="18"/>
                <w:shd w:val="clear" w:color="auto" w:fill="FFFFFF"/>
              </w:rPr>
              <w:t>FionTu、</w:t>
            </w:r>
            <w:r>
              <w:rPr>
                <w:rFonts w:hint="eastAsia" w:cs="华文仿宋" w:asciiTheme="minorEastAsia" w:hAnsiTheme="minorEastAsia" w:eastAsiaTheme="minorEastAsia"/>
                <w:color w:val="333333"/>
                <w:sz w:val="18"/>
                <w:szCs w:val="18"/>
                <w:shd w:val="clear" w:color="auto" w:fill="FFFFFF"/>
              </w:rPr>
              <w:t>T</w:t>
            </w:r>
            <w:r>
              <w:rPr>
                <w:rFonts w:cs="华文仿宋" w:asciiTheme="minorEastAsia" w:hAnsiTheme="minorEastAsia" w:eastAsiaTheme="minorEastAsia"/>
                <w:color w:val="333333"/>
                <w:sz w:val="18"/>
                <w:szCs w:val="18"/>
                <w:shd w:val="clear" w:color="auto" w:fill="FFFFFF"/>
              </w:rPr>
              <w:t>AIDEN、</w:t>
            </w:r>
            <w:r>
              <w:rPr>
                <w:rFonts w:hint="eastAsia" w:cs="华文仿宋" w:asciiTheme="minorEastAsia" w:hAnsiTheme="minorEastAsia" w:eastAsiaTheme="minorEastAsia"/>
                <w:color w:val="333333"/>
                <w:sz w:val="18"/>
                <w:szCs w:val="18"/>
                <w:shd w:val="clear" w:color="auto" w:fill="FFFFFF"/>
              </w:rPr>
              <w:t>I</w:t>
            </w:r>
            <w:r>
              <w:rPr>
                <w:rFonts w:cs="华文仿宋" w:asciiTheme="minorEastAsia" w:hAnsiTheme="minorEastAsia" w:eastAsiaTheme="minorEastAsia"/>
                <w:color w:val="333333"/>
                <w:sz w:val="18"/>
                <w:szCs w:val="18"/>
                <w:shd w:val="clear" w:color="auto" w:fill="FFFFFF"/>
              </w:rPr>
              <w:t>TC</w:t>
            </w:r>
          </w:p>
        </w:tc>
      </w:tr>
      <w:tr w14:paraId="42EE9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0BD00700">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2</w:t>
            </w:r>
          </w:p>
        </w:tc>
        <w:tc>
          <w:tcPr>
            <w:tcW w:w="1843" w:type="dxa"/>
            <w:shd w:val="clear" w:color="auto" w:fill="auto"/>
            <w:noWrap/>
          </w:tcPr>
          <w:p w14:paraId="46A9327D">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智能切换软件</w:t>
            </w:r>
          </w:p>
        </w:tc>
        <w:tc>
          <w:tcPr>
            <w:tcW w:w="2693" w:type="dxa"/>
            <w:shd w:val="clear" w:color="auto" w:fill="auto"/>
            <w:noWrap/>
          </w:tcPr>
          <w:p w14:paraId="6402B4AF">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定制</w:t>
            </w:r>
          </w:p>
        </w:tc>
        <w:tc>
          <w:tcPr>
            <w:tcW w:w="851" w:type="dxa"/>
            <w:shd w:val="clear" w:color="auto" w:fill="auto"/>
            <w:noWrap/>
          </w:tcPr>
          <w:p w14:paraId="56DA7E28">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套</w:t>
            </w:r>
          </w:p>
        </w:tc>
        <w:tc>
          <w:tcPr>
            <w:tcW w:w="850" w:type="dxa"/>
            <w:shd w:val="clear" w:color="auto" w:fill="auto"/>
            <w:noWrap/>
          </w:tcPr>
          <w:p w14:paraId="1726A38B">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1</w:t>
            </w:r>
          </w:p>
        </w:tc>
        <w:tc>
          <w:tcPr>
            <w:tcW w:w="3119" w:type="dxa"/>
            <w:vMerge w:val="continue"/>
            <w:shd w:val="clear" w:color="auto" w:fill="auto"/>
            <w:noWrap/>
            <w:vAlign w:val="center"/>
          </w:tcPr>
          <w:p w14:paraId="405CCB43">
            <w:pPr>
              <w:widowControl/>
              <w:jc w:val="center"/>
              <w:rPr>
                <w:kern w:val="0"/>
                <w:sz w:val="18"/>
                <w:szCs w:val="18"/>
              </w:rPr>
            </w:pPr>
          </w:p>
        </w:tc>
      </w:tr>
      <w:tr w14:paraId="2D24E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55872972">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3</w:t>
            </w:r>
          </w:p>
        </w:tc>
        <w:tc>
          <w:tcPr>
            <w:tcW w:w="1843" w:type="dxa"/>
            <w:shd w:val="clear" w:color="auto" w:fill="auto"/>
            <w:noWrap/>
          </w:tcPr>
          <w:p w14:paraId="3D4DDFB8">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调音台</w:t>
            </w:r>
          </w:p>
        </w:tc>
        <w:tc>
          <w:tcPr>
            <w:tcW w:w="2693" w:type="dxa"/>
            <w:shd w:val="clear" w:color="auto" w:fill="auto"/>
            <w:noWrap/>
          </w:tcPr>
          <w:p w14:paraId="6F8C5F7F">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输入≥8路、LINE≥6、RCA≥4、DSP≥24bit</w:t>
            </w:r>
          </w:p>
        </w:tc>
        <w:tc>
          <w:tcPr>
            <w:tcW w:w="851" w:type="dxa"/>
            <w:shd w:val="clear" w:color="auto" w:fill="auto"/>
            <w:noWrap/>
          </w:tcPr>
          <w:p w14:paraId="77387A2D">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4CB4180B">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w:t>
            </w:r>
          </w:p>
        </w:tc>
        <w:tc>
          <w:tcPr>
            <w:tcW w:w="3119" w:type="dxa"/>
            <w:vMerge w:val="continue"/>
            <w:shd w:val="clear" w:color="auto" w:fill="auto"/>
            <w:noWrap/>
            <w:vAlign w:val="center"/>
          </w:tcPr>
          <w:p w14:paraId="340B360A">
            <w:pPr>
              <w:widowControl/>
              <w:jc w:val="center"/>
              <w:rPr>
                <w:kern w:val="0"/>
                <w:sz w:val="18"/>
                <w:szCs w:val="18"/>
              </w:rPr>
            </w:pPr>
          </w:p>
        </w:tc>
      </w:tr>
      <w:tr w14:paraId="0772B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7AEC7485">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4</w:t>
            </w:r>
          </w:p>
        </w:tc>
        <w:tc>
          <w:tcPr>
            <w:tcW w:w="1843" w:type="dxa"/>
            <w:shd w:val="clear" w:color="auto" w:fill="auto"/>
            <w:noWrap/>
          </w:tcPr>
          <w:p w14:paraId="5C3EFDE9">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处理器</w:t>
            </w:r>
          </w:p>
        </w:tc>
        <w:tc>
          <w:tcPr>
            <w:tcW w:w="2693" w:type="dxa"/>
            <w:shd w:val="clear" w:color="auto" w:fill="auto"/>
            <w:noWrap/>
          </w:tcPr>
          <w:p w14:paraId="779FCD8D">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处理器核心≥4、平衡输入≥4</w:t>
            </w:r>
          </w:p>
        </w:tc>
        <w:tc>
          <w:tcPr>
            <w:tcW w:w="851" w:type="dxa"/>
            <w:shd w:val="clear" w:color="auto" w:fill="auto"/>
            <w:noWrap/>
          </w:tcPr>
          <w:p w14:paraId="489D885E">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5E855896">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w:t>
            </w:r>
          </w:p>
        </w:tc>
        <w:tc>
          <w:tcPr>
            <w:tcW w:w="3119" w:type="dxa"/>
            <w:vMerge w:val="continue"/>
            <w:shd w:val="clear" w:color="auto" w:fill="auto"/>
            <w:noWrap/>
            <w:vAlign w:val="center"/>
          </w:tcPr>
          <w:p w14:paraId="3CA4558C">
            <w:pPr>
              <w:widowControl/>
              <w:jc w:val="center"/>
              <w:rPr>
                <w:kern w:val="0"/>
                <w:sz w:val="18"/>
                <w:szCs w:val="18"/>
              </w:rPr>
            </w:pPr>
          </w:p>
        </w:tc>
      </w:tr>
      <w:tr w14:paraId="3AF5E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576F1D2A">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5</w:t>
            </w:r>
          </w:p>
        </w:tc>
        <w:tc>
          <w:tcPr>
            <w:tcW w:w="1843" w:type="dxa"/>
            <w:shd w:val="clear" w:color="auto" w:fill="auto"/>
            <w:noWrap/>
          </w:tcPr>
          <w:p w14:paraId="5CBEAA33">
            <w:pPr>
              <w:widowControl/>
              <w:jc w:val="center"/>
              <w:rPr>
                <w:rFonts w:asciiTheme="minorEastAsia" w:hAnsiTheme="minorEastAsia" w:eastAsiaTheme="minorEastAsia"/>
                <w:kern w:val="0"/>
                <w:sz w:val="18"/>
                <w:szCs w:val="18"/>
              </w:rPr>
            </w:pPr>
            <w:r>
              <w:rPr>
                <w:rFonts w:hint="eastAsia" w:asciiTheme="minorEastAsia" w:hAnsiTheme="minorEastAsia" w:eastAsiaTheme="minorEastAsia"/>
                <w:sz w:val="18"/>
                <w:szCs w:val="18"/>
              </w:rPr>
              <w:t>功放</w:t>
            </w:r>
          </w:p>
        </w:tc>
        <w:tc>
          <w:tcPr>
            <w:tcW w:w="2693" w:type="dxa"/>
            <w:shd w:val="clear" w:color="auto" w:fill="auto"/>
            <w:noWrap/>
          </w:tcPr>
          <w:p w14:paraId="19944D7B">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≥1U、LINE平衡≥2、立体声≥200W*2</w:t>
            </w:r>
          </w:p>
        </w:tc>
        <w:tc>
          <w:tcPr>
            <w:tcW w:w="851" w:type="dxa"/>
            <w:shd w:val="clear" w:color="auto" w:fill="auto"/>
            <w:noWrap/>
          </w:tcPr>
          <w:p w14:paraId="696D3130">
            <w:pPr>
              <w:widowControl/>
              <w:jc w:val="center"/>
              <w:rPr>
                <w:rFonts w:asciiTheme="minorEastAsia" w:hAnsiTheme="minorEastAsia" w:eastAsiaTheme="minorEastAsia"/>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1D04DF8C">
            <w:pPr>
              <w:widowControl/>
              <w:jc w:val="center"/>
              <w:rPr>
                <w:rFonts w:asciiTheme="minorEastAsia" w:hAnsiTheme="minorEastAsia" w:eastAsiaTheme="minorEastAsia"/>
                <w:kern w:val="0"/>
                <w:sz w:val="18"/>
                <w:szCs w:val="18"/>
              </w:rPr>
            </w:pPr>
            <w:r>
              <w:rPr>
                <w:rFonts w:asciiTheme="minorEastAsia" w:hAnsiTheme="minorEastAsia" w:eastAsiaTheme="minorEastAsia"/>
                <w:sz w:val="18"/>
                <w:szCs w:val="18"/>
              </w:rPr>
              <w:t>3</w:t>
            </w:r>
          </w:p>
        </w:tc>
        <w:tc>
          <w:tcPr>
            <w:tcW w:w="3119" w:type="dxa"/>
            <w:vMerge w:val="continue"/>
            <w:shd w:val="clear" w:color="auto" w:fill="auto"/>
            <w:noWrap/>
            <w:vAlign w:val="center"/>
          </w:tcPr>
          <w:p w14:paraId="5F00C0EB">
            <w:pPr>
              <w:widowControl/>
              <w:jc w:val="center"/>
              <w:rPr>
                <w:kern w:val="0"/>
                <w:sz w:val="18"/>
                <w:szCs w:val="18"/>
              </w:rPr>
            </w:pPr>
          </w:p>
        </w:tc>
      </w:tr>
      <w:tr w14:paraId="1F7B9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06AC50A9">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6</w:t>
            </w:r>
          </w:p>
        </w:tc>
        <w:tc>
          <w:tcPr>
            <w:tcW w:w="1843" w:type="dxa"/>
            <w:shd w:val="clear" w:color="auto" w:fill="auto"/>
            <w:noWrap/>
          </w:tcPr>
          <w:p w14:paraId="1B9F0C75">
            <w:pPr>
              <w:widowControl/>
              <w:jc w:val="center"/>
              <w:rPr>
                <w:rFonts w:asciiTheme="minorEastAsia" w:hAnsiTheme="minorEastAsia" w:eastAsiaTheme="minorEastAsia"/>
                <w:kern w:val="0"/>
                <w:sz w:val="18"/>
                <w:szCs w:val="18"/>
              </w:rPr>
            </w:pPr>
            <w:r>
              <w:rPr>
                <w:rFonts w:hint="eastAsia" w:asciiTheme="minorEastAsia" w:hAnsiTheme="minorEastAsia" w:eastAsiaTheme="minorEastAsia"/>
                <w:sz w:val="18"/>
                <w:szCs w:val="18"/>
              </w:rPr>
              <w:t>音箱</w:t>
            </w:r>
          </w:p>
        </w:tc>
        <w:tc>
          <w:tcPr>
            <w:tcW w:w="2693" w:type="dxa"/>
            <w:shd w:val="clear" w:color="auto" w:fill="auto"/>
            <w:noWrap/>
          </w:tcPr>
          <w:p w14:paraId="3FADACA9">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功率≥100W</w:t>
            </w:r>
          </w:p>
        </w:tc>
        <w:tc>
          <w:tcPr>
            <w:tcW w:w="851" w:type="dxa"/>
            <w:shd w:val="clear" w:color="auto" w:fill="auto"/>
            <w:noWrap/>
          </w:tcPr>
          <w:p w14:paraId="04C5A62A">
            <w:pPr>
              <w:widowControl/>
              <w:jc w:val="center"/>
              <w:rPr>
                <w:rFonts w:asciiTheme="minorEastAsia" w:hAnsiTheme="minorEastAsia" w:eastAsiaTheme="minorEastAsia"/>
                <w:kern w:val="0"/>
                <w:sz w:val="18"/>
                <w:szCs w:val="18"/>
              </w:rPr>
            </w:pPr>
            <w:r>
              <w:rPr>
                <w:rFonts w:hint="eastAsia" w:asciiTheme="minorEastAsia" w:hAnsiTheme="minorEastAsia" w:eastAsiaTheme="minorEastAsia"/>
                <w:sz w:val="18"/>
                <w:szCs w:val="18"/>
              </w:rPr>
              <w:t>只</w:t>
            </w:r>
          </w:p>
        </w:tc>
        <w:tc>
          <w:tcPr>
            <w:tcW w:w="850" w:type="dxa"/>
            <w:shd w:val="clear" w:color="auto" w:fill="auto"/>
            <w:noWrap/>
          </w:tcPr>
          <w:p w14:paraId="2D8459C6">
            <w:pPr>
              <w:widowControl/>
              <w:jc w:val="center"/>
              <w:rPr>
                <w:rFonts w:asciiTheme="minorEastAsia" w:hAnsiTheme="minorEastAsia" w:eastAsiaTheme="minorEastAsia"/>
                <w:kern w:val="0"/>
                <w:sz w:val="18"/>
                <w:szCs w:val="18"/>
              </w:rPr>
            </w:pPr>
            <w:r>
              <w:rPr>
                <w:rFonts w:asciiTheme="minorEastAsia" w:hAnsiTheme="minorEastAsia" w:eastAsiaTheme="minorEastAsia"/>
                <w:sz w:val="18"/>
                <w:szCs w:val="18"/>
              </w:rPr>
              <w:t>6</w:t>
            </w:r>
          </w:p>
        </w:tc>
        <w:tc>
          <w:tcPr>
            <w:tcW w:w="3119" w:type="dxa"/>
            <w:vMerge w:val="continue"/>
            <w:shd w:val="clear" w:color="auto" w:fill="auto"/>
            <w:noWrap/>
            <w:vAlign w:val="center"/>
          </w:tcPr>
          <w:p w14:paraId="4974C377">
            <w:pPr>
              <w:widowControl/>
              <w:jc w:val="center"/>
              <w:rPr>
                <w:kern w:val="0"/>
                <w:sz w:val="18"/>
                <w:szCs w:val="18"/>
              </w:rPr>
            </w:pPr>
          </w:p>
        </w:tc>
      </w:tr>
      <w:tr w14:paraId="09C62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62881E8D">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7</w:t>
            </w:r>
          </w:p>
        </w:tc>
        <w:tc>
          <w:tcPr>
            <w:tcW w:w="1843" w:type="dxa"/>
            <w:shd w:val="clear" w:color="auto" w:fill="auto"/>
            <w:noWrap/>
          </w:tcPr>
          <w:p w14:paraId="1B08FA64">
            <w:pPr>
              <w:widowControl/>
              <w:jc w:val="center"/>
              <w:rPr>
                <w:rFonts w:asciiTheme="minorEastAsia" w:hAnsiTheme="minorEastAsia" w:eastAsiaTheme="minorEastAsia"/>
                <w:kern w:val="0"/>
                <w:sz w:val="18"/>
                <w:szCs w:val="18"/>
              </w:rPr>
            </w:pPr>
            <w:r>
              <w:rPr>
                <w:rFonts w:hint="eastAsia" w:asciiTheme="minorEastAsia" w:hAnsiTheme="minorEastAsia" w:eastAsiaTheme="minorEastAsia"/>
                <w:sz w:val="18"/>
                <w:szCs w:val="18"/>
              </w:rPr>
              <w:t>电源</w:t>
            </w:r>
          </w:p>
        </w:tc>
        <w:tc>
          <w:tcPr>
            <w:tcW w:w="2693" w:type="dxa"/>
            <w:shd w:val="clear" w:color="auto" w:fill="auto"/>
            <w:noWrap/>
          </w:tcPr>
          <w:p w14:paraId="427A88C6">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支持通道≥8、延迟时间≤1S</w:t>
            </w:r>
          </w:p>
        </w:tc>
        <w:tc>
          <w:tcPr>
            <w:tcW w:w="851" w:type="dxa"/>
            <w:shd w:val="clear" w:color="auto" w:fill="auto"/>
            <w:noWrap/>
          </w:tcPr>
          <w:p w14:paraId="71DDE17A">
            <w:pPr>
              <w:widowControl/>
              <w:jc w:val="center"/>
              <w:rPr>
                <w:rFonts w:asciiTheme="minorEastAsia" w:hAnsiTheme="minorEastAsia" w:eastAsiaTheme="minorEastAsia"/>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68200572">
            <w:pPr>
              <w:widowControl/>
              <w:jc w:val="center"/>
              <w:rPr>
                <w:rFonts w:asciiTheme="minorEastAsia" w:hAnsiTheme="minorEastAsia" w:eastAsiaTheme="minorEastAsia"/>
                <w:kern w:val="0"/>
                <w:sz w:val="18"/>
                <w:szCs w:val="18"/>
              </w:rPr>
            </w:pPr>
            <w:r>
              <w:rPr>
                <w:rFonts w:asciiTheme="minorEastAsia" w:hAnsiTheme="minorEastAsia" w:eastAsiaTheme="minorEastAsia"/>
                <w:sz w:val="18"/>
                <w:szCs w:val="18"/>
              </w:rPr>
              <w:t>3</w:t>
            </w:r>
          </w:p>
        </w:tc>
        <w:tc>
          <w:tcPr>
            <w:tcW w:w="3119" w:type="dxa"/>
            <w:vMerge w:val="continue"/>
            <w:shd w:val="clear" w:color="auto" w:fill="auto"/>
            <w:noWrap/>
            <w:vAlign w:val="center"/>
          </w:tcPr>
          <w:p w14:paraId="2F7DD7A2">
            <w:pPr>
              <w:widowControl/>
              <w:jc w:val="center"/>
              <w:rPr>
                <w:kern w:val="0"/>
                <w:sz w:val="18"/>
                <w:szCs w:val="18"/>
              </w:rPr>
            </w:pPr>
          </w:p>
        </w:tc>
      </w:tr>
      <w:tr w14:paraId="4D289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11D08ACD">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8</w:t>
            </w:r>
          </w:p>
        </w:tc>
        <w:tc>
          <w:tcPr>
            <w:tcW w:w="1843" w:type="dxa"/>
            <w:shd w:val="clear" w:color="auto" w:fill="auto"/>
            <w:noWrap/>
          </w:tcPr>
          <w:p w14:paraId="08698423">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会议主机</w:t>
            </w:r>
          </w:p>
        </w:tc>
        <w:tc>
          <w:tcPr>
            <w:tcW w:w="2693" w:type="dxa"/>
            <w:shd w:val="clear" w:color="auto" w:fill="auto"/>
            <w:noWrap/>
          </w:tcPr>
          <w:p w14:paraId="52FEE5E4">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支持有线≥4000、无线单元≥300</w:t>
            </w:r>
          </w:p>
        </w:tc>
        <w:tc>
          <w:tcPr>
            <w:tcW w:w="851" w:type="dxa"/>
            <w:shd w:val="clear" w:color="auto" w:fill="auto"/>
            <w:noWrap/>
          </w:tcPr>
          <w:p w14:paraId="17C637FE">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2A5ECEC9">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w:t>
            </w:r>
          </w:p>
        </w:tc>
        <w:tc>
          <w:tcPr>
            <w:tcW w:w="3119" w:type="dxa"/>
            <w:vMerge w:val="continue"/>
            <w:shd w:val="clear" w:color="auto" w:fill="auto"/>
            <w:noWrap/>
            <w:vAlign w:val="center"/>
          </w:tcPr>
          <w:p w14:paraId="122FC1C0">
            <w:pPr>
              <w:widowControl/>
              <w:jc w:val="center"/>
              <w:rPr>
                <w:kern w:val="0"/>
                <w:sz w:val="18"/>
                <w:szCs w:val="18"/>
              </w:rPr>
            </w:pPr>
          </w:p>
        </w:tc>
      </w:tr>
      <w:tr w14:paraId="1BA06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291800BE">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9</w:t>
            </w:r>
          </w:p>
        </w:tc>
        <w:tc>
          <w:tcPr>
            <w:tcW w:w="1843" w:type="dxa"/>
            <w:shd w:val="clear" w:color="auto" w:fill="auto"/>
            <w:noWrap/>
          </w:tcPr>
          <w:p w14:paraId="18E1526A">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会议系统</w:t>
            </w:r>
          </w:p>
        </w:tc>
        <w:tc>
          <w:tcPr>
            <w:tcW w:w="2693" w:type="dxa"/>
            <w:shd w:val="clear" w:color="auto" w:fill="auto"/>
            <w:noWrap/>
          </w:tcPr>
          <w:p w14:paraId="17237ABC">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定制</w:t>
            </w:r>
          </w:p>
        </w:tc>
        <w:tc>
          <w:tcPr>
            <w:tcW w:w="851" w:type="dxa"/>
            <w:shd w:val="clear" w:color="auto" w:fill="auto"/>
            <w:noWrap/>
          </w:tcPr>
          <w:p w14:paraId="47284A0D">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套</w:t>
            </w:r>
          </w:p>
        </w:tc>
        <w:tc>
          <w:tcPr>
            <w:tcW w:w="850" w:type="dxa"/>
            <w:shd w:val="clear" w:color="auto" w:fill="auto"/>
            <w:noWrap/>
          </w:tcPr>
          <w:p w14:paraId="6FADA0B3">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w:t>
            </w:r>
          </w:p>
        </w:tc>
        <w:tc>
          <w:tcPr>
            <w:tcW w:w="3119" w:type="dxa"/>
            <w:vMerge w:val="continue"/>
            <w:shd w:val="clear" w:color="auto" w:fill="auto"/>
            <w:noWrap/>
            <w:vAlign w:val="center"/>
          </w:tcPr>
          <w:p w14:paraId="72FAD3E8">
            <w:pPr>
              <w:widowControl/>
              <w:jc w:val="center"/>
              <w:rPr>
                <w:kern w:val="0"/>
                <w:sz w:val="18"/>
                <w:szCs w:val="18"/>
              </w:rPr>
            </w:pPr>
          </w:p>
        </w:tc>
      </w:tr>
      <w:tr w14:paraId="315C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737F0ED8">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10</w:t>
            </w:r>
          </w:p>
        </w:tc>
        <w:tc>
          <w:tcPr>
            <w:tcW w:w="1843" w:type="dxa"/>
            <w:shd w:val="clear" w:color="auto" w:fill="auto"/>
            <w:noWrap/>
          </w:tcPr>
          <w:p w14:paraId="6C6968C1">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处理器</w:t>
            </w:r>
          </w:p>
        </w:tc>
        <w:tc>
          <w:tcPr>
            <w:tcW w:w="2693" w:type="dxa"/>
            <w:shd w:val="clear" w:color="auto" w:fill="auto"/>
            <w:noWrap/>
          </w:tcPr>
          <w:p w14:paraId="22E4B0B9">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≥64个预设位、≥1个船形开关、≥4个RJ45、≥1个RS485、≥2个RS232</w:t>
            </w:r>
          </w:p>
        </w:tc>
        <w:tc>
          <w:tcPr>
            <w:tcW w:w="851" w:type="dxa"/>
            <w:shd w:val="clear" w:color="auto" w:fill="auto"/>
            <w:noWrap/>
          </w:tcPr>
          <w:p w14:paraId="3A5C5F62">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04C3F298">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w:t>
            </w:r>
          </w:p>
        </w:tc>
        <w:tc>
          <w:tcPr>
            <w:tcW w:w="3119" w:type="dxa"/>
            <w:vMerge w:val="continue"/>
            <w:shd w:val="clear" w:color="auto" w:fill="auto"/>
            <w:noWrap/>
            <w:vAlign w:val="center"/>
          </w:tcPr>
          <w:p w14:paraId="6C3E6956">
            <w:pPr>
              <w:widowControl/>
              <w:jc w:val="center"/>
              <w:rPr>
                <w:kern w:val="0"/>
                <w:sz w:val="18"/>
                <w:szCs w:val="18"/>
              </w:rPr>
            </w:pPr>
          </w:p>
        </w:tc>
      </w:tr>
      <w:tr w14:paraId="1C9F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3304ABDB">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11</w:t>
            </w:r>
          </w:p>
        </w:tc>
        <w:tc>
          <w:tcPr>
            <w:tcW w:w="1843" w:type="dxa"/>
            <w:shd w:val="clear" w:color="auto" w:fill="auto"/>
            <w:noWrap/>
          </w:tcPr>
          <w:p w14:paraId="5541AFA6">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抑制器</w:t>
            </w:r>
          </w:p>
        </w:tc>
        <w:tc>
          <w:tcPr>
            <w:tcW w:w="2693" w:type="dxa"/>
            <w:shd w:val="clear" w:color="auto" w:fill="auto"/>
            <w:noWrap/>
          </w:tcPr>
          <w:p w14:paraId="53FC4AE5">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主频≥1.3GHz、≥2个反馈抑制通道</w:t>
            </w:r>
          </w:p>
        </w:tc>
        <w:tc>
          <w:tcPr>
            <w:tcW w:w="851" w:type="dxa"/>
            <w:shd w:val="clear" w:color="auto" w:fill="auto"/>
            <w:noWrap/>
          </w:tcPr>
          <w:p w14:paraId="10D219FF">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673C0734">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w:t>
            </w:r>
          </w:p>
        </w:tc>
        <w:tc>
          <w:tcPr>
            <w:tcW w:w="3119" w:type="dxa"/>
            <w:vMerge w:val="continue"/>
            <w:shd w:val="clear" w:color="auto" w:fill="auto"/>
            <w:noWrap/>
            <w:vAlign w:val="center"/>
          </w:tcPr>
          <w:p w14:paraId="04ED3F3E">
            <w:pPr>
              <w:widowControl/>
              <w:jc w:val="center"/>
              <w:rPr>
                <w:kern w:val="0"/>
                <w:sz w:val="18"/>
                <w:szCs w:val="18"/>
              </w:rPr>
            </w:pPr>
          </w:p>
        </w:tc>
      </w:tr>
      <w:tr w14:paraId="560D5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3EC0B511">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1</w:t>
            </w:r>
            <w:r>
              <w:rPr>
                <w:rFonts w:asciiTheme="minorEastAsia" w:hAnsiTheme="minorEastAsia" w:eastAsiaTheme="minorEastAsia"/>
                <w:color w:val="000000"/>
                <w:kern w:val="0"/>
                <w:sz w:val="18"/>
                <w:szCs w:val="18"/>
              </w:rPr>
              <w:t>2</w:t>
            </w:r>
          </w:p>
        </w:tc>
        <w:tc>
          <w:tcPr>
            <w:tcW w:w="1843" w:type="dxa"/>
            <w:shd w:val="clear" w:color="auto" w:fill="auto"/>
            <w:noWrap/>
          </w:tcPr>
          <w:p w14:paraId="01EF1C3B">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会议话筒</w:t>
            </w:r>
          </w:p>
        </w:tc>
        <w:tc>
          <w:tcPr>
            <w:tcW w:w="2693" w:type="dxa"/>
            <w:shd w:val="clear" w:color="auto" w:fill="auto"/>
            <w:noWrap/>
          </w:tcPr>
          <w:p w14:paraId="4D1AA8BF">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≥48K采样率、TCP/IP协议、≥四种语言</w:t>
            </w:r>
          </w:p>
        </w:tc>
        <w:tc>
          <w:tcPr>
            <w:tcW w:w="851" w:type="dxa"/>
            <w:shd w:val="clear" w:color="auto" w:fill="auto"/>
            <w:noWrap/>
          </w:tcPr>
          <w:p w14:paraId="12C892C4">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33B3187C">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w:t>
            </w:r>
          </w:p>
        </w:tc>
        <w:tc>
          <w:tcPr>
            <w:tcW w:w="3119" w:type="dxa"/>
            <w:vMerge w:val="continue"/>
            <w:shd w:val="clear" w:color="auto" w:fill="auto"/>
            <w:noWrap/>
            <w:vAlign w:val="center"/>
          </w:tcPr>
          <w:p w14:paraId="78BF181F">
            <w:pPr>
              <w:widowControl/>
              <w:jc w:val="center"/>
              <w:rPr>
                <w:kern w:val="0"/>
                <w:sz w:val="18"/>
                <w:szCs w:val="18"/>
              </w:rPr>
            </w:pPr>
          </w:p>
        </w:tc>
      </w:tr>
      <w:tr w14:paraId="6494A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59CD2FB8">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1</w:t>
            </w:r>
            <w:r>
              <w:rPr>
                <w:rFonts w:asciiTheme="minorEastAsia" w:hAnsiTheme="minorEastAsia" w:eastAsiaTheme="minorEastAsia"/>
                <w:color w:val="000000"/>
                <w:kern w:val="0"/>
                <w:sz w:val="18"/>
                <w:szCs w:val="18"/>
              </w:rPr>
              <w:t>3</w:t>
            </w:r>
          </w:p>
        </w:tc>
        <w:tc>
          <w:tcPr>
            <w:tcW w:w="1843" w:type="dxa"/>
            <w:shd w:val="clear" w:color="auto" w:fill="auto"/>
            <w:noWrap/>
          </w:tcPr>
          <w:p w14:paraId="2FAC7DF6">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控制软件</w:t>
            </w:r>
          </w:p>
        </w:tc>
        <w:tc>
          <w:tcPr>
            <w:tcW w:w="2693" w:type="dxa"/>
            <w:shd w:val="clear" w:color="auto" w:fill="auto"/>
            <w:noWrap/>
          </w:tcPr>
          <w:p w14:paraId="07691139">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定制</w:t>
            </w:r>
          </w:p>
        </w:tc>
        <w:tc>
          <w:tcPr>
            <w:tcW w:w="851" w:type="dxa"/>
            <w:shd w:val="clear" w:color="auto" w:fill="auto"/>
            <w:noWrap/>
          </w:tcPr>
          <w:p w14:paraId="64C67CCA">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套</w:t>
            </w:r>
          </w:p>
        </w:tc>
        <w:tc>
          <w:tcPr>
            <w:tcW w:w="850" w:type="dxa"/>
            <w:shd w:val="clear" w:color="auto" w:fill="auto"/>
            <w:noWrap/>
          </w:tcPr>
          <w:p w14:paraId="2DAE3D5B">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w:t>
            </w:r>
          </w:p>
        </w:tc>
        <w:tc>
          <w:tcPr>
            <w:tcW w:w="3119" w:type="dxa"/>
            <w:vMerge w:val="continue"/>
            <w:shd w:val="clear" w:color="auto" w:fill="auto"/>
            <w:noWrap/>
            <w:vAlign w:val="center"/>
          </w:tcPr>
          <w:p w14:paraId="10749C16">
            <w:pPr>
              <w:widowControl/>
              <w:jc w:val="center"/>
              <w:rPr>
                <w:kern w:val="0"/>
                <w:sz w:val="18"/>
                <w:szCs w:val="18"/>
              </w:rPr>
            </w:pPr>
          </w:p>
        </w:tc>
      </w:tr>
      <w:tr w14:paraId="42CD9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36776CC9">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1</w:t>
            </w:r>
            <w:r>
              <w:rPr>
                <w:rFonts w:asciiTheme="minorEastAsia" w:hAnsiTheme="minorEastAsia" w:eastAsiaTheme="minorEastAsia"/>
                <w:color w:val="000000"/>
                <w:kern w:val="0"/>
                <w:sz w:val="18"/>
                <w:szCs w:val="18"/>
              </w:rPr>
              <w:t>4</w:t>
            </w:r>
          </w:p>
        </w:tc>
        <w:tc>
          <w:tcPr>
            <w:tcW w:w="1843" w:type="dxa"/>
            <w:shd w:val="clear" w:color="auto" w:fill="auto"/>
            <w:noWrap/>
          </w:tcPr>
          <w:p w14:paraId="1E951E88">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会议话筒</w:t>
            </w:r>
          </w:p>
        </w:tc>
        <w:tc>
          <w:tcPr>
            <w:tcW w:w="2693" w:type="dxa"/>
            <w:shd w:val="clear" w:color="auto" w:fill="auto"/>
            <w:noWrap/>
          </w:tcPr>
          <w:p w14:paraId="59C11422">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≥48K采样率、TCP/IP协议、≥四种语言</w:t>
            </w:r>
          </w:p>
        </w:tc>
        <w:tc>
          <w:tcPr>
            <w:tcW w:w="851" w:type="dxa"/>
            <w:shd w:val="clear" w:color="auto" w:fill="auto"/>
            <w:noWrap/>
          </w:tcPr>
          <w:p w14:paraId="5F2E3630">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0AE1C77A">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28</w:t>
            </w:r>
          </w:p>
        </w:tc>
        <w:tc>
          <w:tcPr>
            <w:tcW w:w="3119" w:type="dxa"/>
            <w:vMerge w:val="continue"/>
            <w:shd w:val="clear" w:color="auto" w:fill="auto"/>
            <w:noWrap/>
            <w:vAlign w:val="center"/>
          </w:tcPr>
          <w:p w14:paraId="12AE4659">
            <w:pPr>
              <w:widowControl/>
              <w:jc w:val="center"/>
              <w:rPr>
                <w:kern w:val="0"/>
                <w:sz w:val="18"/>
                <w:szCs w:val="18"/>
              </w:rPr>
            </w:pPr>
          </w:p>
        </w:tc>
      </w:tr>
      <w:tr w14:paraId="7820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637C43B3">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1</w:t>
            </w:r>
            <w:r>
              <w:rPr>
                <w:rFonts w:asciiTheme="minorEastAsia" w:hAnsiTheme="minorEastAsia" w:eastAsiaTheme="minorEastAsia"/>
                <w:color w:val="000000"/>
                <w:kern w:val="0"/>
                <w:sz w:val="18"/>
                <w:szCs w:val="18"/>
              </w:rPr>
              <w:t>5</w:t>
            </w:r>
          </w:p>
        </w:tc>
        <w:tc>
          <w:tcPr>
            <w:tcW w:w="1843" w:type="dxa"/>
            <w:shd w:val="clear" w:color="auto" w:fill="auto"/>
            <w:noWrap/>
          </w:tcPr>
          <w:p w14:paraId="313E1C5F">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会议软件</w:t>
            </w:r>
          </w:p>
        </w:tc>
        <w:tc>
          <w:tcPr>
            <w:tcW w:w="2693" w:type="dxa"/>
            <w:shd w:val="clear" w:color="auto" w:fill="auto"/>
            <w:noWrap/>
          </w:tcPr>
          <w:p w14:paraId="36D32308">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定制</w:t>
            </w:r>
          </w:p>
        </w:tc>
        <w:tc>
          <w:tcPr>
            <w:tcW w:w="851" w:type="dxa"/>
            <w:shd w:val="clear" w:color="auto" w:fill="auto"/>
            <w:noWrap/>
          </w:tcPr>
          <w:p w14:paraId="5CF3BE6D">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套</w:t>
            </w:r>
          </w:p>
        </w:tc>
        <w:tc>
          <w:tcPr>
            <w:tcW w:w="850" w:type="dxa"/>
            <w:shd w:val="clear" w:color="auto" w:fill="auto"/>
            <w:noWrap/>
          </w:tcPr>
          <w:p w14:paraId="0DDD313E">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17</w:t>
            </w:r>
          </w:p>
        </w:tc>
        <w:tc>
          <w:tcPr>
            <w:tcW w:w="3119" w:type="dxa"/>
            <w:vMerge w:val="continue"/>
            <w:shd w:val="clear" w:color="auto" w:fill="auto"/>
            <w:noWrap/>
            <w:vAlign w:val="center"/>
          </w:tcPr>
          <w:p w14:paraId="79B6E299">
            <w:pPr>
              <w:widowControl/>
              <w:jc w:val="center"/>
              <w:rPr>
                <w:kern w:val="0"/>
                <w:sz w:val="18"/>
                <w:szCs w:val="18"/>
              </w:rPr>
            </w:pPr>
          </w:p>
        </w:tc>
      </w:tr>
      <w:tr w14:paraId="0E6A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7FDD3B81">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16</w:t>
            </w:r>
          </w:p>
        </w:tc>
        <w:tc>
          <w:tcPr>
            <w:tcW w:w="1843" w:type="dxa"/>
            <w:shd w:val="clear" w:color="auto" w:fill="auto"/>
            <w:noWrap/>
          </w:tcPr>
          <w:p w14:paraId="6540C26A">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中控</w:t>
            </w:r>
          </w:p>
        </w:tc>
        <w:tc>
          <w:tcPr>
            <w:tcW w:w="2693" w:type="dxa"/>
            <w:shd w:val="clear" w:color="auto" w:fill="auto"/>
            <w:noWrap/>
          </w:tcPr>
          <w:p w14:paraId="006F54C6">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≥8路独立编程单元、红外单元</w:t>
            </w:r>
          </w:p>
        </w:tc>
        <w:tc>
          <w:tcPr>
            <w:tcW w:w="851" w:type="dxa"/>
            <w:shd w:val="clear" w:color="auto" w:fill="auto"/>
            <w:noWrap/>
          </w:tcPr>
          <w:p w14:paraId="4A13D17F">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7558DD5C">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1</w:t>
            </w:r>
          </w:p>
        </w:tc>
        <w:tc>
          <w:tcPr>
            <w:tcW w:w="3119" w:type="dxa"/>
            <w:vMerge w:val="continue"/>
            <w:shd w:val="clear" w:color="auto" w:fill="auto"/>
            <w:noWrap/>
            <w:vAlign w:val="center"/>
          </w:tcPr>
          <w:p w14:paraId="6D311120">
            <w:pPr>
              <w:widowControl/>
              <w:jc w:val="center"/>
              <w:rPr>
                <w:kern w:val="0"/>
                <w:sz w:val="18"/>
                <w:szCs w:val="18"/>
              </w:rPr>
            </w:pPr>
          </w:p>
        </w:tc>
      </w:tr>
      <w:tr w14:paraId="3A20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33FEE6A2">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1</w:t>
            </w:r>
            <w:r>
              <w:rPr>
                <w:rFonts w:asciiTheme="minorEastAsia" w:hAnsiTheme="minorEastAsia" w:eastAsiaTheme="minorEastAsia"/>
                <w:color w:val="000000"/>
                <w:kern w:val="0"/>
                <w:sz w:val="18"/>
                <w:szCs w:val="18"/>
              </w:rPr>
              <w:t>7</w:t>
            </w:r>
          </w:p>
        </w:tc>
        <w:tc>
          <w:tcPr>
            <w:tcW w:w="1843" w:type="dxa"/>
            <w:shd w:val="clear" w:color="auto" w:fill="auto"/>
            <w:noWrap/>
          </w:tcPr>
          <w:p w14:paraId="54E29E6E">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处理单元</w:t>
            </w:r>
          </w:p>
        </w:tc>
        <w:tc>
          <w:tcPr>
            <w:tcW w:w="2693" w:type="dxa"/>
            <w:shd w:val="clear" w:color="auto" w:fill="auto"/>
            <w:noWrap/>
          </w:tcPr>
          <w:p w14:paraId="14E4CA0A">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≥8路控制器，≥8个继电器，单路≥4400W</w:t>
            </w:r>
          </w:p>
        </w:tc>
        <w:tc>
          <w:tcPr>
            <w:tcW w:w="851" w:type="dxa"/>
            <w:shd w:val="clear" w:color="auto" w:fill="auto"/>
            <w:noWrap/>
          </w:tcPr>
          <w:p w14:paraId="2827A093">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套</w:t>
            </w:r>
          </w:p>
        </w:tc>
        <w:tc>
          <w:tcPr>
            <w:tcW w:w="850" w:type="dxa"/>
            <w:shd w:val="clear" w:color="auto" w:fill="auto"/>
            <w:noWrap/>
          </w:tcPr>
          <w:p w14:paraId="1347F10F">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1</w:t>
            </w:r>
          </w:p>
        </w:tc>
        <w:tc>
          <w:tcPr>
            <w:tcW w:w="3119" w:type="dxa"/>
            <w:vMerge w:val="continue"/>
            <w:shd w:val="clear" w:color="auto" w:fill="auto"/>
            <w:noWrap/>
            <w:vAlign w:val="center"/>
          </w:tcPr>
          <w:p w14:paraId="49F79521">
            <w:pPr>
              <w:widowControl/>
              <w:jc w:val="center"/>
              <w:rPr>
                <w:kern w:val="0"/>
                <w:sz w:val="18"/>
                <w:szCs w:val="18"/>
              </w:rPr>
            </w:pPr>
          </w:p>
        </w:tc>
      </w:tr>
      <w:tr w14:paraId="61B93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1D440604">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1</w:t>
            </w:r>
            <w:r>
              <w:rPr>
                <w:rFonts w:asciiTheme="minorEastAsia" w:hAnsiTheme="minorEastAsia" w:eastAsiaTheme="minorEastAsia"/>
                <w:color w:val="000000"/>
                <w:kern w:val="0"/>
                <w:sz w:val="18"/>
                <w:szCs w:val="18"/>
              </w:rPr>
              <w:t>8</w:t>
            </w:r>
          </w:p>
        </w:tc>
        <w:tc>
          <w:tcPr>
            <w:tcW w:w="1843" w:type="dxa"/>
            <w:shd w:val="clear" w:color="auto" w:fill="auto"/>
            <w:noWrap/>
          </w:tcPr>
          <w:p w14:paraId="55A78C9C">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控制器</w:t>
            </w:r>
          </w:p>
        </w:tc>
        <w:tc>
          <w:tcPr>
            <w:tcW w:w="2693" w:type="dxa"/>
            <w:shd w:val="clear" w:color="auto" w:fill="auto"/>
            <w:noWrap/>
          </w:tcPr>
          <w:p w14:paraId="17CA2F9D">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定制</w:t>
            </w:r>
          </w:p>
        </w:tc>
        <w:tc>
          <w:tcPr>
            <w:tcW w:w="851" w:type="dxa"/>
            <w:shd w:val="clear" w:color="auto" w:fill="auto"/>
            <w:noWrap/>
          </w:tcPr>
          <w:p w14:paraId="429165F0">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5F00821A">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1</w:t>
            </w:r>
          </w:p>
        </w:tc>
        <w:tc>
          <w:tcPr>
            <w:tcW w:w="3119" w:type="dxa"/>
            <w:vMerge w:val="continue"/>
            <w:shd w:val="clear" w:color="auto" w:fill="auto"/>
            <w:noWrap/>
            <w:vAlign w:val="center"/>
          </w:tcPr>
          <w:p w14:paraId="318BF816">
            <w:pPr>
              <w:widowControl/>
              <w:jc w:val="center"/>
              <w:rPr>
                <w:kern w:val="0"/>
                <w:sz w:val="18"/>
                <w:szCs w:val="18"/>
              </w:rPr>
            </w:pPr>
          </w:p>
        </w:tc>
      </w:tr>
      <w:tr w14:paraId="2CFDA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19D68DF1">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1</w:t>
            </w:r>
            <w:r>
              <w:rPr>
                <w:rFonts w:asciiTheme="minorEastAsia" w:hAnsiTheme="minorEastAsia" w:eastAsiaTheme="minorEastAsia"/>
                <w:color w:val="000000"/>
                <w:kern w:val="0"/>
                <w:sz w:val="18"/>
                <w:szCs w:val="18"/>
              </w:rPr>
              <w:t>9</w:t>
            </w:r>
          </w:p>
        </w:tc>
        <w:tc>
          <w:tcPr>
            <w:tcW w:w="1843" w:type="dxa"/>
            <w:shd w:val="clear" w:color="auto" w:fill="auto"/>
            <w:noWrap/>
          </w:tcPr>
          <w:p w14:paraId="57101EC8">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摄像机</w:t>
            </w:r>
          </w:p>
        </w:tc>
        <w:tc>
          <w:tcPr>
            <w:tcW w:w="2693" w:type="dxa"/>
            <w:shd w:val="clear" w:color="auto" w:fill="auto"/>
            <w:noWrap/>
          </w:tcPr>
          <w:p w14:paraId="2079BC65">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CMOS≥1/2.5英寸、像素≥800万、≥4K、支持3G-SDI</w:t>
            </w:r>
          </w:p>
        </w:tc>
        <w:tc>
          <w:tcPr>
            <w:tcW w:w="851" w:type="dxa"/>
            <w:shd w:val="clear" w:color="auto" w:fill="auto"/>
            <w:noWrap/>
          </w:tcPr>
          <w:p w14:paraId="793D2B15">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3AAAADE7">
            <w:pPr>
              <w:widowControl/>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c>
          <w:tcPr>
            <w:tcW w:w="3119" w:type="dxa"/>
            <w:vMerge w:val="continue"/>
            <w:shd w:val="clear" w:color="auto" w:fill="auto"/>
            <w:noWrap/>
            <w:vAlign w:val="center"/>
          </w:tcPr>
          <w:p w14:paraId="40DE58B3">
            <w:pPr>
              <w:widowControl/>
              <w:jc w:val="center"/>
              <w:rPr>
                <w:kern w:val="0"/>
                <w:sz w:val="18"/>
                <w:szCs w:val="18"/>
              </w:rPr>
            </w:pPr>
          </w:p>
        </w:tc>
      </w:tr>
      <w:tr w14:paraId="75E8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19E7079B">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20</w:t>
            </w:r>
          </w:p>
        </w:tc>
        <w:tc>
          <w:tcPr>
            <w:tcW w:w="1843" w:type="dxa"/>
            <w:shd w:val="clear" w:color="auto" w:fill="auto"/>
            <w:noWrap/>
          </w:tcPr>
          <w:p w14:paraId="4F1B94E2">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摄像机控制协议</w:t>
            </w:r>
          </w:p>
        </w:tc>
        <w:tc>
          <w:tcPr>
            <w:tcW w:w="2693" w:type="dxa"/>
            <w:shd w:val="clear" w:color="auto" w:fill="auto"/>
            <w:noWrap/>
          </w:tcPr>
          <w:p w14:paraId="702B7831">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定制</w:t>
            </w:r>
          </w:p>
        </w:tc>
        <w:tc>
          <w:tcPr>
            <w:tcW w:w="851" w:type="dxa"/>
            <w:shd w:val="clear" w:color="auto" w:fill="auto"/>
            <w:noWrap/>
          </w:tcPr>
          <w:p w14:paraId="4EAEE4B0">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套</w:t>
            </w:r>
          </w:p>
        </w:tc>
        <w:tc>
          <w:tcPr>
            <w:tcW w:w="850" w:type="dxa"/>
            <w:shd w:val="clear" w:color="auto" w:fill="auto"/>
            <w:noWrap/>
          </w:tcPr>
          <w:p w14:paraId="26881B91">
            <w:pPr>
              <w:widowControl/>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c>
          <w:tcPr>
            <w:tcW w:w="3119" w:type="dxa"/>
            <w:vMerge w:val="continue"/>
            <w:shd w:val="clear" w:color="auto" w:fill="auto"/>
            <w:noWrap/>
            <w:vAlign w:val="center"/>
          </w:tcPr>
          <w:p w14:paraId="4E96452B">
            <w:pPr>
              <w:widowControl/>
              <w:jc w:val="center"/>
              <w:rPr>
                <w:kern w:val="0"/>
                <w:sz w:val="18"/>
                <w:szCs w:val="18"/>
              </w:rPr>
            </w:pPr>
          </w:p>
        </w:tc>
      </w:tr>
      <w:tr w14:paraId="4F240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6F779DCB">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2</w:t>
            </w:r>
            <w:r>
              <w:rPr>
                <w:rFonts w:asciiTheme="minorEastAsia" w:hAnsiTheme="minorEastAsia" w:eastAsiaTheme="minorEastAsia"/>
                <w:color w:val="000000"/>
                <w:kern w:val="0"/>
                <w:sz w:val="18"/>
                <w:szCs w:val="18"/>
              </w:rPr>
              <w:t>1</w:t>
            </w:r>
          </w:p>
        </w:tc>
        <w:tc>
          <w:tcPr>
            <w:tcW w:w="1843" w:type="dxa"/>
            <w:shd w:val="clear" w:color="auto" w:fill="auto"/>
            <w:noWrap/>
          </w:tcPr>
          <w:p w14:paraId="5AED6B0E">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视频矩阵</w:t>
            </w:r>
          </w:p>
        </w:tc>
        <w:tc>
          <w:tcPr>
            <w:tcW w:w="2693" w:type="dxa"/>
            <w:shd w:val="clear" w:color="auto" w:fill="auto"/>
            <w:noWrap/>
          </w:tcPr>
          <w:p w14:paraId="6130F118">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输入输出≥4路、4K 30Hz</w:t>
            </w:r>
          </w:p>
        </w:tc>
        <w:tc>
          <w:tcPr>
            <w:tcW w:w="851" w:type="dxa"/>
            <w:shd w:val="clear" w:color="auto" w:fill="auto"/>
            <w:noWrap/>
          </w:tcPr>
          <w:p w14:paraId="2D9E0CF9">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23646B79">
            <w:pPr>
              <w:widowControl/>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c>
          <w:tcPr>
            <w:tcW w:w="3119" w:type="dxa"/>
            <w:vMerge w:val="continue"/>
            <w:shd w:val="clear" w:color="auto" w:fill="auto"/>
            <w:noWrap/>
            <w:vAlign w:val="center"/>
          </w:tcPr>
          <w:p w14:paraId="5E7BD194">
            <w:pPr>
              <w:widowControl/>
              <w:jc w:val="center"/>
              <w:rPr>
                <w:kern w:val="0"/>
                <w:sz w:val="18"/>
                <w:szCs w:val="18"/>
              </w:rPr>
            </w:pPr>
          </w:p>
        </w:tc>
      </w:tr>
      <w:tr w14:paraId="6AD51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33FB127F">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2</w:t>
            </w:r>
            <w:r>
              <w:rPr>
                <w:rFonts w:asciiTheme="minorEastAsia" w:hAnsiTheme="minorEastAsia" w:eastAsiaTheme="minorEastAsia"/>
                <w:color w:val="000000"/>
                <w:kern w:val="0"/>
                <w:sz w:val="18"/>
                <w:szCs w:val="18"/>
              </w:rPr>
              <w:t>2</w:t>
            </w:r>
          </w:p>
        </w:tc>
        <w:tc>
          <w:tcPr>
            <w:tcW w:w="1843" w:type="dxa"/>
            <w:shd w:val="clear" w:color="auto" w:fill="auto"/>
            <w:noWrap/>
          </w:tcPr>
          <w:p w14:paraId="420158A5">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切换软件</w:t>
            </w:r>
          </w:p>
        </w:tc>
        <w:tc>
          <w:tcPr>
            <w:tcW w:w="2693" w:type="dxa"/>
            <w:shd w:val="clear" w:color="auto" w:fill="auto"/>
            <w:noWrap/>
          </w:tcPr>
          <w:p w14:paraId="48B288DC">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定制</w:t>
            </w:r>
          </w:p>
        </w:tc>
        <w:tc>
          <w:tcPr>
            <w:tcW w:w="851" w:type="dxa"/>
            <w:shd w:val="clear" w:color="auto" w:fill="auto"/>
            <w:noWrap/>
          </w:tcPr>
          <w:p w14:paraId="04392E60">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套</w:t>
            </w:r>
          </w:p>
        </w:tc>
        <w:tc>
          <w:tcPr>
            <w:tcW w:w="850" w:type="dxa"/>
            <w:shd w:val="clear" w:color="auto" w:fill="auto"/>
            <w:noWrap/>
          </w:tcPr>
          <w:p w14:paraId="20B4D32C">
            <w:pPr>
              <w:widowControl/>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c>
          <w:tcPr>
            <w:tcW w:w="3119" w:type="dxa"/>
            <w:vMerge w:val="continue"/>
            <w:shd w:val="clear" w:color="auto" w:fill="auto"/>
            <w:noWrap/>
            <w:vAlign w:val="center"/>
          </w:tcPr>
          <w:p w14:paraId="5415FE99">
            <w:pPr>
              <w:widowControl/>
              <w:jc w:val="center"/>
              <w:rPr>
                <w:kern w:val="0"/>
                <w:sz w:val="18"/>
                <w:szCs w:val="18"/>
              </w:rPr>
            </w:pPr>
          </w:p>
        </w:tc>
      </w:tr>
      <w:tr w14:paraId="1CA17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0BAA0BD0">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2</w:t>
            </w:r>
            <w:r>
              <w:rPr>
                <w:rFonts w:asciiTheme="minorEastAsia" w:hAnsiTheme="minorEastAsia" w:eastAsiaTheme="minorEastAsia"/>
                <w:color w:val="000000"/>
                <w:kern w:val="0"/>
                <w:sz w:val="18"/>
                <w:szCs w:val="18"/>
              </w:rPr>
              <w:t>3</w:t>
            </w:r>
          </w:p>
        </w:tc>
        <w:tc>
          <w:tcPr>
            <w:tcW w:w="1843" w:type="dxa"/>
            <w:shd w:val="clear" w:color="auto" w:fill="auto"/>
            <w:noWrap/>
          </w:tcPr>
          <w:p w14:paraId="1593E8D5">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支架</w:t>
            </w:r>
          </w:p>
        </w:tc>
        <w:tc>
          <w:tcPr>
            <w:tcW w:w="2693" w:type="dxa"/>
            <w:shd w:val="clear" w:color="auto" w:fill="auto"/>
            <w:noWrap/>
          </w:tcPr>
          <w:p w14:paraId="6657E4AE">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定制</w:t>
            </w:r>
          </w:p>
        </w:tc>
        <w:tc>
          <w:tcPr>
            <w:tcW w:w="851" w:type="dxa"/>
            <w:shd w:val="clear" w:color="auto" w:fill="auto"/>
            <w:noWrap/>
          </w:tcPr>
          <w:p w14:paraId="54ECD4FB">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只</w:t>
            </w:r>
          </w:p>
        </w:tc>
        <w:tc>
          <w:tcPr>
            <w:tcW w:w="850" w:type="dxa"/>
            <w:shd w:val="clear" w:color="auto" w:fill="auto"/>
            <w:noWrap/>
          </w:tcPr>
          <w:p w14:paraId="1CB37EFF">
            <w:pPr>
              <w:widowControl/>
              <w:jc w:val="center"/>
              <w:rPr>
                <w:rFonts w:asciiTheme="minorEastAsia" w:hAnsiTheme="minorEastAsia" w:eastAsiaTheme="minorEastAsia"/>
                <w:sz w:val="18"/>
                <w:szCs w:val="18"/>
              </w:rPr>
            </w:pPr>
            <w:r>
              <w:rPr>
                <w:rFonts w:asciiTheme="minorEastAsia" w:hAnsiTheme="minorEastAsia" w:eastAsiaTheme="minorEastAsia"/>
                <w:sz w:val="18"/>
                <w:szCs w:val="18"/>
              </w:rPr>
              <w:t>6</w:t>
            </w:r>
          </w:p>
        </w:tc>
        <w:tc>
          <w:tcPr>
            <w:tcW w:w="3119" w:type="dxa"/>
            <w:vMerge w:val="continue"/>
            <w:shd w:val="clear" w:color="auto" w:fill="auto"/>
            <w:noWrap/>
            <w:vAlign w:val="center"/>
          </w:tcPr>
          <w:p w14:paraId="2D1BC000">
            <w:pPr>
              <w:widowControl/>
              <w:jc w:val="center"/>
              <w:rPr>
                <w:kern w:val="0"/>
                <w:sz w:val="18"/>
                <w:szCs w:val="18"/>
              </w:rPr>
            </w:pPr>
          </w:p>
        </w:tc>
      </w:tr>
      <w:tr w14:paraId="1313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7A89ED76">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2</w:t>
            </w:r>
            <w:r>
              <w:rPr>
                <w:rFonts w:asciiTheme="minorEastAsia" w:hAnsiTheme="minorEastAsia" w:eastAsiaTheme="minorEastAsia"/>
                <w:color w:val="000000"/>
                <w:kern w:val="0"/>
                <w:sz w:val="18"/>
                <w:szCs w:val="18"/>
              </w:rPr>
              <w:t>4</w:t>
            </w:r>
          </w:p>
        </w:tc>
        <w:tc>
          <w:tcPr>
            <w:tcW w:w="1843" w:type="dxa"/>
            <w:shd w:val="clear" w:color="auto" w:fill="auto"/>
            <w:noWrap/>
          </w:tcPr>
          <w:p w14:paraId="1867BF28">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音频软件</w:t>
            </w:r>
          </w:p>
        </w:tc>
        <w:tc>
          <w:tcPr>
            <w:tcW w:w="2693" w:type="dxa"/>
            <w:shd w:val="clear" w:color="auto" w:fill="auto"/>
            <w:noWrap/>
          </w:tcPr>
          <w:p w14:paraId="5F1D1B99">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定制</w:t>
            </w:r>
          </w:p>
        </w:tc>
        <w:tc>
          <w:tcPr>
            <w:tcW w:w="851" w:type="dxa"/>
            <w:shd w:val="clear" w:color="auto" w:fill="auto"/>
            <w:noWrap/>
          </w:tcPr>
          <w:p w14:paraId="7AB8B404">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套</w:t>
            </w:r>
          </w:p>
        </w:tc>
        <w:tc>
          <w:tcPr>
            <w:tcW w:w="850" w:type="dxa"/>
            <w:shd w:val="clear" w:color="auto" w:fill="auto"/>
            <w:noWrap/>
          </w:tcPr>
          <w:p w14:paraId="1ADEEBD3">
            <w:pPr>
              <w:widowControl/>
              <w:jc w:val="center"/>
              <w:rPr>
                <w:rFonts w:asciiTheme="minorEastAsia" w:hAnsiTheme="minorEastAsia" w:eastAsiaTheme="minorEastAsia"/>
                <w:sz w:val="18"/>
                <w:szCs w:val="18"/>
              </w:rPr>
            </w:pPr>
            <w:r>
              <w:rPr>
                <w:rFonts w:asciiTheme="minorEastAsia" w:hAnsiTheme="minorEastAsia" w:eastAsiaTheme="minorEastAsia"/>
                <w:sz w:val="18"/>
                <w:szCs w:val="18"/>
              </w:rPr>
              <w:t>11</w:t>
            </w:r>
          </w:p>
        </w:tc>
        <w:tc>
          <w:tcPr>
            <w:tcW w:w="3119" w:type="dxa"/>
            <w:vMerge w:val="continue"/>
            <w:shd w:val="clear" w:color="auto" w:fill="auto"/>
            <w:noWrap/>
            <w:vAlign w:val="center"/>
          </w:tcPr>
          <w:p w14:paraId="7509C68E">
            <w:pPr>
              <w:widowControl/>
              <w:jc w:val="center"/>
              <w:rPr>
                <w:kern w:val="0"/>
                <w:sz w:val="18"/>
                <w:szCs w:val="18"/>
              </w:rPr>
            </w:pPr>
          </w:p>
        </w:tc>
      </w:tr>
      <w:tr w14:paraId="0525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617F4983">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2</w:t>
            </w:r>
            <w:r>
              <w:rPr>
                <w:rFonts w:asciiTheme="minorEastAsia" w:hAnsiTheme="minorEastAsia" w:eastAsiaTheme="minorEastAsia"/>
                <w:color w:val="000000"/>
                <w:kern w:val="0"/>
                <w:sz w:val="18"/>
                <w:szCs w:val="18"/>
              </w:rPr>
              <w:t>5</w:t>
            </w:r>
          </w:p>
        </w:tc>
        <w:tc>
          <w:tcPr>
            <w:tcW w:w="1843" w:type="dxa"/>
            <w:shd w:val="clear" w:color="auto" w:fill="auto"/>
            <w:noWrap/>
          </w:tcPr>
          <w:p w14:paraId="6B34133C">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数据线</w:t>
            </w:r>
          </w:p>
        </w:tc>
        <w:tc>
          <w:tcPr>
            <w:tcW w:w="2693" w:type="dxa"/>
            <w:shd w:val="clear" w:color="auto" w:fill="auto"/>
            <w:noWrap/>
          </w:tcPr>
          <w:p w14:paraId="47D2CD2C">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定制</w:t>
            </w:r>
          </w:p>
        </w:tc>
        <w:tc>
          <w:tcPr>
            <w:tcW w:w="851" w:type="dxa"/>
            <w:shd w:val="clear" w:color="auto" w:fill="auto"/>
            <w:noWrap/>
          </w:tcPr>
          <w:p w14:paraId="7D15EBDE">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根</w:t>
            </w:r>
          </w:p>
        </w:tc>
        <w:tc>
          <w:tcPr>
            <w:tcW w:w="850" w:type="dxa"/>
            <w:shd w:val="clear" w:color="auto" w:fill="auto"/>
            <w:noWrap/>
          </w:tcPr>
          <w:p w14:paraId="4D06B083">
            <w:pPr>
              <w:widowControl/>
              <w:jc w:val="center"/>
              <w:rPr>
                <w:rFonts w:asciiTheme="minorEastAsia" w:hAnsiTheme="minorEastAsia" w:eastAsiaTheme="minorEastAsia"/>
                <w:sz w:val="18"/>
                <w:szCs w:val="18"/>
              </w:rPr>
            </w:pPr>
            <w:r>
              <w:rPr>
                <w:rFonts w:asciiTheme="minorEastAsia" w:hAnsiTheme="minorEastAsia" w:eastAsiaTheme="minorEastAsia"/>
                <w:sz w:val="18"/>
                <w:szCs w:val="18"/>
              </w:rPr>
              <w:t>60</w:t>
            </w:r>
          </w:p>
        </w:tc>
        <w:tc>
          <w:tcPr>
            <w:tcW w:w="3119" w:type="dxa"/>
            <w:vMerge w:val="continue"/>
            <w:shd w:val="clear" w:color="auto" w:fill="auto"/>
            <w:noWrap/>
            <w:vAlign w:val="center"/>
          </w:tcPr>
          <w:p w14:paraId="14AE7E04">
            <w:pPr>
              <w:widowControl/>
              <w:jc w:val="center"/>
              <w:rPr>
                <w:kern w:val="0"/>
                <w:sz w:val="18"/>
                <w:szCs w:val="18"/>
              </w:rPr>
            </w:pPr>
          </w:p>
        </w:tc>
      </w:tr>
      <w:tr w14:paraId="5F9DC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795FB11F">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26</w:t>
            </w:r>
          </w:p>
        </w:tc>
        <w:tc>
          <w:tcPr>
            <w:tcW w:w="1843" w:type="dxa"/>
            <w:shd w:val="clear" w:color="auto" w:fill="auto"/>
            <w:noWrap/>
          </w:tcPr>
          <w:p w14:paraId="671AF708">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音频隔离器</w:t>
            </w:r>
          </w:p>
        </w:tc>
        <w:tc>
          <w:tcPr>
            <w:tcW w:w="2693" w:type="dxa"/>
            <w:shd w:val="clear" w:color="auto" w:fill="auto"/>
            <w:noWrap/>
          </w:tcPr>
          <w:p w14:paraId="1083E904">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≥2路XLR输入；≥2路XLR输出</w:t>
            </w:r>
          </w:p>
        </w:tc>
        <w:tc>
          <w:tcPr>
            <w:tcW w:w="851" w:type="dxa"/>
            <w:shd w:val="clear" w:color="auto" w:fill="auto"/>
            <w:noWrap/>
          </w:tcPr>
          <w:p w14:paraId="2F8F02A4">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1C650C4C">
            <w:pPr>
              <w:widowControl/>
              <w:jc w:val="center"/>
              <w:rPr>
                <w:rFonts w:asciiTheme="minorEastAsia" w:hAnsiTheme="minorEastAsia" w:eastAsiaTheme="minorEastAsia"/>
                <w:sz w:val="18"/>
                <w:szCs w:val="18"/>
              </w:rPr>
            </w:pPr>
            <w:r>
              <w:rPr>
                <w:rFonts w:asciiTheme="minorEastAsia" w:hAnsiTheme="minorEastAsia" w:eastAsiaTheme="minorEastAsia"/>
                <w:sz w:val="18"/>
                <w:szCs w:val="18"/>
              </w:rPr>
              <w:t>4</w:t>
            </w:r>
          </w:p>
        </w:tc>
        <w:tc>
          <w:tcPr>
            <w:tcW w:w="3119" w:type="dxa"/>
            <w:vMerge w:val="continue"/>
            <w:shd w:val="clear" w:color="auto" w:fill="auto"/>
            <w:noWrap/>
            <w:vAlign w:val="center"/>
          </w:tcPr>
          <w:p w14:paraId="6B95745B">
            <w:pPr>
              <w:widowControl/>
              <w:jc w:val="center"/>
              <w:rPr>
                <w:kern w:val="0"/>
                <w:sz w:val="18"/>
                <w:szCs w:val="18"/>
              </w:rPr>
            </w:pPr>
          </w:p>
        </w:tc>
      </w:tr>
      <w:tr w14:paraId="7608B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423A2F5D">
            <w:pPr>
              <w:widowControl/>
              <w:jc w:val="center"/>
              <w:rPr>
                <w:color w:val="000000"/>
                <w:kern w:val="0"/>
                <w:sz w:val="18"/>
                <w:szCs w:val="18"/>
              </w:rPr>
            </w:pPr>
            <w:r>
              <w:rPr>
                <w:rFonts w:hint="eastAsia"/>
                <w:color w:val="000000"/>
                <w:kern w:val="0"/>
                <w:sz w:val="18"/>
                <w:szCs w:val="18"/>
              </w:rPr>
              <w:t>2</w:t>
            </w:r>
            <w:r>
              <w:rPr>
                <w:color w:val="000000"/>
                <w:kern w:val="0"/>
                <w:sz w:val="18"/>
                <w:szCs w:val="18"/>
              </w:rPr>
              <w:t>7</w:t>
            </w:r>
          </w:p>
        </w:tc>
        <w:tc>
          <w:tcPr>
            <w:tcW w:w="1843" w:type="dxa"/>
            <w:shd w:val="clear" w:color="auto" w:fill="auto"/>
            <w:noWrap/>
          </w:tcPr>
          <w:p w14:paraId="4D37DE59">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辅材</w:t>
            </w:r>
          </w:p>
        </w:tc>
        <w:tc>
          <w:tcPr>
            <w:tcW w:w="2693" w:type="dxa"/>
            <w:shd w:val="clear" w:color="auto" w:fill="auto"/>
            <w:noWrap/>
          </w:tcPr>
          <w:p w14:paraId="7359D4D2">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机柜、镀锌钢管、支架、光纤数据线等</w:t>
            </w:r>
          </w:p>
        </w:tc>
        <w:tc>
          <w:tcPr>
            <w:tcW w:w="851" w:type="dxa"/>
            <w:shd w:val="clear" w:color="auto" w:fill="auto"/>
            <w:noWrap/>
          </w:tcPr>
          <w:p w14:paraId="584669FC">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批</w:t>
            </w:r>
          </w:p>
        </w:tc>
        <w:tc>
          <w:tcPr>
            <w:tcW w:w="850" w:type="dxa"/>
            <w:shd w:val="clear" w:color="auto" w:fill="auto"/>
            <w:noWrap/>
          </w:tcPr>
          <w:p w14:paraId="205CBF64">
            <w:pPr>
              <w:widowControl/>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c>
          <w:tcPr>
            <w:tcW w:w="3119" w:type="dxa"/>
            <w:vMerge w:val="continue"/>
            <w:shd w:val="clear" w:color="auto" w:fill="auto"/>
            <w:noWrap/>
            <w:vAlign w:val="center"/>
          </w:tcPr>
          <w:p w14:paraId="212726D0">
            <w:pPr>
              <w:widowControl/>
              <w:jc w:val="center"/>
              <w:rPr>
                <w:kern w:val="0"/>
                <w:sz w:val="18"/>
                <w:szCs w:val="18"/>
              </w:rPr>
            </w:pPr>
          </w:p>
        </w:tc>
      </w:tr>
      <w:tr w14:paraId="1B03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60" w:type="dxa"/>
            <w:gridSpan w:val="6"/>
            <w:shd w:val="clear" w:color="000000" w:fill="D9E1F4"/>
            <w:noWrap/>
            <w:vAlign w:val="center"/>
          </w:tcPr>
          <w:p w14:paraId="4786D76C">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多媒体视频设备</w:t>
            </w:r>
          </w:p>
        </w:tc>
      </w:tr>
      <w:tr w14:paraId="49A7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644C2A66">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序号</w:t>
            </w:r>
          </w:p>
        </w:tc>
        <w:tc>
          <w:tcPr>
            <w:tcW w:w="1843" w:type="dxa"/>
            <w:shd w:val="clear" w:color="auto" w:fill="auto"/>
            <w:noWrap/>
            <w:vAlign w:val="center"/>
          </w:tcPr>
          <w:p w14:paraId="59036DBC">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品名</w:t>
            </w:r>
          </w:p>
        </w:tc>
        <w:tc>
          <w:tcPr>
            <w:tcW w:w="2693" w:type="dxa"/>
            <w:shd w:val="clear" w:color="auto" w:fill="auto"/>
            <w:noWrap/>
            <w:vAlign w:val="center"/>
          </w:tcPr>
          <w:p w14:paraId="7395A79A">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规格</w:t>
            </w:r>
          </w:p>
        </w:tc>
        <w:tc>
          <w:tcPr>
            <w:tcW w:w="851" w:type="dxa"/>
            <w:shd w:val="clear" w:color="auto" w:fill="auto"/>
            <w:noWrap/>
            <w:vAlign w:val="center"/>
          </w:tcPr>
          <w:p w14:paraId="4F4BA4C6">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单位</w:t>
            </w:r>
          </w:p>
        </w:tc>
        <w:tc>
          <w:tcPr>
            <w:tcW w:w="850" w:type="dxa"/>
            <w:shd w:val="clear" w:color="auto" w:fill="auto"/>
            <w:noWrap/>
            <w:vAlign w:val="center"/>
          </w:tcPr>
          <w:p w14:paraId="23FD1414">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数量</w:t>
            </w:r>
          </w:p>
        </w:tc>
        <w:tc>
          <w:tcPr>
            <w:tcW w:w="3119" w:type="dxa"/>
            <w:shd w:val="clear" w:color="auto" w:fill="auto"/>
            <w:noWrap/>
            <w:vAlign w:val="center"/>
          </w:tcPr>
          <w:p w14:paraId="3EF7F611">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备注</w:t>
            </w:r>
          </w:p>
        </w:tc>
      </w:tr>
      <w:tr w14:paraId="358FC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44F7D50A">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1</w:t>
            </w:r>
          </w:p>
        </w:tc>
        <w:tc>
          <w:tcPr>
            <w:tcW w:w="1843" w:type="dxa"/>
            <w:shd w:val="clear" w:color="auto" w:fill="auto"/>
            <w:noWrap/>
          </w:tcPr>
          <w:p w14:paraId="72B4AB7C">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会议一体机</w:t>
            </w:r>
          </w:p>
        </w:tc>
        <w:tc>
          <w:tcPr>
            <w:tcW w:w="2693" w:type="dxa"/>
            <w:shd w:val="clear" w:color="auto" w:fill="auto"/>
            <w:noWrap/>
          </w:tcPr>
          <w:p w14:paraId="18239F7F">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≥135英寸、点间距≤1.6、亮度≧950cd/m²</w:t>
            </w:r>
          </w:p>
        </w:tc>
        <w:tc>
          <w:tcPr>
            <w:tcW w:w="851" w:type="dxa"/>
            <w:shd w:val="clear" w:color="auto" w:fill="auto"/>
            <w:noWrap/>
          </w:tcPr>
          <w:p w14:paraId="29AA90E6">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套</w:t>
            </w:r>
          </w:p>
        </w:tc>
        <w:tc>
          <w:tcPr>
            <w:tcW w:w="850" w:type="dxa"/>
            <w:shd w:val="clear" w:color="auto" w:fill="auto"/>
            <w:noWrap/>
          </w:tcPr>
          <w:p w14:paraId="0F857F28">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w:t>
            </w:r>
          </w:p>
        </w:tc>
        <w:tc>
          <w:tcPr>
            <w:tcW w:w="3119" w:type="dxa"/>
            <w:vMerge w:val="restart"/>
            <w:shd w:val="clear" w:color="auto" w:fill="auto"/>
            <w:noWrap/>
            <w:vAlign w:val="center"/>
          </w:tcPr>
          <w:p w14:paraId="6F0E8DE4">
            <w:pPr>
              <w:widowControl/>
              <w:jc w:val="left"/>
              <w:rPr>
                <w:rFonts w:cs="华文仿宋" w:asciiTheme="minorEastAsia" w:hAnsiTheme="minorEastAsia" w:eastAsiaTheme="minorEastAsia"/>
                <w:color w:val="333333"/>
                <w:sz w:val="18"/>
                <w:szCs w:val="18"/>
                <w:shd w:val="clear" w:color="auto" w:fill="FFFFFF"/>
              </w:rPr>
            </w:pPr>
            <w:r>
              <w:rPr>
                <w:rFonts w:hint="eastAsia" w:cs="华文仿宋" w:asciiTheme="minorEastAsia" w:hAnsiTheme="minorEastAsia" w:eastAsiaTheme="minorEastAsia"/>
                <w:color w:val="333333"/>
                <w:sz w:val="18"/>
                <w:szCs w:val="18"/>
                <w:shd w:val="clear" w:color="auto" w:fill="FFFFFF"/>
              </w:rPr>
              <w:t>为防止三无产品或贴标，显示屏</w:t>
            </w:r>
            <w:r>
              <w:rPr>
                <w:rFonts w:cs="华文仿宋" w:asciiTheme="minorEastAsia" w:hAnsiTheme="minorEastAsia" w:eastAsiaTheme="minorEastAsia"/>
                <w:color w:val="333333"/>
                <w:sz w:val="18"/>
                <w:szCs w:val="18"/>
                <w:shd w:val="clear" w:color="auto" w:fill="FFFFFF"/>
              </w:rPr>
              <w:t>PCB</w:t>
            </w:r>
            <w:r>
              <w:rPr>
                <w:rFonts w:hint="eastAsia" w:cs="华文仿宋" w:asciiTheme="minorEastAsia" w:hAnsiTheme="minorEastAsia" w:eastAsiaTheme="minorEastAsia"/>
                <w:color w:val="333333"/>
                <w:sz w:val="18"/>
                <w:szCs w:val="18"/>
                <w:shd w:val="clear" w:color="auto" w:fill="FFFFFF"/>
              </w:rPr>
              <w:t>以及塑料套件上必须明显标注厂家</w:t>
            </w:r>
            <w:r>
              <w:rPr>
                <w:rFonts w:cs="华文仿宋" w:asciiTheme="minorEastAsia" w:hAnsiTheme="minorEastAsia" w:eastAsiaTheme="minorEastAsia"/>
                <w:color w:val="333333"/>
                <w:sz w:val="18"/>
                <w:szCs w:val="18"/>
                <w:shd w:val="clear" w:color="auto" w:fill="FFFFFF"/>
              </w:rPr>
              <w:t xml:space="preserve">LOGO </w:t>
            </w:r>
            <w:r>
              <w:rPr>
                <w:rFonts w:hint="eastAsia" w:cs="华文仿宋" w:asciiTheme="minorEastAsia" w:hAnsiTheme="minorEastAsia" w:eastAsiaTheme="minorEastAsia"/>
                <w:color w:val="333333"/>
                <w:sz w:val="18"/>
                <w:szCs w:val="18"/>
                <w:shd w:val="clear" w:color="auto" w:fill="FFFFFF"/>
              </w:rPr>
              <w:t>或品牌，需要和所投品牌为同一生产厂家，即时贴按无效产品处理，并提供包含但不限于原厂授权及售后服务声明等资料。</w:t>
            </w:r>
          </w:p>
          <w:p w14:paraId="0F6BCC78">
            <w:pPr>
              <w:widowControl/>
              <w:jc w:val="left"/>
              <w:rPr>
                <w:rFonts w:asciiTheme="minorEastAsia" w:hAnsiTheme="minorEastAsia" w:eastAsiaTheme="minorEastAsia"/>
                <w:color w:val="000000"/>
                <w:kern w:val="0"/>
                <w:sz w:val="18"/>
                <w:szCs w:val="18"/>
              </w:rPr>
            </w:pPr>
            <w:r>
              <w:rPr>
                <w:rFonts w:hint="eastAsia" w:cs="华文仿宋" w:asciiTheme="minorEastAsia" w:hAnsiTheme="minorEastAsia" w:eastAsiaTheme="minorEastAsia"/>
                <w:color w:val="333333"/>
                <w:sz w:val="18"/>
                <w:szCs w:val="18"/>
                <w:shd w:val="clear" w:color="auto" w:fill="FFFFFF"/>
              </w:rPr>
              <w:t>推荐品牌：华为、I</w:t>
            </w:r>
            <w:r>
              <w:rPr>
                <w:rFonts w:cs="华文仿宋" w:asciiTheme="minorEastAsia" w:hAnsiTheme="minorEastAsia" w:eastAsiaTheme="minorEastAsia"/>
                <w:color w:val="333333"/>
                <w:sz w:val="18"/>
                <w:szCs w:val="18"/>
                <w:shd w:val="clear" w:color="auto" w:fill="FFFFFF"/>
              </w:rPr>
              <w:t>TC、希沃、</w:t>
            </w:r>
            <w:r>
              <w:rPr>
                <w:rFonts w:hint="eastAsia" w:cs="华文仿宋" w:asciiTheme="minorEastAsia" w:hAnsiTheme="minorEastAsia" w:eastAsiaTheme="minorEastAsia"/>
                <w:color w:val="333333"/>
                <w:sz w:val="18"/>
                <w:szCs w:val="18"/>
                <w:shd w:val="clear" w:color="auto" w:fill="FFFFFF"/>
              </w:rPr>
              <w:t>M</w:t>
            </w:r>
            <w:r>
              <w:rPr>
                <w:rFonts w:cs="华文仿宋" w:asciiTheme="minorEastAsia" w:hAnsiTheme="minorEastAsia" w:eastAsiaTheme="minorEastAsia"/>
                <w:color w:val="333333"/>
                <w:sz w:val="18"/>
                <w:szCs w:val="18"/>
                <w:shd w:val="clear" w:color="auto" w:fill="FFFFFF"/>
              </w:rPr>
              <w:t>AXHUB、海康威视、</w:t>
            </w:r>
          </w:p>
        </w:tc>
      </w:tr>
      <w:tr w14:paraId="0EE91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68E41DE8">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2</w:t>
            </w:r>
          </w:p>
        </w:tc>
        <w:tc>
          <w:tcPr>
            <w:tcW w:w="1843" w:type="dxa"/>
            <w:shd w:val="clear" w:color="auto" w:fill="auto"/>
            <w:noWrap/>
          </w:tcPr>
          <w:p w14:paraId="125C3D87">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会议一体机</w:t>
            </w:r>
          </w:p>
        </w:tc>
        <w:tc>
          <w:tcPr>
            <w:tcW w:w="2693" w:type="dxa"/>
            <w:shd w:val="clear" w:color="auto" w:fill="auto"/>
            <w:noWrap/>
          </w:tcPr>
          <w:p w14:paraId="77B11B43">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≥100英寸、16：9、4K、≥≥300cd/㎡</w:t>
            </w:r>
          </w:p>
        </w:tc>
        <w:tc>
          <w:tcPr>
            <w:tcW w:w="851" w:type="dxa"/>
            <w:shd w:val="clear" w:color="auto" w:fill="auto"/>
            <w:noWrap/>
          </w:tcPr>
          <w:p w14:paraId="606FD485">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套</w:t>
            </w:r>
          </w:p>
        </w:tc>
        <w:tc>
          <w:tcPr>
            <w:tcW w:w="850" w:type="dxa"/>
            <w:shd w:val="clear" w:color="auto" w:fill="auto"/>
            <w:noWrap/>
          </w:tcPr>
          <w:p w14:paraId="3D38E3D5">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w:t>
            </w:r>
          </w:p>
        </w:tc>
        <w:tc>
          <w:tcPr>
            <w:tcW w:w="3119" w:type="dxa"/>
            <w:vMerge w:val="continue"/>
            <w:shd w:val="clear" w:color="auto" w:fill="auto"/>
            <w:noWrap/>
            <w:vAlign w:val="center"/>
          </w:tcPr>
          <w:p w14:paraId="4A894356">
            <w:pPr>
              <w:widowControl/>
              <w:jc w:val="center"/>
              <w:rPr>
                <w:rFonts w:asciiTheme="minorEastAsia" w:hAnsiTheme="minorEastAsia" w:eastAsiaTheme="minorEastAsia"/>
                <w:color w:val="000000"/>
                <w:kern w:val="0"/>
                <w:sz w:val="18"/>
                <w:szCs w:val="18"/>
              </w:rPr>
            </w:pPr>
          </w:p>
        </w:tc>
      </w:tr>
      <w:tr w14:paraId="61B2C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1EF37875">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3</w:t>
            </w:r>
          </w:p>
        </w:tc>
        <w:tc>
          <w:tcPr>
            <w:tcW w:w="1843" w:type="dxa"/>
            <w:shd w:val="clear" w:color="auto" w:fill="auto"/>
            <w:noWrap/>
          </w:tcPr>
          <w:p w14:paraId="7D60EBF4">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会议一体机</w:t>
            </w:r>
          </w:p>
        </w:tc>
        <w:tc>
          <w:tcPr>
            <w:tcW w:w="2693" w:type="dxa"/>
            <w:shd w:val="clear" w:color="auto" w:fill="auto"/>
            <w:noWrap/>
          </w:tcPr>
          <w:p w14:paraId="0A48EC7A">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≥85英寸、16：9、4K、≥≥301cd/㎡</w:t>
            </w:r>
          </w:p>
        </w:tc>
        <w:tc>
          <w:tcPr>
            <w:tcW w:w="851" w:type="dxa"/>
            <w:shd w:val="clear" w:color="auto" w:fill="auto"/>
            <w:noWrap/>
          </w:tcPr>
          <w:p w14:paraId="2AA4A91D">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套</w:t>
            </w:r>
          </w:p>
        </w:tc>
        <w:tc>
          <w:tcPr>
            <w:tcW w:w="850" w:type="dxa"/>
            <w:shd w:val="clear" w:color="auto" w:fill="auto"/>
            <w:noWrap/>
          </w:tcPr>
          <w:p w14:paraId="09F87822">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w:t>
            </w:r>
          </w:p>
        </w:tc>
        <w:tc>
          <w:tcPr>
            <w:tcW w:w="3119" w:type="dxa"/>
            <w:vMerge w:val="continue"/>
            <w:shd w:val="clear" w:color="auto" w:fill="auto"/>
            <w:noWrap/>
            <w:vAlign w:val="center"/>
          </w:tcPr>
          <w:p w14:paraId="1C25657A">
            <w:pPr>
              <w:widowControl/>
              <w:jc w:val="center"/>
              <w:rPr>
                <w:rFonts w:asciiTheme="minorEastAsia" w:hAnsiTheme="minorEastAsia" w:eastAsiaTheme="minorEastAsia"/>
                <w:color w:val="000000"/>
                <w:kern w:val="0"/>
                <w:sz w:val="18"/>
                <w:szCs w:val="18"/>
              </w:rPr>
            </w:pPr>
          </w:p>
        </w:tc>
      </w:tr>
      <w:tr w14:paraId="26792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231C8BEC">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4</w:t>
            </w:r>
          </w:p>
        </w:tc>
        <w:tc>
          <w:tcPr>
            <w:tcW w:w="1843" w:type="dxa"/>
            <w:shd w:val="clear" w:color="auto" w:fill="auto"/>
            <w:noWrap/>
          </w:tcPr>
          <w:p w14:paraId="1930B334">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支架</w:t>
            </w:r>
          </w:p>
        </w:tc>
        <w:tc>
          <w:tcPr>
            <w:tcW w:w="2693" w:type="dxa"/>
            <w:shd w:val="clear" w:color="auto" w:fill="auto"/>
            <w:noWrap/>
          </w:tcPr>
          <w:p w14:paraId="7C579CE4">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定制</w:t>
            </w:r>
          </w:p>
        </w:tc>
        <w:tc>
          <w:tcPr>
            <w:tcW w:w="851" w:type="dxa"/>
            <w:shd w:val="clear" w:color="auto" w:fill="auto"/>
            <w:noWrap/>
          </w:tcPr>
          <w:p w14:paraId="482AD036">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套</w:t>
            </w:r>
          </w:p>
        </w:tc>
        <w:tc>
          <w:tcPr>
            <w:tcW w:w="850" w:type="dxa"/>
            <w:shd w:val="clear" w:color="auto" w:fill="auto"/>
            <w:noWrap/>
          </w:tcPr>
          <w:p w14:paraId="2D828B59">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w:t>
            </w:r>
          </w:p>
        </w:tc>
        <w:tc>
          <w:tcPr>
            <w:tcW w:w="3119" w:type="dxa"/>
            <w:vMerge w:val="continue"/>
            <w:shd w:val="clear" w:color="auto" w:fill="auto"/>
            <w:noWrap/>
            <w:vAlign w:val="center"/>
          </w:tcPr>
          <w:p w14:paraId="0428A61C">
            <w:pPr>
              <w:widowControl/>
              <w:jc w:val="center"/>
              <w:rPr>
                <w:rFonts w:asciiTheme="minorEastAsia" w:hAnsiTheme="minorEastAsia" w:eastAsiaTheme="minorEastAsia"/>
                <w:color w:val="000000"/>
                <w:kern w:val="0"/>
                <w:sz w:val="18"/>
                <w:szCs w:val="18"/>
              </w:rPr>
            </w:pPr>
          </w:p>
        </w:tc>
      </w:tr>
      <w:tr w14:paraId="15D17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11A585A7">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5</w:t>
            </w:r>
          </w:p>
        </w:tc>
        <w:tc>
          <w:tcPr>
            <w:tcW w:w="1843" w:type="dxa"/>
            <w:shd w:val="clear" w:color="auto" w:fill="auto"/>
            <w:noWrap/>
          </w:tcPr>
          <w:p w14:paraId="16051EED">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其他配件</w:t>
            </w:r>
          </w:p>
        </w:tc>
        <w:tc>
          <w:tcPr>
            <w:tcW w:w="2693" w:type="dxa"/>
            <w:shd w:val="clear" w:color="auto" w:fill="auto"/>
            <w:noWrap/>
          </w:tcPr>
          <w:p w14:paraId="5D8039F8">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国产</w:t>
            </w:r>
          </w:p>
        </w:tc>
        <w:tc>
          <w:tcPr>
            <w:tcW w:w="851" w:type="dxa"/>
            <w:shd w:val="clear" w:color="auto" w:fill="auto"/>
            <w:noWrap/>
          </w:tcPr>
          <w:p w14:paraId="1B3CD110">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批</w:t>
            </w:r>
          </w:p>
        </w:tc>
        <w:tc>
          <w:tcPr>
            <w:tcW w:w="850" w:type="dxa"/>
            <w:shd w:val="clear" w:color="auto" w:fill="auto"/>
            <w:noWrap/>
          </w:tcPr>
          <w:p w14:paraId="072D10DB">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1</w:t>
            </w:r>
          </w:p>
        </w:tc>
        <w:tc>
          <w:tcPr>
            <w:tcW w:w="3119" w:type="dxa"/>
            <w:vMerge w:val="continue"/>
            <w:shd w:val="clear" w:color="auto" w:fill="auto"/>
            <w:noWrap/>
            <w:vAlign w:val="center"/>
          </w:tcPr>
          <w:p w14:paraId="66EC6451">
            <w:pPr>
              <w:widowControl/>
              <w:jc w:val="center"/>
              <w:rPr>
                <w:rFonts w:asciiTheme="minorEastAsia" w:hAnsiTheme="minorEastAsia" w:eastAsiaTheme="minorEastAsia"/>
                <w:color w:val="000000"/>
                <w:kern w:val="0"/>
                <w:sz w:val="18"/>
                <w:szCs w:val="18"/>
              </w:rPr>
            </w:pPr>
          </w:p>
        </w:tc>
      </w:tr>
      <w:tr w14:paraId="1E74D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60" w:type="dxa"/>
            <w:gridSpan w:val="6"/>
            <w:shd w:val="clear" w:color="000000" w:fill="D9E1F4"/>
            <w:noWrap/>
            <w:vAlign w:val="center"/>
          </w:tcPr>
          <w:p w14:paraId="1EFE57A3">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计算机、网络及会议直播配套设备</w:t>
            </w:r>
          </w:p>
        </w:tc>
      </w:tr>
      <w:tr w14:paraId="06169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0347F953">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序号</w:t>
            </w:r>
          </w:p>
        </w:tc>
        <w:tc>
          <w:tcPr>
            <w:tcW w:w="1843" w:type="dxa"/>
            <w:shd w:val="clear" w:color="auto" w:fill="auto"/>
            <w:noWrap/>
            <w:vAlign w:val="center"/>
          </w:tcPr>
          <w:p w14:paraId="7B349B3F">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品名</w:t>
            </w:r>
          </w:p>
        </w:tc>
        <w:tc>
          <w:tcPr>
            <w:tcW w:w="2693" w:type="dxa"/>
            <w:shd w:val="clear" w:color="auto" w:fill="auto"/>
            <w:noWrap/>
            <w:vAlign w:val="center"/>
          </w:tcPr>
          <w:p w14:paraId="2C34C5A3">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规格</w:t>
            </w:r>
          </w:p>
        </w:tc>
        <w:tc>
          <w:tcPr>
            <w:tcW w:w="851" w:type="dxa"/>
            <w:shd w:val="clear" w:color="auto" w:fill="auto"/>
            <w:noWrap/>
            <w:vAlign w:val="center"/>
          </w:tcPr>
          <w:p w14:paraId="7F8ED175">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单位</w:t>
            </w:r>
          </w:p>
        </w:tc>
        <w:tc>
          <w:tcPr>
            <w:tcW w:w="850" w:type="dxa"/>
            <w:shd w:val="clear" w:color="auto" w:fill="auto"/>
            <w:noWrap/>
            <w:vAlign w:val="center"/>
          </w:tcPr>
          <w:p w14:paraId="25066E24">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数量</w:t>
            </w:r>
          </w:p>
        </w:tc>
        <w:tc>
          <w:tcPr>
            <w:tcW w:w="3119" w:type="dxa"/>
            <w:shd w:val="clear" w:color="auto" w:fill="auto"/>
            <w:noWrap/>
            <w:vAlign w:val="center"/>
          </w:tcPr>
          <w:p w14:paraId="02BC1FA4">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备注</w:t>
            </w:r>
          </w:p>
        </w:tc>
      </w:tr>
      <w:tr w14:paraId="12C2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2AE31F71">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color w:val="000000"/>
                <w:kern w:val="0"/>
                <w:sz w:val="18"/>
                <w:szCs w:val="18"/>
              </w:rPr>
              <w:t>1</w:t>
            </w:r>
          </w:p>
        </w:tc>
        <w:tc>
          <w:tcPr>
            <w:tcW w:w="1843" w:type="dxa"/>
            <w:shd w:val="clear" w:color="auto" w:fill="auto"/>
            <w:noWrap/>
          </w:tcPr>
          <w:p w14:paraId="6639F999">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会议工控主机</w:t>
            </w:r>
          </w:p>
        </w:tc>
        <w:tc>
          <w:tcPr>
            <w:tcW w:w="2693" w:type="dxa"/>
            <w:shd w:val="clear" w:color="auto" w:fill="auto"/>
            <w:noWrap/>
          </w:tcPr>
          <w:p w14:paraId="59293F14">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≥4U、≥8核16线程、主频≥3.8GHz、ROM≥16G、SSD≥1TB</w:t>
            </w:r>
          </w:p>
        </w:tc>
        <w:tc>
          <w:tcPr>
            <w:tcW w:w="851" w:type="dxa"/>
            <w:shd w:val="clear" w:color="auto" w:fill="auto"/>
            <w:noWrap/>
          </w:tcPr>
          <w:p w14:paraId="1E65D85B">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4429D8BA">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1</w:t>
            </w:r>
          </w:p>
        </w:tc>
        <w:tc>
          <w:tcPr>
            <w:tcW w:w="3119" w:type="dxa"/>
            <w:vMerge w:val="restart"/>
            <w:shd w:val="clear" w:color="auto" w:fill="auto"/>
            <w:noWrap/>
            <w:vAlign w:val="center"/>
          </w:tcPr>
          <w:p w14:paraId="554D97A9">
            <w:pPr>
              <w:jc w:val="left"/>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音画质量、系统稳定性，操作便捷性达到采购方要求。</w:t>
            </w:r>
          </w:p>
          <w:p w14:paraId="146C1DDB">
            <w:pPr>
              <w:jc w:val="left"/>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推荐品牌：华为、I</w:t>
            </w:r>
            <w:r>
              <w:rPr>
                <w:rFonts w:asciiTheme="minorEastAsia" w:hAnsiTheme="minorEastAsia" w:eastAsiaTheme="minorEastAsia"/>
                <w:color w:val="000000"/>
                <w:kern w:val="0"/>
                <w:sz w:val="18"/>
                <w:szCs w:val="18"/>
              </w:rPr>
              <w:t>TC、海康威视、联想、戴尔、</w:t>
            </w:r>
          </w:p>
        </w:tc>
      </w:tr>
      <w:tr w14:paraId="1D91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3BCEE7DA">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2</w:t>
            </w:r>
          </w:p>
        </w:tc>
        <w:tc>
          <w:tcPr>
            <w:tcW w:w="1843" w:type="dxa"/>
            <w:shd w:val="clear" w:color="auto" w:fill="auto"/>
            <w:noWrap/>
          </w:tcPr>
          <w:p w14:paraId="0BA175BB">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会议平板</w:t>
            </w:r>
          </w:p>
        </w:tc>
        <w:tc>
          <w:tcPr>
            <w:tcW w:w="2693" w:type="dxa"/>
            <w:shd w:val="clear" w:color="auto" w:fill="auto"/>
            <w:noWrap/>
          </w:tcPr>
          <w:p w14:paraId="4C2E511D">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内存≥8G、RAM≥256G、≥11英寸、壁挂支架</w:t>
            </w:r>
          </w:p>
        </w:tc>
        <w:tc>
          <w:tcPr>
            <w:tcW w:w="851" w:type="dxa"/>
            <w:shd w:val="clear" w:color="auto" w:fill="auto"/>
            <w:noWrap/>
          </w:tcPr>
          <w:p w14:paraId="27EA98A2">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6DEE432F">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1</w:t>
            </w:r>
          </w:p>
        </w:tc>
        <w:tc>
          <w:tcPr>
            <w:tcW w:w="3119" w:type="dxa"/>
            <w:vMerge w:val="continue"/>
            <w:shd w:val="clear" w:color="auto" w:fill="auto"/>
            <w:noWrap/>
            <w:vAlign w:val="center"/>
          </w:tcPr>
          <w:p w14:paraId="68945516">
            <w:pPr>
              <w:jc w:val="left"/>
              <w:rPr>
                <w:rFonts w:asciiTheme="minorEastAsia" w:hAnsiTheme="minorEastAsia" w:eastAsiaTheme="minorEastAsia"/>
                <w:color w:val="000000"/>
                <w:kern w:val="0"/>
                <w:sz w:val="18"/>
                <w:szCs w:val="18"/>
              </w:rPr>
            </w:pPr>
          </w:p>
        </w:tc>
      </w:tr>
      <w:tr w14:paraId="35292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647734BB">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3</w:t>
            </w:r>
          </w:p>
        </w:tc>
        <w:tc>
          <w:tcPr>
            <w:tcW w:w="1843" w:type="dxa"/>
            <w:shd w:val="clear" w:color="auto" w:fill="auto"/>
            <w:noWrap/>
          </w:tcPr>
          <w:p w14:paraId="4C2EE531">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路由器</w:t>
            </w:r>
          </w:p>
        </w:tc>
        <w:tc>
          <w:tcPr>
            <w:tcW w:w="2693" w:type="dxa"/>
            <w:shd w:val="clear" w:color="auto" w:fill="auto"/>
            <w:noWrap/>
          </w:tcPr>
          <w:p w14:paraId="3E1B5AEC">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WiFi6、2.4G+5G、RAM:128MB</w:t>
            </w:r>
          </w:p>
        </w:tc>
        <w:tc>
          <w:tcPr>
            <w:tcW w:w="851" w:type="dxa"/>
            <w:shd w:val="clear" w:color="auto" w:fill="auto"/>
            <w:noWrap/>
          </w:tcPr>
          <w:p w14:paraId="3A7BEC92">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3F2F78E7">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1</w:t>
            </w:r>
          </w:p>
        </w:tc>
        <w:tc>
          <w:tcPr>
            <w:tcW w:w="3119" w:type="dxa"/>
            <w:vMerge w:val="continue"/>
            <w:shd w:val="clear" w:color="auto" w:fill="auto"/>
            <w:noWrap/>
            <w:vAlign w:val="center"/>
          </w:tcPr>
          <w:p w14:paraId="1B3E03EC">
            <w:pPr>
              <w:jc w:val="left"/>
              <w:rPr>
                <w:rFonts w:asciiTheme="minorEastAsia" w:hAnsiTheme="minorEastAsia" w:eastAsiaTheme="minorEastAsia"/>
                <w:color w:val="000000"/>
                <w:kern w:val="0"/>
                <w:sz w:val="18"/>
                <w:szCs w:val="18"/>
              </w:rPr>
            </w:pPr>
          </w:p>
        </w:tc>
      </w:tr>
      <w:tr w14:paraId="5C7D6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0779CB79">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4</w:t>
            </w:r>
          </w:p>
        </w:tc>
        <w:tc>
          <w:tcPr>
            <w:tcW w:w="1843" w:type="dxa"/>
            <w:shd w:val="clear" w:color="auto" w:fill="auto"/>
            <w:noWrap/>
          </w:tcPr>
          <w:p w14:paraId="667F9A5A">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台式电脑</w:t>
            </w:r>
          </w:p>
        </w:tc>
        <w:tc>
          <w:tcPr>
            <w:tcW w:w="2693" w:type="dxa"/>
            <w:shd w:val="clear" w:color="auto" w:fill="auto"/>
            <w:noWrap/>
          </w:tcPr>
          <w:p w14:paraId="48514DC7">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17L Matx机箱、主频≥3.4GHz、内存≥8G、硬盘≥512G</w:t>
            </w:r>
          </w:p>
        </w:tc>
        <w:tc>
          <w:tcPr>
            <w:tcW w:w="851" w:type="dxa"/>
            <w:shd w:val="clear" w:color="auto" w:fill="auto"/>
            <w:noWrap/>
          </w:tcPr>
          <w:p w14:paraId="7221B863">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12AB99CA">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w:t>
            </w:r>
          </w:p>
        </w:tc>
        <w:tc>
          <w:tcPr>
            <w:tcW w:w="3119" w:type="dxa"/>
            <w:vMerge w:val="continue"/>
            <w:shd w:val="clear" w:color="auto" w:fill="auto"/>
            <w:noWrap/>
            <w:vAlign w:val="center"/>
          </w:tcPr>
          <w:p w14:paraId="5C379C8B">
            <w:pPr>
              <w:jc w:val="left"/>
              <w:rPr>
                <w:rFonts w:asciiTheme="minorEastAsia" w:hAnsiTheme="minorEastAsia" w:eastAsiaTheme="minorEastAsia"/>
                <w:color w:val="000000"/>
                <w:kern w:val="0"/>
                <w:sz w:val="18"/>
                <w:szCs w:val="18"/>
              </w:rPr>
            </w:pPr>
          </w:p>
        </w:tc>
      </w:tr>
      <w:tr w14:paraId="6948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523B6D2D">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5</w:t>
            </w:r>
          </w:p>
        </w:tc>
        <w:tc>
          <w:tcPr>
            <w:tcW w:w="1843" w:type="dxa"/>
            <w:shd w:val="clear" w:color="auto" w:fill="auto"/>
            <w:noWrap/>
          </w:tcPr>
          <w:p w14:paraId="4CD848A4">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笔记本电脑</w:t>
            </w:r>
          </w:p>
        </w:tc>
        <w:tc>
          <w:tcPr>
            <w:tcW w:w="2693" w:type="dxa"/>
            <w:shd w:val="clear" w:color="auto" w:fill="auto"/>
            <w:noWrap/>
          </w:tcPr>
          <w:p w14:paraId="206787A2">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主频≥2.1GHz、内存≥16G、硬盘≥1T、显示屏≤14英寸IPS</w:t>
            </w:r>
          </w:p>
        </w:tc>
        <w:tc>
          <w:tcPr>
            <w:tcW w:w="851" w:type="dxa"/>
            <w:shd w:val="clear" w:color="auto" w:fill="auto"/>
            <w:noWrap/>
          </w:tcPr>
          <w:p w14:paraId="3ECB1357">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0FB1C102">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w:t>
            </w:r>
          </w:p>
        </w:tc>
        <w:tc>
          <w:tcPr>
            <w:tcW w:w="3119" w:type="dxa"/>
            <w:vMerge w:val="continue"/>
            <w:shd w:val="clear" w:color="auto" w:fill="auto"/>
            <w:noWrap/>
            <w:vAlign w:val="center"/>
          </w:tcPr>
          <w:p w14:paraId="31461962">
            <w:pPr>
              <w:jc w:val="left"/>
              <w:rPr>
                <w:rFonts w:asciiTheme="minorEastAsia" w:hAnsiTheme="minorEastAsia" w:eastAsiaTheme="minorEastAsia"/>
                <w:color w:val="000000"/>
                <w:kern w:val="0"/>
                <w:sz w:val="18"/>
                <w:szCs w:val="18"/>
              </w:rPr>
            </w:pPr>
          </w:p>
        </w:tc>
      </w:tr>
      <w:tr w14:paraId="2C593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1F35C648">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6</w:t>
            </w:r>
          </w:p>
        </w:tc>
        <w:tc>
          <w:tcPr>
            <w:tcW w:w="1843" w:type="dxa"/>
            <w:shd w:val="clear" w:color="auto" w:fill="auto"/>
            <w:noWrap/>
          </w:tcPr>
          <w:p w14:paraId="6D047346">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笔记本电脑</w:t>
            </w:r>
          </w:p>
        </w:tc>
        <w:tc>
          <w:tcPr>
            <w:tcW w:w="2693" w:type="dxa"/>
            <w:shd w:val="clear" w:color="auto" w:fill="auto"/>
            <w:noWrap/>
          </w:tcPr>
          <w:p w14:paraId="5EC72A55">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主频≥2.0GHz 集成GPU、支持4K硬件解码、≥20线程支持超线程、内存≥32G、硬盘≥1T、显示屏≥14英寸 120Hz</w:t>
            </w:r>
          </w:p>
        </w:tc>
        <w:tc>
          <w:tcPr>
            <w:tcW w:w="851" w:type="dxa"/>
            <w:shd w:val="clear" w:color="auto" w:fill="auto"/>
            <w:noWrap/>
          </w:tcPr>
          <w:p w14:paraId="19AFD9EB">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0A47DA73">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1</w:t>
            </w:r>
          </w:p>
        </w:tc>
        <w:tc>
          <w:tcPr>
            <w:tcW w:w="3119" w:type="dxa"/>
            <w:vMerge w:val="continue"/>
            <w:shd w:val="clear" w:color="auto" w:fill="auto"/>
            <w:noWrap/>
            <w:vAlign w:val="center"/>
          </w:tcPr>
          <w:p w14:paraId="01942B99">
            <w:pPr>
              <w:jc w:val="left"/>
              <w:rPr>
                <w:rFonts w:asciiTheme="minorEastAsia" w:hAnsiTheme="minorEastAsia" w:eastAsiaTheme="minorEastAsia"/>
                <w:color w:val="000000"/>
                <w:kern w:val="0"/>
                <w:sz w:val="18"/>
                <w:szCs w:val="18"/>
              </w:rPr>
            </w:pPr>
          </w:p>
        </w:tc>
      </w:tr>
      <w:tr w14:paraId="6590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7623BAD2">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7</w:t>
            </w:r>
          </w:p>
        </w:tc>
        <w:tc>
          <w:tcPr>
            <w:tcW w:w="1843" w:type="dxa"/>
            <w:shd w:val="clear" w:color="auto" w:fill="auto"/>
            <w:noWrap/>
          </w:tcPr>
          <w:p w14:paraId="53C2F15A">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显示器</w:t>
            </w:r>
          </w:p>
        </w:tc>
        <w:tc>
          <w:tcPr>
            <w:tcW w:w="2693" w:type="dxa"/>
            <w:shd w:val="clear" w:color="auto" w:fill="auto"/>
            <w:noWrap/>
          </w:tcPr>
          <w:p w14:paraId="78B1F0DE">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≥27英寸、分辨率≥1080、60Hz、亮度≥300 cd/㎡、HDMI、DP、VGA</w:t>
            </w:r>
          </w:p>
        </w:tc>
        <w:tc>
          <w:tcPr>
            <w:tcW w:w="851" w:type="dxa"/>
            <w:shd w:val="clear" w:color="auto" w:fill="auto"/>
            <w:noWrap/>
          </w:tcPr>
          <w:p w14:paraId="5D72796B">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0BA8F8FB">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w:t>
            </w:r>
          </w:p>
        </w:tc>
        <w:tc>
          <w:tcPr>
            <w:tcW w:w="3119" w:type="dxa"/>
            <w:vMerge w:val="continue"/>
            <w:shd w:val="clear" w:color="auto" w:fill="auto"/>
            <w:noWrap/>
            <w:vAlign w:val="center"/>
          </w:tcPr>
          <w:p w14:paraId="6C64795E">
            <w:pPr>
              <w:jc w:val="left"/>
              <w:rPr>
                <w:rFonts w:asciiTheme="minorEastAsia" w:hAnsiTheme="minorEastAsia" w:eastAsiaTheme="minorEastAsia"/>
                <w:color w:val="000000"/>
                <w:kern w:val="0"/>
                <w:sz w:val="18"/>
                <w:szCs w:val="18"/>
              </w:rPr>
            </w:pPr>
          </w:p>
        </w:tc>
      </w:tr>
      <w:tr w14:paraId="50D3D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045CBC43">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8</w:t>
            </w:r>
          </w:p>
        </w:tc>
        <w:tc>
          <w:tcPr>
            <w:tcW w:w="1843" w:type="dxa"/>
            <w:shd w:val="clear" w:color="auto" w:fill="auto"/>
            <w:noWrap/>
          </w:tcPr>
          <w:p w14:paraId="74AF0BFC">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交换机</w:t>
            </w:r>
          </w:p>
        </w:tc>
        <w:tc>
          <w:tcPr>
            <w:tcW w:w="2693" w:type="dxa"/>
            <w:shd w:val="clear" w:color="auto" w:fill="auto"/>
            <w:noWrap/>
          </w:tcPr>
          <w:p w14:paraId="7A6BC4D8">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光电交换机、≥48路</w:t>
            </w:r>
          </w:p>
        </w:tc>
        <w:tc>
          <w:tcPr>
            <w:tcW w:w="851" w:type="dxa"/>
            <w:shd w:val="clear" w:color="auto" w:fill="auto"/>
            <w:noWrap/>
          </w:tcPr>
          <w:p w14:paraId="136B8DE1">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台</w:t>
            </w:r>
          </w:p>
        </w:tc>
        <w:tc>
          <w:tcPr>
            <w:tcW w:w="850" w:type="dxa"/>
            <w:shd w:val="clear" w:color="auto" w:fill="auto"/>
            <w:noWrap/>
          </w:tcPr>
          <w:p w14:paraId="202EAA83">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3</w:t>
            </w:r>
          </w:p>
        </w:tc>
        <w:tc>
          <w:tcPr>
            <w:tcW w:w="3119" w:type="dxa"/>
            <w:vMerge w:val="continue"/>
            <w:shd w:val="clear" w:color="auto" w:fill="auto"/>
            <w:noWrap/>
            <w:vAlign w:val="center"/>
          </w:tcPr>
          <w:p w14:paraId="395018CA">
            <w:pPr>
              <w:jc w:val="left"/>
              <w:rPr>
                <w:rFonts w:asciiTheme="minorEastAsia" w:hAnsiTheme="minorEastAsia" w:eastAsiaTheme="minorEastAsia"/>
                <w:color w:val="000000"/>
                <w:kern w:val="0"/>
                <w:sz w:val="18"/>
                <w:szCs w:val="18"/>
              </w:rPr>
            </w:pPr>
          </w:p>
        </w:tc>
      </w:tr>
      <w:tr w14:paraId="51214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69C0B9B4">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9</w:t>
            </w:r>
          </w:p>
        </w:tc>
        <w:tc>
          <w:tcPr>
            <w:tcW w:w="1843" w:type="dxa"/>
            <w:shd w:val="clear" w:color="auto" w:fill="auto"/>
            <w:noWrap/>
          </w:tcPr>
          <w:p w14:paraId="21A12B99">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光模块</w:t>
            </w:r>
          </w:p>
        </w:tc>
        <w:tc>
          <w:tcPr>
            <w:tcW w:w="2693" w:type="dxa"/>
            <w:shd w:val="clear" w:color="auto" w:fill="auto"/>
            <w:noWrap/>
          </w:tcPr>
          <w:p w14:paraId="3F125410">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万兆单模双纤</w:t>
            </w:r>
          </w:p>
        </w:tc>
        <w:tc>
          <w:tcPr>
            <w:tcW w:w="851" w:type="dxa"/>
            <w:shd w:val="clear" w:color="auto" w:fill="auto"/>
            <w:noWrap/>
          </w:tcPr>
          <w:p w14:paraId="3D2FCE97">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套</w:t>
            </w:r>
          </w:p>
        </w:tc>
        <w:tc>
          <w:tcPr>
            <w:tcW w:w="850" w:type="dxa"/>
            <w:shd w:val="clear" w:color="auto" w:fill="auto"/>
            <w:noWrap/>
          </w:tcPr>
          <w:p w14:paraId="6E155C75">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24</w:t>
            </w:r>
          </w:p>
        </w:tc>
        <w:tc>
          <w:tcPr>
            <w:tcW w:w="3119" w:type="dxa"/>
            <w:vMerge w:val="continue"/>
            <w:shd w:val="clear" w:color="auto" w:fill="auto"/>
            <w:noWrap/>
            <w:vAlign w:val="center"/>
          </w:tcPr>
          <w:p w14:paraId="4488DA08">
            <w:pPr>
              <w:jc w:val="left"/>
              <w:rPr>
                <w:rFonts w:asciiTheme="minorEastAsia" w:hAnsiTheme="minorEastAsia" w:eastAsiaTheme="minorEastAsia"/>
                <w:color w:val="000000"/>
                <w:kern w:val="0"/>
                <w:sz w:val="18"/>
                <w:szCs w:val="18"/>
              </w:rPr>
            </w:pPr>
          </w:p>
        </w:tc>
      </w:tr>
      <w:tr w14:paraId="7E72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0428EEC9">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1</w:t>
            </w:r>
            <w:r>
              <w:rPr>
                <w:rFonts w:asciiTheme="minorEastAsia" w:hAnsiTheme="minorEastAsia" w:eastAsiaTheme="minorEastAsia"/>
                <w:color w:val="000000"/>
                <w:kern w:val="0"/>
                <w:sz w:val="18"/>
                <w:szCs w:val="18"/>
              </w:rPr>
              <w:t>0</w:t>
            </w:r>
          </w:p>
        </w:tc>
        <w:tc>
          <w:tcPr>
            <w:tcW w:w="1843" w:type="dxa"/>
            <w:shd w:val="clear" w:color="auto" w:fill="auto"/>
            <w:noWrap/>
          </w:tcPr>
          <w:p w14:paraId="315D4CD8">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多媒体机柜</w:t>
            </w:r>
          </w:p>
        </w:tc>
        <w:tc>
          <w:tcPr>
            <w:tcW w:w="2693" w:type="dxa"/>
            <w:shd w:val="clear" w:color="auto" w:fill="auto"/>
            <w:noWrap/>
          </w:tcPr>
          <w:p w14:paraId="6359BA4E">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加厚钢板、≥32U</w:t>
            </w:r>
          </w:p>
        </w:tc>
        <w:tc>
          <w:tcPr>
            <w:tcW w:w="851" w:type="dxa"/>
            <w:shd w:val="clear" w:color="auto" w:fill="auto"/>
            <w:noWrap/>
          </w:tcPr>
          <w:p w14:paraId="044D3940">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个</w:t>
            </w:r>
          </w:p>
        </w:tc>
        <w:tc>
          <w:tcPr>
            <w:tcW w:w="850" w:type="dxa"/>
            <w:shd w:val="clear" w:color="auto" w:fill="auto"/>
            <w:noWrap/>
          </w:tcPr>
          <w:p w14:paraId="219A09D8">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2</w:t>
            </w:r>
          </w:p>
        </w:tc>
        <w:tc>
          <w:tcPr>
            <w:tcW w:w="3119" w:type="dxa"/>
            <w:vMerge w:val="continue"/>
            <w:shd w:val="clear" w:color="auto" w:fill="auto"/>
            <w:noWrap/>
            <w:vAlign w:val="center"/>
          </w:tcPr>
          <w:p w14:paraId="2D7862C9">
            <w:pPr>
              <w:jc w:val="left"/>
              <w:rPr>
                <w:rFonts w:asciiTheme="minorEastAsia" w:hAnsiTheme="minorEastAsia" w:eastAsiaTheme="minorEastAsia"/>
                <w:color w:val="000000"/>
                <w:kern w:val="0"/>
                <w:sz w:val="18"/>
                <w:szCs w:val="18"/>
              </w:rPr>
            </w:pPr>
          </w:p>
        </w:tc>
      </w:tr>
      <w:tr w14:paraId="69F3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0984D59C">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1</w:t>
            </w:r>
            <w:r>
              <w:rPr>
                <w:rFonts w:asciiTheme="minorEastAsia" w:hAnsiTheme="minorEastAsia" w:eastAsiaTheme="minorEastAsia"/>
                <w:color w:val="000000"/>
                <w:kern w:val="0"/>
                <w:sz w:val="18"/>
                <w:szCs w:val="18"/>
              </w:rPr>
              <w:t>1</w:t>
            </w:r>
          </w:p>
        </w:tc>
        <w:tc>
          <w:tcPr>
            <w:tcW w:w="1843" w:type="dxa"/>
            <w:shd w:val="clear" w:color="auto" w:fill="auto"/>
            <w:noWrap/>
          </w:tcPr>
          <w:p w14:paraId="48037E70">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安装及设备联调</w:t>
            </w:r>
          </w:p>
        </w:tc>
        <w:tc>
          <w:tcPr>
            <w:tcW w:w="2693" w:type="dxa"/>
            <w:shd w:val="clear" w:color="auto" w:fill="auto"/>
            <w:noWrap/>
          </w:tcPr>
          <w:p w14:paraId="49167471">
            <w:pPr>
              <w:widowControl/>
              <w:jc w:val="center"/>
              <w:rPr>
                <w:rFonts w:asciiTheme="minorEastAsia" w:hAnsiTheme="minorEastAsia" w:eastAsiaTheme="minorEastAsia"/>
                <w:sz w:val="18"/>
                <w:szCs w:val="18"/>
              </w:rPr>
            </w:pPr>
          </w:p>
        </w:tc>
        <w:tc>
          <w:tcPr>
            <w:tcW w:w="851" w:type="dxa"/>
            <w:shd w:val="clear" w:color="auto" w:fill="auto"/>
            <w:noWrap/>
          </w:tcPr>
          <w:p w14:paraId="7D7DE026">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项</w:t>
            </w:r>
          </w:p>
        </w:tc>
        <w:tc>
          <w:tcPr>
            <w:tcW w:w="850" w:type="dxa"/>
            <w:shd w:val="clear" w:color="auto" w:fill="auto"/>
            <w:noWrap/>
          </w:tcPr>
          <w:p w14:paraId="610D0E7C">
            <w:pPr>
              <w:widowControl/>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3119" w:type="dxa"/>
            <w:vMerge w:val="continue"/>
            <w:shd w:val="clear" w:color="auto" w:fill="auto"/>
            <w:noWrap/>
            <w:vAlign w:val="center"/>
          </w:tcPr>
          <w:p w14:paraId="4CF18E7A">
            <w:pPr>
              <w:jc w:val="left"/>
              <w:rPr>
                <w:rFonts w:asciiTheme="minorEastAsia" w:hAnsiTheme="minorEastAsia" w:eastAsiaTheme="minorEastAsia"/>
                <w:color w:val="000000"/>
                <w:kern w:val="0"/>
                <w:sz w:val="18"/>
                <w:szCs w:val="18"/>
              </w:rPr>
            </w:pPr>
          </w:p>
        </w:tc>
      </w:tr>
      <w:tr w14:paraId="786CC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46236C1C">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color w:val="000000"/>
                <w:kern w:val="0"/>
                <w:sz w:val="18"/>
                <w:szCs w:val="18"/>
              </w:rPr>
              <w:t>1</w:t>
            </w:r>
            <w:r>
              <w:rPr>
                <w:rFonts w:asciiTheme="minorEastAsia" w:hAnsiTheme="minorEastAsia" w:eastAsiaTheme="minorEastAsia"/>
                <w:color w:val="000000"/>
                <w:kern w:val="0"/>
                <w:sz w:val="18"/>
                <w:szCs w:val="18"/>
              </w:rPr>
              <w:t>2</w:t>
            </w:r>
          </w:p>
        </w:tc>
        <w:tc>
          <w:tcPr>
            <w:tcW w:w="1843" w:type="dxa"/>
            <w:shd w:val="clear" w:color="auto" w:fill="auto"/>
            <w:noWrap/>
          </w:tcPr>
          <w:p w14:paraId="57F745FD">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直播推流系统</w:t>
            </w:r>
          </w:p>
        </w:tc>
        <w:tc>
          <w:tcPr>
            <w:tcW w:w="2693" w:type="dxa"/>
            <w:shd w:val="clear" w:color="auto" w:fill="auto"/>
            <w:noWrap/>
          </w:tcPr>
          <w:p w14:paraId="4444D041">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定制</w:t>
            </w:r>
          </w:p>
        </w:tc>
        <w:tc>
          <w:tcPr>
            <w:tcW w:w="851" w:type="dxa"/>
            <w:shd w:val="clear" w:color="auto" w:fill="auto"/>
            <w:noWrap/>
          </w:tcPr>
          <w:p w14:paraId="1EF6232F">
            <w:pPr>
              <w:widowControl/>
              <w:jc w:val="center"/>
              <w:rPr>
                <w:rFonts w:asciiTheme="minorEastAsia" w:hAnsiTheme="minorEastAsia" w:eastAsiaTheme="minorEastAsia"/>
                <w:color w:val="000000"/>
                <w:kern w:val="0"/>
                <w:sz w:val="18"/>
                <w:szCs w:val="18"/>
              </w:rPr>
            </w:pPr>
            <w:r>
              <w:rPr>
                <w:rFonts w:hint="eastAsia" w:asciiTheme="minorEastAsia" w:hAnsiTheme="minorEastAsia" w:eastAsiaTheme="minorEastAsia"/>
                <w:sz w:val="18"/>
                <w:szCs w:val="18"/>
              </w:rPr>
              <w:t>套</w:t>
            </w:r>
          </w:p>
        </w:tc>
        <w:tc>
          <w:tcPr>
            <w:tcW w:w="850" w:type="dxa"/>
            <w:shd w:val="clear" w:color="auto" w:fill="auto"/>
            <w:noWrap/>
          </w:tcPr>
          <w:p w14:paraId="63B0862F">
            <w:pPr>
              <w:widowControl/>
              <w:jc w:val="center"/>
              <w:rPr>
                <w:rFonts w:asciiTheme="minorEastAsia" w:hAnsiTheme="minorEastAsia" w:eastAsiaTheme="minorEastAsia"/>
                <w:color w:val="000000"/>
                <w:kern w:val="0"/>
                <w:sz w:val="18"/>
                <w:szCs w:val="18"/>
              </w:rPr>
            </w:pPr>
            <w:r>
              <w:rPr>
                <w:rFonts w:asciiTheme="minorEastAsia" w:hAnsiTheme="minorEastAsia" w:eastAsiaTheme="minorEastAsia"/>
                <w:sz w:val="18"/>
                <w:szCs w:val="18"/>
              </w:rPr>
              <w:t>1</w:t>
            </w:r>
          </w:p>
        </w:tc>
        <w:tc>
          <w:tcPr>
            <w:tcW w:w="3119" w:type="dxa"/>
            <w:vMerge w:val="continue"/>
            <w:shd w:val="clear" w:color="auto" w:fill="auto"/>
            <w:noWrap/>
            <w:vAlign w:val="center"/>
          </w:tcPr>
          <w:p w14:paraId="06189730">
            <w:pPr>
              <w:widowControl/>
              <w:jc w:val="left"/>
              <w:rPr>
                <w:rFonts w:asciiTheme="minorEastAsia" w:hAnsiTheme="minorEastAsia" w:eastAsiaTheme="minorEastAsia"/>
                <w:color w:val="000000"/>
                <w:kern w:val="0"/>
                <w:sz w:val="18"/>
                <w:szCs w:val="18"/>
              </w:rPr>
            </w:pPr>
          </w:p>
        </w:tc>
      </w:tr>
    </w:tbl>
    <w:p w14:paraId="14F32FE0">
      <w:pPr>
        <w:spacing w:after="156" w:afterLines="50" w:line="300" w:lineRule="auto"/>
        <w:rPr>
          <w:rFonts w:ascii="微软雅黑" w:hAnsi="微软雅黑" w:eastAsia="微软雅黑"/>
          <w:b/>
          <w:bCs/>
          <w:sz w:val="24"/>
          <w:szCs w:val="22"/>
        </w:rPr>
      </w:pPr>
    </w:p>
    <w:p w14:paraId="724AC5E0">
      <w:pPr>
        <w:spacing w:after="156" w:afterLines="50" w:line="300" w:lineRule="auto"/>
        <w:rPr>
          <w:rFonts w:ascii="微软雅黑" w:hAnsi="微软雅黑" w:eastAsia="微软雅黑"/>
          <w:b/>
          <w:bCs/>
          <w:sz w:val="24"/>
          <w:szCs w:val="22"/>
        </w:rPr>
      </w:pPr>
      <w:r>
        <w:rPr>
          <w:rFonts w:hint="eastAsia" w:ascii="微软雅黑" w:hAnsi="微软雅黑" w:eastAsia="微软雅黑"/>
          <w:b/>
          <w:bCs/>
          <w:sz w:val="24"/>
          <w:szCs w:val="22"/>
        </w:rPr>
        <w:t>附件2——多媒体音频设备</w:t>
      </w:r>
    </w:p>
    <w:p w14:paraId="39961996">
      <w:pPr>
        <w:ind w:firstLine="422" w:firstLineChars="200"/>
        <w:rPr>
          <w:b/>
          <w:szCs w:val="21"/>
        </w:rPr>
      </w:pPr>
      <w:r>
        <w:rPr>
          <w:b/>
          <w:szCs w:val="21"/>
        </w:rPr>
        <w:t>一、</w:t>
      </w:r>
      <w:r>
        <w:rPr>
          <w:rFonts w:hint="eastAsia"/>
          <w:b/>
          <w:szCs w:val="21"/>
        </w:rPr>
        <w:t>多媒体音频设备</w:t>
      </w:r>
      <w:r>
        <w:rPr>
          <w:b/>
          <w:szCs w:val="21"/>
        </w:rPr>
        <w:t>：</w:t>
      </w:r>
    </w:p>
    <w:p w14:paraId="5080541B">
      <w:pPr>
        <w:ind w:firstLine="422" w:firstLineChars="200"/>
        <w:rPr>
          <w:rFonts w:hint="eastAsia"/>
          <w:b/>
          <w:szCs w:val="21"/>
        </w:rPr>
      </w:pPr>
    </w:p>
    <w:p w14:paraId="1EF06555">
      <w:pPr>
        <w:ind w:firstLine="422" w:firstLineChars="200"/>
        <w:rPr>
          <w:rFonts w:hint="eastAsia"/>
          <w:b/>
          <w:bCs/>
          <w:kern w:val="0"/>
          <w:szCs w:val="21"/>
        </w:rPr>
      </w:pPr>
      <w:r>
        <w:rPr>
          <w:rFonts w:hint="eastAsia"/>
          <w:b/>
          <w:bCs/>
          <w:kern w:val="0"/>
          <w:szCs w:val="21"/>
        </w:rPr>
        <w:t>具体参数</w:t>
      </w:r>
      <w:r>
        <w:rPr>
          <w:b/>
          <w:bCs/>
          <w:kern w:val="0"/>
          <w:szCs w:val="21"/>
        </w:rPr>
        <w:t>要求</w:t>
      </w:r>
    </w:p>
    <w:p w14:paraId="63AA3411">
      <w:pPr>
        <w:ind w:firstLine="420" w:firstLineChars="200"/>
        <w:rPr>
          <w:b/>
          <w:bCs/>
          <w:kern w:val="0"/>
          <w:szCs w:val="21"/>
        </w:rPr>
      </w:pPr>
      <w:r>
        <w:rPr>
          <w:rFonts w:hint="eastAsia"/>
          <w:bCs/>
          <w:kern w:val="0"/>
          <w:szCs w:val="21"/>
        </w:rPr>
        <w:t>1</w:t>
      </w:r>
      <w:r>
        <w:rPr>
          <w:rFonts w:hint="eastAsia"/>
          <w:b/>
          <w:bCs/>
          <w:kern w:val="0"/>
          <w:szCs w:val="21"/>
        </w:rPr>
        <w:t>、视频矩阵</w:t>
      </w:r>
    </w:p>
    <w:p w14:paraId="139C5A0D">
      <w:pPr>
        <w:ind w:firstLine="420" w:firstLineChars="200"/>
        <w:rPr>
          <w:kern w:val="0"/>
          <w:szCs w:val="21"/>
        </w:rPr>
      </w:pPr>
      <w:r>
        <w:rPr>
          <w:rFonts w:hint="eastAsia"/>
          <w:kern w:val="0"/>
          <w:szCs w:val="21"/>
        </w:rPr>
        <w:t>1.≥8路HDMI输入，≥8路HDMI输出，分辨率≥3840×2160P30Hz；</w:t>
      </w:r>
    </w:p>
    <w:p w14:paraId="70377172">
      <w:pPr>
        <w:ind w:firstLine="420" w:firstLineChars="200"/>
        <w:rPr>
          <w:kern w:val="0"/>
          <w:szCs w:val="21"/>
        </w:rPr>
      </w:pPr>
      <w:r>
        <w:rPr>
          <w:rFonts w:hint="eastAsia"/>
          <w:kern w:val="0"/>
          <w:szCs w:val="21"/>
        </w:rPr>
        <w:t>2.支持无缝切换，无闪屏、无黑屏；</w:t>
      </w:r>
    </w:p>
    <w:p w14:paraId="1A08229E">
      <w:pPr>
        <w:ind w:firstLine="420" w:firstLineChars="200"/>
        <w:rPr>
          <w:kern w:val="0"/>
          <w:szCs w:val="21"/>
        </w:rPr>
      </w:pPr>
      <w:r>
        <w:rPr>
          <w:rFonts w:hint="eastAsia"/>
          <w:kern w:val="0"/>
          <w:szCs w:val="21"/>
        </w:rPr>
        <w:t>3.输出支持亮度、对比度、饱和度、色调调节，并支持预案保持和调用；</w:t>
      </w:r>
    </w:p>
    <w:p w14:paraId="4524D925">
      <w:pPr>
        <w:ind w:firstLine="420" w:firstLineChars="200"/>
        <w:rPr>
          <w:kern w:val="0"/>
          <w:szCs w:val="21"/>
        </w:rPr>
      </w:pPr>
      <w:r>
        <w:rPr>
          <w:rFonts w:hint="eastAsia"/>
          <w:kern w:val="0"/>
          <w:szCs w:val="21"/>
        </w:rPr>
        <w:t>4.具备断电记忆保护功能，ESD静电保护功能；</w:t>
      </w:r>
    </w:p>
    <w:p w14:paraId="31AB40CD">
      <w:pPr>
        <w:ind w:firstLine="420" w:firstLineChars="200"/>
        <w:rPr>
          <w:kern w:val="0"/>
          <w:szCs w:val="21"/>
        </w:rPr>
      </w:pPr>
      <w:r>
        <w:rPr>
          <w:rFonts w:hint="eastAsia"/>
          <w:kern w:val="0"/>
          <w:szCs w:val="21"/>
        </w:rPr>
        <w:t>5.≥1路RS-232接口、≥1路RS-485、≥1路网络，支持RS-232、RS-485、TCP/IP 指令控制，前面板具有实体按键控制，支持红外控制；</w:t>
      </w:r>
    </w:p>
    <w:p w14:paraId="11E1C294">
      <w:pPr>
        <w:ind w:firstLine="420" w:firstLineChars="200"/>
        <w:rPr>
          <w:kern w:val="0"/>
          <w:szCs w:val="21"/>
        </w:rPr>
      </w:pPr>
      <w:r>
        <w:rPr>
          <w:rFonts w:hint="eastAsia"/>
          <w:kern w:val="0"/>
          <w:szCs w:val="21"/>
        </w:rPr>
        <w:t>6.具备管理功能。</w:t>
      </w:r>
    </w:p>
    <w:p w14:paraId="1CF273E5">
      <w:pPr>
        <w:ind w:firstLine="420" w:firstLineChars="200"/>
        <w:rPr>
          <w:rFonts w:hint="eastAsia"/>
          <w:kern w:val="0"/>
          <w:szCs w:val="21"/>
        </w:rPr>
      </w:pPr>
    </w:p>
    <w:p w14:paraId="1C54E0A6">
      <w:pPr>
        <w:ind w:firstLine="422" w:firstLineChars="200"/>
        <w:rPr>
          <w:b/>
          <w:bCs/>
          <w:kern w:val="0"/>
          <w:szCs w:val="21"/>
        </w:rPr>
      </w:pPr>
      <w:r>
        <w:rPr>
          <w:rFonts w:hint="eastAsia"/>
          <w:b/>
          <w:bCs/>
          <w:kern w:val="0"/>
          <w:szCs w:val="21"/>
        </w:rPr>
        <w:t>2、调音台</w:t>
      </w:r>
    </w:p>
    <w:p w14:paraId="7F3B0C94">
      <w:pPr>
        <w:ind w:firstLine="420" w:firstLineChars="200"/>
        <w:rPr>
          <w:kern w:val="0"/>
          <w:szCs w:val="21"/>
        </w:rPr>
      </w:pPr>
      <w:r>
        <w:rPr>
          <w:rFonts w:hint="eastAsia"/>
          <w:kern w:val="0"/>
          <w:szCs w:val="21"/>
        </w:rPr>
        <w:t>1.≥8路mic输入 、≥6路L</w:t>
      </w:r>
      <w:r>
        <w:rPr>
          <w:kern w:val="0"/>
          <w:szCs w:val="21"/>
        </w:rPr>
        <w:t>INE</w:t>
      </w:r>
      <w:r>
        <w:rPr>
          <w:rFonts w:hint="eastAsia"/>
          <w:kern w:val="0"/>
          <w:szCs w:val="21"/>
        </w:rPr>
        <w:t>输入接口，≥</w:t>
      </w:r>
      <w:r>
        <w:rPr>
          <w:kern w:val="0"/>
          <w:szCs w:val="21"/>
        </w:rPr>
        <w:t>6</w:t>
      </w:r>
      <w:r>
        <w:rPr>
          <w:rFonts w:hint="eastAsia"/>
          <w:kern w:val="0"/>
          <w:szCs w:val="21"/>
        </w:rPr>
        <w:t>路48V幻象开关；≥2路立体声输入，≥4路RCA输入。</w:t>
      </w:r>
    </w:p>
    <w:p w14:paraId="175E8686">
      <w:pPr>
        <w:ind w:left="420" w:leftChars="200"/>
        <w:rPr>
          <w:kern w:val="0"/>
          <w:szCs w:val="21"/>
        </w:rPr>
      </w:pPr>
      <w:r>
        <w:rPr>
          <w:rFonts w:hint="eastAsia"/>
          <w:kern w:val="0"/>
          <w:szCs w:val="21"/>
        </w:rPr>
        <w:t>2.≥2组立体声输出、≥4路编组输出、≥4路辅助输出、≥1个监听、≥1个双路效果输出 、≥1组控制输出、≥1组主混音断点插入、≥6个断点插入。</w:t>
      </w:r>
    </w:p>
    <w:p w14:paraId="205B86CB">
      <w:pPr>
        <w:ind w:firstLine="420" w:firstLineChars="200"/>
        <w:rPr>
          <w:kern w:val="0"/>
          <w:szCs w:val="21"/>
        </w:rPr>
      </w:pPr>
      <w:r>
        <w:rPr>
          <w:rFonts w:hint="eastAsia"/>
          <w:kern w:val="0"/>
          <w:szCs w:val="21"/>
        </w:rPr>
        <w:t>3.≥24bit</w:t>
      </w:r>
      <w:r>
        <w:rPr>
          <w:kern w:val="0"/>
          <w:szCs w:val="21"/>
        </w:rPr>
        <w:t xml:space="preserve"> </w:t>
      </w:r>
      <w:r>
        <w:rPr>
          <w:rFonts w:hint="eastAsia"/>
          <w:kern w:val="0"/>
          <w:szCs w:val="21"/>
        </w:rPr>
        <w:t>DSP效果器，≥100种预设效果。</w:t>
      </w:r>
    </w:p>
    <w:p w14:paraId="724ED17D">
      <w:pPr>
        <w:ind w:firstLine="420" w:firstLineChars="200"/>
        <w:rPr>
          <w:kern w:val="0"/>
          <w:szCs w:val="21"/>
        </w:rPr>
      </w:pPr>
      <w:r>
        <w:rPr>
          <w:rFonts w:hint="eastAsia"/>
          <w:kern w:val="0"/>
          <w:szCs w:val="21"/>
        </w:rPr>
        <w:t>4.≥13</w:t>
      </w:r>
      <w:r>
        <w:rPr>
          <w:kern w:val="0"/>
          <w:szCs w:val="21"/>
        </w:rPr>
        <w:t>路</w:t>
      </w:r>
      <w:r>
        <w:rPr>
          <w:rFonts w:hint="eastAsia"/>
          <w:kern w:val="0"/>
          <w:szCs w:val="21"/>
        </w:rPr>
        <w:t>推子。</w:t>
      </w:r>
    </w:p>
    <w:p w14:paraId="54C7AE02">
      <w:pPr>
        <w:ind w:firstLine="420" w:firstLineChars="200"/>
        <w:rPr>
          <w:kern w:val="0"/>
          <w:szCs w:val="21"/>
        </w:rPr>
      </w:pPr>
      <w:r>
        <w:rPr>
          <w:rFonts w:hint="eastAsia"/>
          <w:kern w:val="0"/>
          <w:szCs w:val="21"/>
        </w:rPr>
        <w:t>5.内置声卡模块，播放器，≥1个USB。</w:t>
      </w:r>
    </w:p>
    <w:p w14:paraId="5045C055">
      <w:pPr>
        <w:ind w:firstLine="420" w:firstLineChars="200"/>
        <w:rPr>
          <w:rFonts w:hint="eastAsia"/>
          <w:kern w:val="0"/>
          <w:szCs w:val="21"/>
        </w:rPr>
      </w:pPr>
    </w:p>
    <w:p w14:paraId="0B6B5779">
      <w:pPr>
        <w:ind w:firstLine="422" w:firstLineChars="200"/>
        <w:rPr>
          <w:b/>
          <w:bCs/>
          <w:kern w:val="0"/>
          <w:szCs w:val="21"/>
        </w:rPr>
      </w:pPr>
      <w:r>
        <w:rPr>
          <w:rFonts w:hint="eastAsia"/>
          <w:b/>
          <w:bCs/>
          <w:kern w:val="0"/>
          <w:szCs w:val="21"/>
        </w:rPr>
        <w:t>3、音频处理器</w:t>
      </w:r>
    </w:p>
    <w:p w14:paraId="30078125">
      <w:pPr>
        <w:ind w:firstLine="420" w:firstLineChars="200"/>
        <w:rPr>
          <w:kern w:val="0"/>
          <w:szCs w:val="21"/>
        </w:rPr>
      </w:pPr>
      <w:r>
        <w:rPr>
          <w:rFonts w:hint="eastAsia"/>
          <w:kern w:val="0"/>
          <w:szCs w:val="21"/>
        </w:rPr>
        <w:t>1.处理器≥4核，主频≥2.0GHz。</w:t>
      </w:r>
    </w:p>
    <w:p w14:paraId="2AF22728">
      <w:pPr>
        <w:ind w:left="420" w:leftChars="200"/>
        <w:rPr>
          <w:kern w:val="0"/>
          <w:szCs w:val="21"/>
        </w:rPr>
      </w:pPr>
      <w:r>
        <w:rPr>
          <w:rFonts w:hint="eastAsia"/>
          <w:kern w:val="0"/>
          <w:szCs w:val="21"/>
        </w:rPr>
        <w:t>2.≥4路平衡输入接口（48V幻象供电）、≥4路平衡输出接口、≥1拨码开关、≥1个RJ45、≥1RS232接口、≥1个RS485、≥8 GPIO；≥1显示屏、≥1个编码旋钮、≥1USB存储接口。</w:t>
      </w:r>
    </w:p>
    <w:p w14:paraId="26D504A5">
      <w:pPr>
        <w:ind w:left="420" w:leftChars="200"/>
        <w:rPr>
          <w:kern w:val="0"/>
          <w:szCs w:val="21"/>
        </w:rPr>
      </w:pPr>
      <w:r>
        <w:rPr>
          <w:rFonts w:hint="eastAsia"/>
          <w:kern w:val="0"/>
          <w:szCs w:val="21"/>
        </w:rPr>
        <w:t>▲3.输入通道支持前级放大、信号发生器、扩展器、压缩器、均衡器；</w:t>
      </w:r>
    </w:p>
    <w:p w14:paraId="552002FC">
      <w:pPr>
        <w:ind w:left="420" w:leftChars="200"/>
        <w:rPr>
          <w:kern w:val="0"/>
          <w:szCs w:val="21"/>
        </w:rPr>
      </w:pPr>
      <w:r>
        <w:rPr>
          <w:rFonts w:hint="eastAsia"/>
          <w:kern w:val="0"/>
          <w:szCs w:val="21"/>
        </w:rPr>
        <w:t>输出通道支持均衡器，具有移频+陷波组合反馈抑制，可≥24个可编程陷波点。（提供功能截图佐证）</w:t>
      </w:r>
    </w:p>
    <w:p w14:paraId="481F5D9B">
      <w:pPr>
        <w:ind w:firstLine="420" w:firstLineChars="200"/>
        <w:rPr>
          <w:kern w:val="0"/>
          <w:szCs w:val="21"/>
        </w:rPr>
      </w:pPr>
      <w:r>
        <w:rPr>
          <w:rFonts w:hint="eastAsia"/>
          <w:kern w:val="0"/>
          <w:szCs w:val="21"/>
        </w:rPr>
        <w:t>4.具备矩阵增益调节功能，增益调节范围优于-72dB到12dB。</w:t>
      </w:r>
    </w:p>
    <w:p w14:paraId="7656D7E6">
      <w:pPr>
        <w:ind w:firstLine="420" w:firstLineChars="200"/>
        <w:rPr>
          <w:kern w:val="0"/>
          <w:szCs w:val="21"/>
        </w:rPr>
      </w:pPr>
      <w:r>
        <w:rPr>
          <w:rFonts w:hint="eastAsia"/>
          <w:kern w:val="0"/>
          <w:szCs w:val="21"/>
        </w:rPr>
        <w:t>5.跨平台软件，支持windows、国产操作系统、macOS、Ubuntu。（提供功能截图佐证）</w:t>
      </w:r>
    </w:p>
    <w:p w14:paraId="7CA59587">
      <w:pPr>
        <w:ind w:left="420" w:leftChars="200"/>
        <w:rPr>
          <w:kern w:val="0"/>
          <w:szCs w:val="21"/>
        </w:rPr>
      </w:pPr>
      <w:r>
        <w:rPr>
          <w:rFonts w:asciiTheme="minorEastAsia" w:hAnsiTheme="minorEastAsia"/>
        </w:rPr>
        <w:t>★</w:t>
      </w:r>
      <w:r>
        <w:rPr>
          <w:rFonts w:hint="eastAsia"/>
          <w:kern w:val="0"/>
          <w:szCs w:val="21"/>
        </w:rPr>
        <w:t>6. PC客户端、手机移动端、安卓平板端、IOS手机移动端、IOS平板端，同时登入连接设备，多端数据的同步。</w:t>
      </w:r>
    </w:p>
    <w:p w14:paraId="7766495C">
      <w:pPr>
        <w:ind w:firstLine="420" w:firstLineChars="200"/>
        <w:rPr>
          <w:kern w:val="0"/>
          <w:szCs w:val="21"/>
        </w:rPr>
      </w:pPr>
      <w:r>
        <w:rPr>
          <w:kern w:val="0"/>
          <w:szCs w:val="21"/>
        </w:rPr>
        <w:t>7</w:t>
      </w:r>
      <w:r>
        <w:rPr>
          <w:rFonts w:hint="eastAsia"/>
          <w:kern w:val="0"/>
          <w:szCs w:val="21"/>
        </w:rPr>
        <w:t>.集中控制功能，≥65535台。</w:t>
      </w:r>
    </w:p>
    <w:p w14:paraId="2A194F3A">
      <w:pPr>
        <w:ind w:left="420" w:leftChars="200"/>
        <w:rPr>
          <w:kern w:val="0"/>
          <w:szCs w:val="21"/>
        </w:rPr>
      </w:pPr>
      <w:r>
        <w:rPr>
          <w:kern w:val="0"/>
          <w:szCs w:val="21"/>
        </w:rPr>
        <w:t>8</w:t>
      </w:r>
      <w:r>
        <w:rPr>
          <w:rFonts w:hint="eastAsia"/>
          <w:kern w:val="0"/>
          <w:szCs w:val="21"/>
        </w:rPr>
        <w:t>.支持接入会议综合管理平台实现音频设备统一管理；支持云端和本地备份，支持一键还原。（提供功能截图佐证）</w:t>
      </w:r>
    </w:p>
    <w:p w14:paraId="280120D7">
      <w:pPr>
        <w:ind w:firstLine="420" w:firstLineChars="200"/>
        <w:rPr>
          <w:kern w:val="0"/>
          <w:szCs w:val="21"/>
        </w:rPr>
      </w:pPr>
      <w:r>
        <w:rPr>
          <w:kern w:val="0"/>
          <w:szCs w:val="21"/>
        </w:rPr>
        <w:t>9</w:t>
      </w:r>
      <w:r>
        <w:rPr>
          <w:rFonts w:hint="eastAsia"/>
          <w:kern w:val="0"/>
          <w:szCs w:val="21"/>
        </w:rPr>
        <w:t>.支持双机热备份，时间≤2s。</w:t>
      </w:r>
    </w:p>
    <w:p w14:paraId="4E55977F">
      <w:pPr>
        <w:ind w:firstLine="420" w:firstLineChars="200"/>
        <w:rPr>
          <w:kern w:val="0"/>
          <w:szCs w:val="21"/>
        </w:rPr>
      </w:pPr>
      <w:r>
        <w:rPr>
          <w:rFonts w:hint="eastAsia"/>
          <w:kern w:val="0"/>
          <w:szCs w:val="21"/>
        </w:rPr>
        <w:t>▲</w:t>
      </w:r>
      <w:r>
        <w:rPr>
          <w:kern w:val="0"/>
          <w:szCs w:val="21"/>
        </w:rPr>
        <w:t>10</w:t>
      </w:r>
      <w:r>
        <w:rPr>
          <w:rFonts w:hint="eastAsia"/>
          <w:kern w:val="0"/>
          <w:szCs w:val="21"/>
        </w:rPr>
        <w:t>.智能宽度学习算法噪声抑制，≥三个降噪档位调整，降噪能力≥40dB。</w:t>
      </w:r>
    </w:p>
    <w:p w14:paraId="7178B66D">
      <w:pPr>
        <w:ind w:firstLine="420" w:firstLineChars="200"/>
        <w:rPr>
          <w:rFonts w:hint="eastAsia"/>
          <w:color w:val="FF0000"/>
          <w:kern w:val="0"/>
          <w:szCs w:val="21"/>
        </w:rPr>
      </w:pPr>
    </w:p>
    <w:p w14:paraId="44A1B03D">
      <w:pPr>
        <w:ind w:firstLine="422" w:firstLineChars="200"/>
        <w:rPr>
          <w:b/>
          <w:bCs/>
          <w:kern w:val="0"/>
          <w:szCs w:val="21"/>
        </w:rPr>
      </w:pPr>
      <w:r>
        <w:rPr>
          <w:b/>
          <w:bCs/>
          <w:kern w:val="0"/>
          <w:szCs w:val="21"/>
        </w:rPr>
        <w:t>4</w:t>
      </w:r>
      <w:r>
        <w:rPr>
          <w:rFonts w:hint="eastAsia"/>
          <w:b/>
          <w:bCs/>
          <w:kern w:val="0"/>
          <w:szCs w:val="21"/>
        </w:rPr>
        <w:t>、功放</w:t>
      </w:r>
    </w:p>
    <w:p w14:paraId="09F2EA7B">
      <w:pPr>
        <w:ind w:firstLine="420" w:firstLineChars="200"/>
        <w:rPr>
          <w:kern w:val="0"/>
          <w:szCs w:val="21"/>
        </w:rPr>
      </w:pPr>
      <w:r>
        <w:rPr>
          <w:rFonts w:hint="eastAsia"/>
          <w:kern w:val="0"/>
          <w:szCs w:val="21"/>
        </w:rPr>
        <w:t>1.≥1U</w:t>
      </w:r>
    </w:p>
    <w:p w14:paraId="471A2DC0">
      <w:pPr>
        <w:ind w:firstLine="420" w:firstLineChars="200"/>
        <w:rPr>
          <w:kern w:val="0"/>
          <w:szCs w:val="21"/>
        </w:rPr>
      </w:pPr>
      <w:r>
        <w:rPr>
          <w:rFonts w:hint="eastAsia"/>
          <w:kern w:val="0"/>
          <w:szCs w:val="21"/>
        </w:rPr>
        <w:t>2.内置削峰限幅器，过流压限控制功率器。</w:t>
      </w:r>
    </w:p>
    <w:p w14:paraId="5259FA03">
      <w:pPr>
        <w:ind w:firstLine="420" w:firstLineChars="200"/>
        <w:rPr>
          <w:kern w:val="0"/>
          <w:szCs w:val="21"/>
        </w:rPr>
      </w:pPr>
      <w:r>
        <w:rPr>
          <w:rFonts w:hint="eastAsia"/>
          <w:kern w:val="0"/>
          <w:szCs w:val="21"/>
        </w:rPr>
        <w:t>3.内置保护电路模块，具有过压保护、欠压保护、过流保护、直流保护、输出短路保护、温控风扇功能。</w:t>
      </w:r>
    </w:p>
    <w:p w14:paraId="60D92812">
      <w:pPr>
        <w:ind w:firstLine="420" w:firstLineChars="200"/>
        <w:rPr>
          <w:kern w:val="0"/>
          <w:szCs w:val="21"/>
        </w:rPr>
      </w:pPr>
      <w:r>
        <w:rPr>
          <w:rFonts w:hint="eastAsia"/>
          <w:kern w:val="0"/>
          <w:szCs w:val="21"/>
        </w:rPr>
        <w:t>4.≥2个LINE平衡XLR输入通道，≥2个LINE平衡XLR级联输出通道，≥2个SPEAKON输出通道。</w:t>
      </w:r>
    </w:p>
    <w:p w14:paraId="05E3125C">
      <w:pPr>
        <w:ind w:firstLine="420" w:firstLineChars="200"/>
        <w:rPr>
          <w:kern w:val="0"/>
          <w:szCs w:val="21"/>
        </w:rPr>
      </w:pPr>
      <w:r>
        <w:rPr>
          <w:rFonts w:hint="eastAsia"/>
          <w:kern w:val="0"/>
          <w:szCs w:val="21"/>
        </w:rPr>
        <w:t>5.≥3种模式切换。</w:t>
      </w:r>
    </w:p>
    <w:p w14:paraId="73440266">
      <w:pPr>
        <w:ind w:firstLine="420" w:firstLineChars="200"/>
        <w:rPr>
          <w:kern w:val="0"/>
          <w:szCs w:val="21"/>
        </w:rPr>
      </w:pPr>
      <w:r>
        <w:rPr>
          <w:rFonts w:hint="eastAsia"/>
          <w:kern w:val="0"/>
          <w:szCs w:val="21"/>
        </w:rPr>
        <w:t>6.输出功率：立体声8Ω ≥200W×2；立体声4Ω≥400W×2；</w:t>
      </w:r>
    </w:p>
    <w:p w14:paraId="131CFEFD">
      <w:pPr>
        <w:ind w:firstLine="420" w:firstLineChars="200"/>
        <w:rPr>
          <w:kern w:val="0"/>
          <w:szCs w:val="21"/>
        </w:rPr>
      </w:pPr>
      <w:r>
        <w:rPr>
          <w:rFonts w:hint="eastAsia"/>
          <w:kern w:val="0"/>
          <w:szCs w:val="21"/>
        </w:rPr>
        <w:t>桥接16Ω≥400W；桥接8Ω≥750W。</w:t>
      </w:r>
    </w:p>
    <w:p w14:paraId="5A6EF42B">
      <w:pPr>
        <w:ind w:firstLine="420" w:firstLineChars="200"/>
        <w:rPr>
          <w:kern w:val="0"/>
          <w:szCs w:val="21"/>
        </w:rPr>
      </w:pPr>
      <w:r>
        <w:rPr>
          <w:rFonts w:hint="eastAsia"/>
          <w:kern w:val="0"/>
          <w:szCs w:val="21"/>
        </w:rPr>
        <w:t>7.信噪比:≥105dB； 支持1V/2V切换。</w:t>
      </w:r>
    </w:p>
    <w:p w14:paraId="02397636">
      <w:pPr>
        <w:ind w:firstLine="420" w:firstLineChars="200"/>
        <w:rPr>
          <w:rFonts w:hint="eastAsia"/>
          <w:kern w:val="0"/>
          <w:szCs w:val="21"/>
        </w:rPr>
      </w:pPr>
    </w:p>
    <w:p w14:paraId="6D9A01AA">
      <w:pPr>
        <w:ind w:firstLine="422" w:firstLineChars="200"/>
        <w:rPr>
          <w:b/>
          <w:bCs/>
          <w:kern w:val="0"/>
          <w:szCs w:val="21"/>
        </w:rPr>
      </w:pPr>
      <w:r>
        <w:rPr>
          <w:b/>
          <w:bCs/>
          <w:kern w:val="0"/>
          <w:szCs w:val="21"/>
        </w:rPr>
        <w:t>5</w:t>
      </w:r>
      <w:r>
        <w:rPr>
          <w:rFonts w:hint="eastAsia"/>
          <w:b/>
          <w:bCs/>
          <w:kern w:val="0"/>
          <w:szCs w:val="21"/>
        </w:rPr>
        <w:t>、音箱</w:t>
      </w:r>
    </w:p>
    <w:p w14:paraId="483ED41D">
      <w:pPr>
        <w:ind w:firstLine="420" w:firstLineChars="200"/>
        <w:rPr>
          <w:kern w:val="0"/>
          <w:szCs w:val="21"/>
        </w:rPr>
      </w:pPr>
      <w:r>
        <w:rPr>
          <w:rFonts w:hint="eastAsia"/>
          <w:kern w:val="0"/>
          <w:szCs w:val="21"/>
        </w:rPr>
        <w:t>1.额定功率≥100W</w:t>
      </w:r>
    </w:p>
    <w:p w14:paraId="2D5C3208">
      <w:pPr>
        <w:ind w:firstLine="420" w:firstLineChars="200"/>
        <w:rPr>
          <w:kern w:val="0"/>
          <w:szCs w:val="21"/>
        </w:rPr>
      </w:pPr>
      <w:r>
        <w:rPr>
          <w:rFonts w:hint="eastAsia"/>
          <w:kern w:val="0"/>
          <w:szCs w:val="21"/>
        </w:rPr>
        <w:t>2.标称阻抗：≤8Ω</w:t>
      </w:r>
    </w:p>
    <w:p w14:paraId="44F81A0C">
      <w:pPr>
        <w:ind w:firstLine="420" w:firstLineChars="200"/>
        <w:rPr>
          <w:kern w:val="0"/>
          <w:szCs w:val="21"/>
        </w:rPr>
      </w:pPr>
      <w:r>
        <w:rPr>
          <w:rFonts w:hint="eastAsia"/>
          <w:kern w:val="0"/>
          <w:szCs w:val="21"/>
        </w:rPr>
        <w:t>3.频率响应： 150Hz-14KHz@-6dB/80Hz-20KHz@-10dB</w:t>
      </w:r>
    </w:p>
    <w:p w14:paraId="7D0C2096">
      <w:pPr>
        <w:ind w:firstLine="420" w:firstLineChars="200"/>
        <w:rPr>
          <w:kern w:val="0"/>
          <w:szCs w:val="21"/>
        </w:rPr>
      </w:pPr>
      <w:r>
        <w:rPr>
          <w:rFonts w:hint="eastAsia"/>
          <w:kern w:val="0"/>
          <w:szCs w:val="21"/>
        </w:rPr>
        <w:t>4.垂直覆盖角≥20°，水平覆盖角≥120°@（-6dB）</w:t>
      </w:r>
    </w:p>
    <w:p w14:paraId="1551E7E2">
      <w:pPr>
        <w:ind w:firstLine="420" w:firstLineChars="200"/>
        <w:rPr>
          <w:rFonts w:hint="eastAsia"/>
          <w:kern w:val="0"/>
          <w:szCs w:val="21"/>
        </w:rPr>
      </w:pPr>
    </w:p>
    <w:p w14:paraId="554B1FB7">
      <w:pPr>
        <w:ind w:firstLine="422" w:firstLineChars="200"/>
        <w:rPr>
          <w:b/>
          <w:bCs/>
          <w:kern w:val="0"/>
          <w:szCs w:val="21"/>
        </w:rPr>
      </w:pPr>
      <w:r>
        <w:rPr>
          <w:b/>
          <w:bCs/>
          <w:kern w:val="0"/>
          <w:szCs w:val="21"/>
        </w:rPr>
        <w:t>6</w:t>
      </w:r>
      <w:r>
        <w:rPr>
          <w:rFonts w:hint="eastAsia"/>
          <w:b/>
          <w:bCs/>
          <w:kern w:val="0"/>
          <w:szCs w:val="21"/>
        </w:rPr>
        <w:t>、电源管理器</w:t>
      </w:r>
    </w:p>
    <w:p w14:paraId="3E0C87D2">
      <w:pPr>
        <w:ind w:left="420" w:leftChars="200"/>
        <w:rPr>
          <w:kern w:val="0"/>
          <w:szCs w:val="21"/>
        </w:rPr>
      </w:pPr>
      <w:r>
        <w:rPr>
          <w:rFonts w:hint="eastAsia"/>
          <w:kern w:val="0"/>
          <w:szCs w:val="21"/>
        </w:rPr>
        <w:t>1.≥8通道开/关，延时时间：≤1秒，支持远程控制</w:t>
      </w:r>
    </w:p>
    <w:p w14:paraId="01C3630D">
      <w:pPr>
        <w:ind w:left="420" w:leftChars="200"/>
        <w:rPr>
          <w:kern w:val="0"/>
          <w:szCs w:val="21"/>
        </w:rPr>
      </w:pPr>
      <w:r>
        <w:rPr>
          <w:rFonts w:hint="eastAsia"/>
          <w:kern w:val="0"/>
          <w:szCs w:val="21"/>
        </w:rPr>
        <w:t>支持配置通道受控状态。</w:t>
      </w:r>
    </w:p>
    <w:p w14:paraId="3FBBA272">
      <w:pPr>
        <w:ind w:firstLine="420" w:firstLineChars="200"/>
        <w:rPr>
          <w:kern w:val="0"/>
          <w:szCs w:val="21"/>
        </w:rPr>
      </w:pPr>
      <w:r>
        <w:rPr>
          <w:rFonts w:hint="eastAsia"/>
          <w:kern w:val="0"/>
          <w:szCs w:val="21"/>
        </w:rPr>
        <w:t>2.级联控制报警功能。</w:t>
      </w:r>
    </w:p>
    <w:p w14:paraId="1C53B627">
      <w:pPr>
        <w:ind w:firstLine="420" w:firstLineChars="200"/>
        <w:rPr>
          <w:kern w:val="0"/>
          <w:szCs w:val="21"/>
        </w:rPr>
      </w:pPr>
      <w:r>
        <w:rPr>
          <w:rFonts w:hint="eastAsia"/>
          <w:kern w:val="0"/>
          <w:szCs w:val="21"/>
        </w:rPr>
        <w:t>3.单个通道最大负载功率≥2200W，负载总功率≥6000W。</w:t>
      </w:r>
    </w:p>
    <w:p w14:paraId="527FAC44">
      <w:pPr>
        <w:ind w:firstLine="420" w:firstLineChars="200"/>
        <w:rPr>
          <w:kern w:val="0"/>
          <w:szCs w:val="21"/>
        </w:rPr>
      </w:pPr>
      <w:r>
        <w:rPr>
          <w:rFonts w:hint="eastAsia"/>
          <w:kern w:val="0"/>
          <w:szCs w:val="21"/>
        </w:rPr>
        <w:t>4.≥1路USB接口。</w:t>
      </w:r>
    </w:p>
    <w:p w14:paraId="56A1B963">
      <w:pPr>
        <w:ind w:firstLine="420" w:firstLineChars="200"/>
        <w:rPr>
          <w:rFonts w:hint="eastAsia"/>
          <w:color w:val="FF0000"/>
          <w:kern w:val="0"/>
          <w:szCs w:val="21"/>
        </w:rPr>
      </w:pPr>
    </w:p>
    <w:p w14:paraId="07008C17">
      <w:pPr>
        <w:ind w:firstLine="422" w:firstLineChars="200"/>
        <w:rPr>
          <w:b/>
          <w:bCs/>
          <w:kern w:val="0"/>
          <w:szCs w:val="21"/>
        </w:rPr>
      </w:pPr>
      <w:r>
        <w:rPr>
          <w:b/>
          <w:bCs/>
          <w:kern w:val="0"/>
          <w:szCs w:val="21"/>
        </w:rPr>
        <w:t>7</w:t>
      </w:r>
      <w:r>
        <w:rPr>
          <w:rFonts w:hint="eastAsia"/>
          <w:b/>
          <w:bCs/>
          <w:kern w:val="0"/>
          <w:szCs w:val="21"/>
        </w:rPr>
        <w:t>、会议主机</w:t>
      </w:r>
    </w:p>
    <w:p w14:paraId="3B0B0A99">
      <w:pPr>
        <w:ind w:left="420" w:leftChars="200"/>
        <w:rPr>
          <w:kern w:val="0"/>
          <w:szCs w:val="21"/>
        </w:rPr>
      </w:pPr>
      <w:r>
        <w:rPr>
          <w:rFonts w:hint="eastAsia"/>
          <w:kern w:val="0"/>
          <w:szCs w:val="21"/>
        </w:rPr>
        <w:t>1.支持有线会议、无线会议单元管理，有线单元数量≥4096，无线单元数量≥300。</w:t>
      </w:r>
    </w:p>
    <w:p w14:paraId="31A26AEC">
      <w:pPr>
        <w:ind w:left="420" w:leftChars="200"/>
        <w:rPr>
          <w:kern w:val="0"/>
          <w:szCs w:val="21"/>
        </w:rPr>
      </w:pPr>
      <w:r>
        <w:rPr>
          <w:rFonts w:hint="eastAsia"/>
          <w:kern w:val="0"/>
          <w:szCs w:val="21"/>
        </w:rPr>
        <w:t>具备议程签到、表决、服务功能及发言控制功能。</w:t>
      </w:r>
    </w:p>
    <w:p w14:paraId="3EECA352">
      <w:pPr>
        <w:ind w:left="420" w:leftChars="200"/>
        <w:rPr>
          <w:kern w:val="0"/>
          <w:szCs w:val="21"/>
        </w:rPr>
      </w:pPr>
      <w:r>
        <w:rPr>
          <w:rFonts w:hint="eastAsia"/>
          <w:kern w:val="0"/>
          <w:szCs w:val="21"/>
        </w:rPr>
        <w:t>应提供由具备相应检测能力的机构出具的有效检测报告及能力证明</w:t>
      </w:r>
    </w:p>
    <w:p w14:paraId="1742547D">
      <w:pPr>
        <w:ind w:left="420" w:leftChars="200"/>
        <w:rPr>
          <w:kern w:val="0"/>
          <w:szCs w:val="21"/>
        </w:rPr>
      </w:pPr>
      <w:r>
        <w:rPr>
          <w:rFonts w:hint="eastAsia"/>
          <w:kern w:val="0"/>
          <w:szCs w:val="21"/>
        </w:rPr>
        <w:t>2.同时兼容有线、无线会议单元连接并行使用；具备跨域音频同步技术，有线、无线会议单元无缝混音输出。</w:t>
      </w:r>
    </w:p>
    <w:p w14:paraId="66AFEEC3">
      <w:pPr>
        <w:ind w:firstLine="420" w:firstLineChars="200"/>
        <w:rPr>
          <w:kern w:val="0"/>
          <w:szCs w:val="21"/>
        </w:rPr>
      </w:pPr>
      <w:r>
        <w:rPr>
          <w:rFonts w:hint="eastAsia"/>
          <w:kern w:val="0"/>
          <w:szCs w:val="21"/>
        </w:rPr>
        <w:t>3.具备分段压缩混音技术、时钟同步技术，拾音到主机输出延时≤5ms。</w:t>
      </w:r>
    </w:p>
    <w:p w14:paraId="0667A741">
      <w:pPr>
        <w:ind w:left="420" w:leftChars="200"/>
        <w:rPr>
          <w:kern w:val="0"/>
          <w:szCs w:val="21"/>
        </w:rPr>
      </w:pPr>
      <w:r>
        <w:rPr>
          <w:rFonts w:hint="eastAsia"/>
          <w:kern w:val="0"/>
          <w:szCs w:val="21"/>
        </w:rPr>
        <w:t>4.≥1个USB接口；≥2路RS-232接口、≥1路RS-485、≥4路RJ45；≥1路RCA输入、≥1路卡侬输入、≥2路凤凰端子输入；≥1路RCA输出、≥1路卡侬输出、≥16路凤凰端子输出；≥1个拨码开关、≥1个接地柱。</w:t>
      </w:r>
    </w:p>
    <w:p w14:paraId="5188181E">
      <w:pPr>
        <w:ind w:left="420" w:leftChars="200"/>
        <w:rPr>
          <w:kern w:val="0"/>
          <w:szCs w:val="21"/>
        </w:rPr>
      </w:pPr>
      <w:r>
        <w:rPr>
          <w:rFonts w:hint="eastAsia"/>
          <w:kern w:val="0"/>
          <w:szCs w:val="21"/>
        </w:rPr>
        <w:t>5.≥5会议单元使用状态指示灯；有线会议发言单元指示灯≥4，无线会议发言单元通讯指示灯≥1，兼容无线收发器；具备链路使用状态检测功能。</w:t>
      </w:r>
    </w:p>
    <w:p w14:paraId="6D1216E1">
      <w:pPr>
        <w:ind w:left="420" w:leftChars="200"/>
        <w:rPr>
          <w:kern w:val="0"/>
          <w:szCs w:val="21"/>
        </w:rPr>
      </w:pPr>
      <w:r>
        <w:rPr>
          <w:rFonts w:hint="eastAsia"/>
          <w:kern w:val="0"/>
          <w:szCs w:val="21"/>
        </w:rPr>
        <w:t>6.≥16输出通道，可扩展数≥272，≥30级音量调节、≥10段均衡器调节、≥100级延时器调节。</w:t>
      </w:r>
    </w:p>
    <w:p w14:paraId="6A04A9BA">
      <w:pPr>
        <w:ind w:left="420" w:leftChars="200"/>
        <w:rPr>
          <w:kern w:val="0"/>
          <w:szCs w:val="21"/>
        </w:rPr>
      </w:pPr>
      <w:r>
        <w:rPr>
          <w:rFonts w:hint="eastAsia"/>
          <w:kern w:val="0"/>
          <w:szCs w:val="21"/>
        </w:rPr>
        <w:t>7.≥16通道音频分组输出；可拆分≥16个独立的会议系统使用。</w:t>
      </w:r>
    </w:p>
    <w:p w14:paraId="4FF0254D">
      <w:pPr>
        <w:ind w:left="420" w:leftChars="200"/>
        <w:rPr>
          <w:kern w:val="0"/>
          <w:szCs w:val="21"/>
        </w:rPr>
      </w:pPr>
      <w:r>
        <w:rPr>
          <w:rFonts w:hint="eastAsia"/>
          <w:kern w:val="0"/>
          <w:szCs w:val="21"/>
        </w:rPr>
        <w:t>8.支持U盘、客户端录音方式；可录制单个会议单元发言音频和所有会议单元混音发言音频。</w:t>
      </w:r>
    </w:p>
    <w:p w14:paraId="4AD3E7EB">
      <w:pPr>
        <w:ind w:left="420" w:leftChars="200"/>
        <w:rPr>
          <w:kern w:val="0"/>
          <w:szCs w:val="21"/>
        </w:rPr>
      </w:pPr>
      <w:r>
        <w:rPr>
          <w:rFonts w:hint="eastAsia"/>
          <w:kern w:val="0"/>
          <w:szCs w:val="21"/>
        </w:rPr>
        <w:t>▲9.C/S、B/S管控架构，包括客户端、WEB端；全彩触摸屏、安卓手机/平板控制方式；</w:t>
      </w:r>
    </w:p>
    <w:p w14:paraId="3E750042">
      <w:pPr>
        <w:ind w:left="420" w:leftChars="200"/>
        <w:rPr>
          <w:kern w:val="0"/>
          <w:szCs w:val="21"/>
        </w:rPr>
      </w:pPr>
      <w:r>
        <w:rPr>
          <w:rFonts w:hint="eastAsia"/>
          <w:kern w:val="0"/>
          <w:szCs w:val="21"/>
        </w:rPr>
        <w:t>通过客户端可调节参数；</w:t>
      </w:r>
    </w:p>
    <w:p w14:paraId="2997AE4F">
      <w:pPr>
        <w:ind w:left="420" w:leftChars="200"/>
        <w:rPr>
          <w:kern w:val="0"/>
          <w:szCs w:val="21"/>
        </w:rPr>
      </w:pPr>
      <w:r>
        <w:rPr>
          <w:rFonts w:hint="eastAsia"/>
          <w:kern w:val="0"/>
          <w:szCs w:val="21"/>
        </w:rPr>
        <w:t>≥16路输出模式切换、开关会议单元、支持控制角色分离主机功能；</w:t>
      </w:r>
    </w:p>
    <w:p w14:paraId="3B06C75E">
      <w:pPr>
        <w:ind w:left="420" w:leftChars="200"/>
        <w:rPr>
          <w:kern w:val="0"/>
          <w:szCs w:val="21"/>
        </w:rPr>
      </w:pPr>
      <w:r>
        <w:rPr>
          <w:rFonts w:hint="eastAsia"/>
          <w:kern w:val="0"/>
          <w:szCs w:val="21"/>
        </w:rPr>
        <w:t>支持可调节会议模式、有线/无线会议单元开启数量；</w:t>
      </w:r>
    </w:p>
    <w:p w14:paraId="0E1B439C">
      <w:pPr>
        <w:ind w:left="420" w:leftChars="200"/>
        <w:rPr>
          <w:kern w:val="0"/>
          <w:szCs w:val="21"/>
        </w:rPr>
      </w:pPr>
      <w:r>
        <w:rPr>
          <w:rFonts w:hint="eastAsia"/>
          <w:kern w:val="0"/>
          <w:szCs w:val="21"/>
        </w:rPr>
        <w:t>支持终端控制会议单元签到、投票表决、接收会议服务信息、一键关闭无线会议单元功能。</w:t>
      </w:r>
    </w:p>
    <w:p w14:paraId="46FD5EB6">
      <w:pPr>
        <w:ind w:left="420" w:leftChars="200"/>
        <w:rPr>
          <w:kern w:val="0"/>
          <w:szCs w:val="21"/>
        </w:rPr>
      </w:pPr>
      <w:r>
        <w:rPr>
          <w:rFonts w:hint="eastAsia"/>
          <w:kern w:val="0"/>
          <w:szCs w:val="21"/>
        </w:rPr>
        <w:t>提供由具备相应检测能力的机构出具的有效检测报告及能力证明</w:t>
      </w:r>
    </w:p>
    <w:p w14:paraId="012737F3">
      <w:pPr>
        <w:ind w:left="420" w:leftChars="200"/>
        <w:rPr>
          <w:kern w:val="0"/>
          <w:szCs w:val="21"/>
        </w:rPr>
      </w:pPr>
      <w:r>
        <w:rPr>
          <w:rFonts w:hint="eastAsia"/>
          <w:kern w:val="0"/>
          <w:szCs w:val="21"/>
        </w:rPr>
        <w:t>提供检测机构在国家市场监督管理总局检验检测机构资质的查询截图</w:t>
      </w:r>
    </w:p>
    <w:p w14:paraId="589A11DC">
      <w:pPr>
        <w:ind w:left="420" w:leftChars="200"/>
        <w:rPr>
          <w:kern w:val="0"/>
          <w:szCs w:val="21"/>
        </w:rPr>
      </w:pPr>
      <w:r>
        <w:rPr>
          <w:rFonts w:hint="eastAsia"/>
          <w:kern w:val="0"/>
          <w:szCs w:val="21"/>
        </w:rPr>
        <w:t>10.支持不同 UI 界面。</w:t>
      </w:r>
    </w:p>
    <w:p w14:paraId="29AC01B0">
      <w:pPr>
        <w:ind w:left="420" w:leftChars="200"/>
        <w:rPr>
          <w:kern w:val="0"/>
          <w:szCs w:val="21"/>
        </w:rPr>
      </w:pPr>
      <w:r>
        <w:rPr>
          <w:rFonts w:hint="eastAsia"/>
          <w:kern w:val="0"/>
          <w:szCs w:val="21"/>
        </w:rPr>
        <w:t>11.支持≥24台会议单元同时发言，其中有线会议单元≥16台、无线会议单元≥8同时发言；</w:t>
      </w:r>
    </w:p>
    <w:p w14:paraId="46C976EF">
      <w:pPr>
        <w:ind w:left="420" w:leftChars="200"/>
        <w:rPr>
          <w:kern w:val="0"/>
          <w:szCs w:val="21"/>
        </w:rPr>
      </w:pPr>
      <w:r>
        <w:rPr>
          <w:rFonts w:hint="eastAsia"/>
          <w:kern w:val="0"/>
          <w:szCs w:val="21"/>
        </w:rPr>
        <w:t>自定义发言人数。</w:t>
      </w:r>
    </w:p>
    <w:p w14:paraId="39E478EE">
      <w:pPr>
        <w:ind w:left="420" w:leftChars="200"/>
        <w:rPr>
          <w:kern w:val="0"/>
          <w:szCs w:val="21"/>
        </w:rPr>
      </w:pPr>
      <w:r>
        <w:rPr>
          <w:rFonts w:hint="eastAsia"/>
          <w:kern w:val="0"/>
          <w:szCs w:val="21"/>
        </w:rPr>
        <w:t>提供由具备相应检测能力的机构出具的有效检测报告及能力证明</w:t>
      </w:r>
    </w:p>
    <w:p w14:paraId="0D000E97">
      <w:pPr>
        <w:ind w:left="420" w:leftChars="200"/>
        <w:rPr>
          <w:kern w:val="0"/>
          <w:szCs w:val="21"/>
        </w:rPr>
      </w:pPr>
      <w:r>
        <w:rPr>
          <w:rFonts w:hint="eastAsia"/>
          <w:kern w:val="0"/>
          <w:szCs w:val="21"/>
        </w:rPr>
        <w:t>12.≥3种备份机制；支持双机热备，支持环形双链路；支持T型链路备份。</w:t>
      </w:r>
    </w:p>
    <w:p w14:paraId="563C7F4F">
      <w:pPr>
        <w:ind w:left="420" w:leftChars="200"/>
        <w:rPr>
          <w:kern w:val="0"/>
          <w:szCs w:val="21"/>
        </w:rPr>
      </w:pPr>
      <w:r>
        <w:rPr>
          <w:rFonts w:hint="eastAsia"/>
          <w:kern w:val="0"/>
          <w:szCs w:val="21"/>
        </w:rPr>
        <w:t>13.具备多环路检测及网络补给功能，支持故障快速恢复，恢复时间≤5ms。</w:t>
      </w:r>
    </w:p>
    <w:p w14:paraId="69ECEC56">
      <w:pPr>
        <w:ind w:left="420" w:leftChars="200"/>
        <w:rPr>
          <w:kern w:val="0"/>
          <w:szCs w:val="21"/>
        </w:rPr>
      </w:pPr>
      <w:r>
        <w:rPr>
          <w:rFonts w:hint="eastAsia"/>
          <w:kern w:val="0"/>
          <w:szCs w:val="21"/>
        </w:rPr>
        <w:t>▲14.客户端、WEB端软件适配windows、国产操作系统、macOS、Ubuntu桌面版。</w:t>
      </w:r>
    </w:p>
    <w:p w14:paraId="41339BFF">
      <w:pPr>
        <w:ind w:left="420" w:leftChars="200"/>
        <w:rPr>
          <w:kern w:val="0"/>
          <w:szCs w:val="21"/>
        </w:rPr>
      </w:pPr>
      <w:r>
        <w:rPr>
          <w:rFonts w:hint="eastAsia"/>
          <w:kern w:val="0"/>
          <w:szCs w:val="21"/>
        </w:rPr>
        <w:t>▲1</w:t>
      </w:r>
      <w:r>
        <w:rPr>
          <w:kern w:val="0"/>
          <w:szCs w:val="21"/>
        </w:rPr>
        <w:t>5</w:t>
      </w:r>
      <w:r>
        <w:rPr>
          <w:rFonts w:hint="eastAsia"/>
          <w:kern w:val="0"/>
          <w:szCs w:val="21"/>
        </w:rPr>
        <w:t>.可接入综合管理平台实现音频设备统一管理；具备上传配置信息至云端、保存本地进行备份功能、一键还原配置信息功能。</w:t>
      </w:r>
    </w:p>
    <w:p w14:paraId="73F47008">
      <w:pPr>
        <w:ind w:left="420" w:leftChars="200"/>
        <w:rPr>
          <w:kern w:val="0"/>
          <w:szCs w:val="21"/>
        </w:rPr>
      </w:pPr>
      <w:r>
        <w:rPr>
          <w:rFonts w:hint="eastAsia"/>
          <w:kern w:val="0"/>
          <w:szCs w:val="21"/>
        </w:rPr>
        <w:t>提供由具备相应检测能力的机构出具的有效检测报告及能力证明</w:t>
      </w:r>
    </w:p>
    <w:p w14:paraId="5FA3087A">
      <w:pPr>
        <w:ind w:left="420" w:leftChars="200"/>
        <w:rPr>
          <w:rFonts w:hint="eastAsia"/>
          <w:b/>
          <w:bCs/>
          <w:kern w:val="0"/>
          <w:szCs w:val="21"/>
        </w:rPr>
      </w:pPr>
    </w:p>
    <w:p w14:paraId="037AE06A">
      <w:pPr>
        <w:ind w:firstLine="422" w:firstLineChars="200"/>
        <w:rPr>
          <w:b/>
          <w:bCs/>
          <w:kern w:val="0"/>
          <w:szCs w:val="21"/>
        </w:rPr>
      </w:pPr>
      <w:r>
        <w:rPr>
          <w:b/>
          <w:bCs/>
          <w:kern w:val="0"/>
          <w:szCs w:val="21"/>
        </w:rPr>
        <w:t>8</w:t>
      </w:r>
      <w:r>
        <w:rPr>
          <w:rFonts w:hint="eastAsia"/>
          <w:b/>
          <w:bCs/>
          <w:kern w:val="0"/>
          <w:szCs w:val="21"/>
        </w:rPr>
        <w:t>、处理器</w:t>
      </w:r>
    </w:p>
    <w:p w14:paraId="1BFFFF94">
      <w:pPr>
        <w:ind w:left="420" w:leftChars="200"/>
        <w:rPr>
          <w:kern w:val="0"/>
          <w:szCs w:val="21"/>
        </w:rPr>
      </w:pPr>
      <w:r>
        <w:rPr>
          <w:rFonts w:hint="eastAsia"/>
          <w:kern w:val="0"/>
          <w:szCs w:val="21"/>
        </w:rPr>
        <w:t>1.具有智能混音、语音检测功能，≥</w:t>
      </w:r>
      <w:r>
        <w:rPr>
          <w:kern w:val="0"/>
          <w:szCs w:val="21"/>
        </w:rPr>
        <w:t>24</w:t>
      </w:r>
      <w:r>
        <w:rPr>
          <w:rFonts w:hint="eastAsia"/>
          <w:kern w:val="0"/>
          <w:szCs w:val="21"/>
        </w:rPr>
        <w:t>个有线会议单元+无线会议单元实时检测会议单元dB值及发言状态，联动摄像机自动跟踪发言人。</w:t>
      </w:r>
    </w:p>
    <w:p w14:paraId="46FC85AA">
      <w:pPr>
        <w:ind w:left="420" w:leftChars="200"/>
        <w:rPr>
          <w:kern w:val="0"/>
          <w:szCs w:val="21"/>
        </w:rPr>
      </w:pPr>
      <w:r>
        <w:rPr>
          <w:rFonts w:hint="eastAsia"/>
          <w:kern w:val="0"/>
          <w:szCs w:val="21"/>
        </w:rPr>
        <w:t>提供由具备相应检测能力的机构出具的有效检测报告及能力证明</w:t>
      </w:r>
    </w:p>
    <w:p w14:paraId="60A0ADBD">
      <w:pPr>
        <w:ind w:firstLine="420" w:firstLineChars="200"/>
        <w:rPr>
          <w:kern w:val="0"/>
          <w:szCs w:val="21"/>
        </w:rPr>
      </w:pPr>
      <w:r>
        <w:rPr>
          <w:rFonts w:hint="eastAsia"/>
          <w:kern w:val="0"/>
          <w:szCs w:val="21"/>
        </w:rPr>
        <w:t>2.对接摄像机实现摄像跟踪；≥64个话筒预置位。</w:t>
      </w:r>
    </w:p>
    <w:p w14:paraId="0F36037B">
      <w:pPr>
        <w:ind w:left="420" w:leftChars="200"/>
        <w:rPr>
          <w:kern w:val="0"/>
          <w:szCs w:val="21"/>
        </w:rPr>
      </w:pPr>
      <w:r>
        <w:rPr>
          <w:rFonts w:hint="eastAsia"/>
          <w:kern w:val="0"/>
          <w:szCs w:val="21"/>
        </w:rPr>
        <w:t>▲3.≥1个船形开关、≥4个RJ45、≥1个RS485、≥2个RS232、≥1个TYPE-C、≥1个拨码开关、≥1路卡侬输出、≥2路RCA输出；≥1个AFC电容触摸开关；≥1个AFC 功能状态指示灯、≥1个音频信号灯、≥1个处理器工作状态指示灯、≥1个工作电源指示灯。</w:t>
      </w:r>
    </w:p>
    <w:p w14:paraId="263034AA">
      <w:pPr>
        <w:ind w:left="420" w:leftChars="200"/>
        <w:rPr>
          <w:kern w:val="0"/>
          <w:szCs w:val="21"/>
        </w:rPr>
      </w:pPr>
      <w:r>
        <w:rPr>
          <w:rFonts w:hint="eastAsia"/>
          <w:kern w:val="0"/>
          <w:szCs w:val="21"/>
        </w:rPr>
        <w:t>▲4.自动增益、自动混音、AFC反馈抑制、≥24个可编程陷波点、≥31段图示均衡器调节；≥24个可编程陷波点。</w:t>
      </w:r>
    </w:p>
    <w:p w14:paraId="22613354">
      <w:pPr>
        <w:ind w:left="420" w:leftChars="200"/>
        <w:rPr>
          <w:kern w:val="0"/>
          <w:szCs w:val="21"/>
        </w:rPr>
      </w:pPr>
      <w:r>
        <w:rPr>
          <w:rFonts w:hint="eastAsia"/>
          <w:kern w:val="0"/>
          <w:szCs w:val="21"/>
        </w:rPr>
        <w:t>提供由具备相应检测能力的机构出具的有效检测报告及能力证明</w:t>
      </w:r>
    </w:p>
    <w:p w14:paraId="05FAE1A1">
      <w:pPr>
        <w:ind w:left="420" w:leftChars="200"/>
        <w:rPr>
          <w:kern w:val="0"/>
          <w:szCs w:val="21"/>
        </w:rPr>
      </w:pPr>
      <w:r>
        <w:rPr>
          <w:rFonts w:hint="eastAsia"/>
          <w:kern w:val="0"/>
          <w:szCs w:val="21"/>
        </w:rPr>
        <w:t>▲5.支持搭配音频综合管理平台集中管控软件模块，包含数字会议系统软件模块、电子桌牌软件模块、反馈抑制器软件模块、智能混音器软件模块、数字音频处理器软件模块、智控数字专业功放软件模块。</w:t>
      </w:r>
    </w:p>
    <w:p w14:paraId="04AE953D">
      <w:pPr>
        <w:ind w:left="420" w:leftChars="200"/>
        <w:rPr>
          <w:kern w:val="0"/>
          <w:szCs w:val="21"/>
        </w:rPr>
      </w:pPr>
      <w:r>
        <w:rPr>
          <w:rFonts w:hint="eastAsia"/>
          <w:kern w:val="0"/>
          <w:szCs w:val="21"/>
        </w:rPr>
        <w:t>提供由具备相应检测能力的机构出具的有效检测报告及能力证明</w:t>
      </w:r>
    </w:p>
    <w:p w14:paraId="389FFE08">
      <w:pPr>
        <w:ind w:left="420" w:leftChars="200"/>
        <w:rPr>
          <w:kern w:val="0"/>
          <w:szCs w:val="21"/>
        </w:rPr>
      </w:pPr>
    </w:p>
    <w:p w14:paraId="6CE14D93">
      <w:pPr>
        <w:ind w:firstLine="422" w:firstLineChars="200"/>
        <w:rPr>
          <w:b/>
          <w:bCs/>
          <w:kern w:val="0"/>
          <w:szCs w:val="21"/>
        </w:rPr>
      </w:pPr>
      <w:r>
        <w:rPr>
          <w:b/>
          <w:bCs/>
          <w:kern w:val="0"/>
          <w:szCs w:val="21"/>
        </w:rPr>
        <w:t>9</w:t>
      </w:r>
      <w:r>
        <w:rPr>
          <w:rFonts w:hint="eastAsia"/>
          <w:b/>
          <w:bCs/>
          <w:kern w:val="0"/>
          <w:szCs w:val="21"/>
        </w:rPr>
        <w:t>、AI反馈抑制器</w:t>
      </w:r>
    </w:p>
    <w:p w14:paraId="1A69E3FC">
      <w:pPr>
        <w:ind w:left="420" w:leftChars="200"/>
        <w:rPr>
          <w:kern w:val="0"/>
          <w:szCs w:val="21"/>
        </w:rPr>
      </w:pPr>
      <w:r>
        <w:rPr>
          <w:rFonts w:hint="eastAsia"/>
          <w:kern w:val="0"/>
          <w:szCs w:val="21"/>
        </w:rPr>
        <w:t>▲1.主频≥1.3GHz；≥2个独立的反馈抑制通道，支持AFC功能；</w:t>
      </w:r>
    </w:p>
    <w:p w14:paraId="6B5BFD75">
      <w:pPr>
        <w:ind w:firstLine="420" w:firstLineChars="200"/>
        <w:rPr>
          <w:kern w:val="0"/>
          <w:szCs w:val="21"/>
        </w:rPr>
      </w:pPr>
      <w:r>
        <w:rPr>
          <w:rFonts w:hint="eastAsia"/>
          <w:kern w:val="0"/>
          <w:szCs w:val="21"/>
        </w:rPr>
        <w:t>2.支持声场校正。</w:t>
      </w:r>
    </w:p>
    <w:p w14:paraId="43175336">
      <w:pPr>
        <w:ind w:firstLine="420" w:firstLineChars="200"/>
        <w:rPr>
          <w:kern w:val="0"/>
          <w:szCs w:val="21"/>
        </w:rPr>
      </w:pPr>
      <w:r>
        <w:rPr>
          <w:rFonts w:hint="eastAsia"/>
          <w:kern w:val="0"/>
          <w:szCs w:val="21"/>
        </w:rPr>
        <w:t>3.≥2个独立通道，支持宽于0-99级数字音量调节及静音开关功能。</w:t>
      </w:r>
    </w:p>
    <w:p w14:paraId="70E0130F">
      <w:pPr>
        <w:ind w:firstLine="420" w:firstLineChars="200"/>
        <w:rPr>
          <w:kern w:val="0"/>
          <w:szCs w:val="21"/>
        </w:rPr>
      </w:pPr>
      <w:r>
        <w:rPr>
          <w:rFonts w:hint="eastAsia"/>
          <w:kern w:val="0"/>
          <w:szCs w:val="21"/>
        </w:rPr>
        <w:t>4.具有移频+陷波反馈抑制功能，≥48个可编程陷波点。</w:t>
      </w:r>
    </w:p>
    <w:p w14:paraId="5F481B7C">
      <w:pPr>
        <w:ind w:left="420" w:leftChars="200"/>
        <w:rPr>
          <w:kern w:val="0"/>
          <w:szCs w:val="21"/>
        </w:rPr>
      </w:pPr>
      <w:r>
        <w:rPr>
          <w:rFonts w:hint="eastAsia"/>
          <w:kern w:val="0"/>
          <w:szCs w:val="21"/>
        </w:rPr>
        <w:t>▲5.≥48个LED灯陷波状态指示灯、IPS显示屏、≥1编码旋钮；≥1个船形开关、≥2路XLR母座、2路TRS母座输入、≥2路XLR公座+2路TRS母座输出、≥1个RJ45。</w:t>
      </w:r>
    </w:p>
    <w:p w14:paraId="6C5359C2">
      <w:pPr>
        <w:ind w:left="420" w:leftChars="200"/>
        <w:rPr>
          <w:kern w:val="0"/>
          <w:szCs w:val="21"/>
        </w:rPr>
      </w:pPr>
      <w:r>
        <w:rPr>
          <w:rFonts w:hint="eastAsia"/>
          <w:kern w:val="0"/>
          <w:szCs w:val="21"/>
        </w:rPr>
        <w:t>提供设备接口图佐证</w:t>
      </w:r>
    </w:p>
    <w:p w14:paraId="54A74F07">
      <w:pPr>
        <w:ind w:left="420" w:leftChars="200"/>
        <w:rPr>
          <w:kern w:val="0"/>
          <w:szCs w:val="21"/>
        </w:rPr>
      </w:pPr>
      <w:r>
        <w:rPr>
          <w:rFonts w:hint="eastAsia"/>
          <w:kern w:val="0"/>
          <w:szCs w:val="21"/>
        </w:rPr>
        <w:t>6.具有编码旋钮。</w:t>
      </w:r>
    </w:p>
    <w:p w14:paraId="318F9A95">
      <w:pPr>
        <w:ind w:left="420" w:leftChars="200"/>
        <w:rPr>
          <w:kern w:val="0"/>
          <w:szCs w:val="21"/>
        </w:rPr>
      </w:pPr>
      <w:r>
        <w:rPr>
          <w:rFonts w:hint="eastAsia"/>
          <w:kern w:val="0"/>
          <w:szCs w:val="21"/>
        </w:rPr>
        <w:t>7.具有设备定位功能。</w:t>
      </w:r>
    </w:p>
    <w:p w14:paraId="6D2A1434">
      <w:pPr>
        <w:ind w:firstLine="420" w:firstLineChars="200"/>
        <w:rPr>
          <w:kern w:val="0"/>
          <w:szCs w:val="21"/>
        </w:rPr>
      </w:pPr>
      <w:r>
        <w:rPr>
          <w:rFonts w:hint="eastAsia"/>
          <w:kern w:val="0"/>
          <w:szCs w:val="21"/>
        </w:rPr>
        <w:t>8.支持集中控制功能，≥65535台设备软件控制。</w:t>
      </w:r>
    </w:p>
    <w:p w14:paraId="0255F313">
      <w:pPr>
        <w:ind w:firstLine="420" w:firstLineChars="200"/>
        <w:rPr>
          <w:kern w:val="0"/>
          <w:szCs w:val="21"/>
        </w:rPr>
      </w:pPr>
      <w:r>
        <w:rPr>
          <w:rFonts w:hint="eastAsia"/>
          <w:kern w:val="0"/>
          <w:szCs w:val="21"/>
        </w:rPr>
        <w:t>9.支持多端数据同步。</w:t>
      </w:r>
    </w:p>
    <w:p w14:paraId="365ACDD6">
      <w:pPr>
        <w:ind w:left="420" w:leftChars="200"/>
        <w:rPr>
          <w:kern w:val="0"/>
          <w:szCs w:val="21"/>
        </w:rPr>
      </w:pPr>
      <w:r>
        <w:rPr>
          <w:rFonts w:hint="eastAsia"/>
          <w:kern w:val="0"/>
          <w:szCs w:val="21"/>
        </w:rPr>
        <w:t>▲10.可接入综合管理平台实现音频设备统一管理；具备一键上传配置信息至云端、保存本地进行备份、一键还原配置信息功能。</w:t>
      </w:r>
    </w:p>
    <w:p w14:paraId="54974B7B">
      <w:pPr>
        <w:ind w:left="420" w:leftChars="200"/>
        <w:rPr>
          <w:kern w:val="0"/>
          <w:szCs w:val="21"/>
        </w:rPr>
      </w:pPr>
      <w:r>
        <w:rPr>
          <w:rFonts w:hint="eastAsia"/>
          <w:kern w:val="0"/>
          <w:szCs w:val="21"/>
        </w:rPr>
        <w:t>提供功能界面截图佐证</w:t>
      </w:r>
    </w:p>
    <w:p w14:paraId="1D159287">
      <w:pPr>
        <w:ind w:left="420" w:leftChars="200"/>
        <w:rPr>
          <w:rFonts w:hint="eastAsia"/>
          <w:kern w:val="0"/>
          <w:szCs w:val="21"/>
        </w:rPr>
      </w:pPr>
    </w:p>
    <w:p w14:paraId="4B379C21">
      <w:pPr>
        <w:ind w:firstLine="422" w:firstLineChars="200"/>
        <w:rPr>
          <w:b/>
          <w:bCs/>
          <w:kern w:val="0"/>
          <w:szCs w:val="21"/>
        </w:rPr>
      </w:pPr>
      <w:r>
        <w:rPr>
          <w:rFonts w:hint="eastAsia"/>
          <w:b/>
          <w:bCs/>
          <w:kern w:val="0"/>
          <w:szCs w:val="21"/>
        </w:rPr>
        <w:t>1</w:t>
      </w:r>
      <w:r>
        <w:rPr>
          <w:b/>
          <w:bCs/>
          <w:kern w:val="0"/>
          <w:szCs w:val="21"/>
        </w:rPr>
        <w:t>0</w:t>
      </w:r>
      <w:r>
        <w:rPr>
          <w:rFonts w:hint="eastAsia"/>
          <w:b/>
          <w:bCs/>
          <w:kern w:val="0"/>
          <w:szCs w:val="21"/>
        </w:rPr>
        <w:t>、会议话筒</w:t>
      </w:r>
    </w:p>
    <w:p w14:paraId="2F6D6DCA">
      <w:pPr>
        <w:ind w:firstLine="420" w:firstLineChars="200"/>
        <w:rPr>
          <w:kern w:val="0"/>
          <w:szCs w:val="21"/>
        </w:rPr>
      </w:pPr>
      <w:r>
        <w:rPr>
          <w:rFonts w:hint="eastAsia"/>
          <w:kern w:val="0"/>
          <w:szCs w:val="21"/>
        </w:rPr>
        <w:t>1.电容触摸按键。咪杆高度≤240mm。</w:t>
      </w:r>
    </w:p>
    <w:p w14:paraId="1419A305">
      <w:pPr>
        <w:ind w:firstLine="420" w:firstLineChars="200"/>
        <w:rPr>
          <w:kern w:val="0"/>
          <w:szCs w:val="21"/>
        </w:rPr>
      </w:pPr>
      <w:r>
        <w:rPr>
          <w:rFonts w:hint="eastAsia"/>
          <w:kern w:val="0"/>
          <w:szCs w:val="21"/>
        </w:rPr>
        <w:t>2.采用非压缩音频传输技术，≥48K采样率。</w:t>
      </w:r>
    </w:p>
    <w:p w14:paraId="368FB8FB">
      <w:pPr>
        <w:ind w:firstLine="420" w:firstLineChars="200"/>
        <w:rPr>
          <w:kern w:val="0"/>
          <w:szCs w:val="21"/>
        </w:rPr>
      </w:pPr>
      <w:r>
        <w:rPr>
          <w:rFonts w:hint="eastAsia"/>
          <w:kern w:val="0"/>
          <w:szCs w:val="21"/>
        </w:rPr>
        <w:t>3. 100M网络传输手拉手。</w:t>
      </w:r>
    </w:p>
    <w:p w14:paraId="42B83792">
      <w:pPr>
        <w:ind w:firstLine="420" w:firstLineChars="200"/>
        <w:rPr>
          <w:kern w:val="0"/>
          <w:szCs w:val="21"/>
        </w:rPr>
      </w:pPr>
      <w:r>
        <w:rPr>
          <w:rFonts w:hint="eastAsia"/>
          <w:kern w:val="0"/>
          <w:szCs w:val="21"/>
        </w:rPr>
        <w:t>4.标准TCP/IP协议，支持ping包。</w:t>
      </w:r>
    </w:p>
    <w:p w14:paraId="3038B355">
      <w:pPr>
        <w:ind w:firstLine="420" w:firstLineChars="200"/>
        <w:rPr>
          <w:kern w:val="0"/>
          <w:szCs w:val="21"/>
        </w:rPr>
      </w:pPr>
      <w:r>
        <w:rPr>
          <w:rFonts w:hint="eastAsia"/>
          <w:kern w:val="0"/>
          <w:szCs w:val="21"/>
        </w:rPr>
        <w:t>5.全彩触屏。</w:t>
      </w:r>
    </w:p>
    <w:p w14:paraId="0A448ED0">
      <w:pPr>
        <w:ind w:firstLine="420" w:firstLineChars="200"/>
        <w:rPr>
          <w:kern w:val="0"/>
          <w:szCs w:val="21"/>
        </w:rPr>
      </w:pPr>
      <w:r>
        <w:rPr>
          <w:rFonts w:hint="eastAsia"/>
          <w:kern w:val="0"/>
          <w:szCs w:val="21"/>
        </w:rPr>
        <w:t>6.同声传译支持≥63+1通道，单元具有双通道收听功能。</w:t>
      </w:r>
    </w:p>
    <w:p w14:paraId="03276741">
      <w:pPr>
        <w:ind w:firstLine="420" w:firstLineChars="200"/>
        <w:rPr>
          <w:kern w:val="0"/>
          <w:szCs w:val="21"/>
        </w:rPr>
      </w:pPr>
      <w:r>
        <w:rPr>
          <w:rFonts w:hint="eastAsia"/>
          <w:kern w:val="0"/>
          <w:szCs w:val="21"/>
        </w:rPr>
        <w:t>7.支持软件控制，支持声控功能。</w:t>
      </w:r>
    </w:p>
    <w:p w14:paraId="19B0EA1A">
      <w:pPr>
        <w:ind w:firstLine="420" w:firstLineChars="200"/>
        <w:rPr>
          <w:kern w:val="0"/>
          <w:szCs w:val="21"/>
        </w:rPr>
      </w:pPr>
      <w:r>
        <w:rPr>
          <w:rFonts w:hint="eastAsia"/>
          <w:kern w:val="0"/>
          <w:szCs w:val="21"/>
        </w:rPr>
        <w:t>8.主席单元具备优先权限。</w:t>
      </w:r>
    </w:p>
    <w:p w14:paraId="3311B7D9">
      <w:pPr>
        <w:ind w:left="420" w:leftChars="200"/>
        <w:rPr>
          <w:kern w:val="0"/>
          <w:szCs w:val="21"/>
        </w:rPr>
      </w:pPr>
      <w:r>
        <w:rPr>
          <w:rFonts w:hint="eastAsia"/>
          <w:kern w:val="0"/>
          <w:szCs w:val="21"/>
        </w:rPr>
        <w:t>9.支持web管理功能，≥四种语言切换、调节话筒ID号、话筒灵敏度、话筒EQ参数。</w:t>
      </w:r>
    </w:p>
    <w:p w14:paraId="49C6C67D">
      <w:pPr>
        <w:ind w:left="420" w:leftChars="200"/>
        <w:rPr>
          <w:kern w:val="0"/>
          <w:szCs w:val="21"/>
        </w:rPr>
      </w:pPr>
      <w:r>
        <w:rPr>
          <w:rFonts w:hint="eastAsia"/>
          <w:kern w:val="0"/>
          <w:szCs w:val="21"/>
        </w:rPr>
        <w:t>提供功能界面截图佐证</w:t>
      </w:r>
    </w:p>
    <w:p w14:paraId="69B98E43">
      <w:pPr>
        <w:ind w:firstLine="420" w:firstLineChars="200"/>
        <w:rPr>
          <w:kern w:val="0"/>
          <w:szCs w:val="21"/>
        </w:rPr>
      </w:pPr>
      <w:r>
        <w:rPr>
          <w:rFonts w:hint="eastAsia"/>
          <w:kern w:val="0"/>
          <w:szCs w:val="21"/>
        </w:rPr>
        <w:t>1</w:t>
      </w:r>
      <w:r>
        <w:rPr>
          <w:kern w:val="0"/>
          <w:szCs w:val="21"/>
        </w:rPr>
        <w:t>0</w:t>
      </w:r>
      <w:r>
        <w:rPr>
          <w:rFonts w:hint="eastAsia"/>
          <w:kern w:val="0"/>
          <w:szCs w:val="21"/>
        </w:rPr>
        <w:t>.具有反馈抑制功能，灵敏度可调。</w:t>
      </w:r>
    </w:p>
    <w:p w14:paraId="0E938CEA">
      <w:pPr>
        <w:ind w:firstLine="420" w:firstLineChars="200"/>
        <w:rPr>
          <w:kern w:val="0"/>
          <w:szCs w:val="21"/>
        </w:rPr>
      </w:pPr>
      <w:r>
        <w:rPr>
          <w:rFonts w:hint="eastAsia"/>
          <w:kern w:val="0"/>
          <w:szCs w:val="21"/>
        </w:rPr>
        <w:t>1</w:t>
      </w:r>
      <w:r>
        <w:rPr>
          <w:kern w:val="0"/>
          <w:szCs w:val="21"/>
        </w:rPr>
        <w:t>1</w:t>
      </w:r>
      <w:r>
        <w:rPr>
          <w:rFonts w:hint="eastAsia"/>
          <w:kern w:val="0"/>
          <w:szCs w:val="21"/>
        </w:rPr>
        <w:t>.≥5 段 EQ 调节功能。</w:t>
      </w:r>
    </w:p>
    <w:p w14:paraId="4D91A80D">
      <w:pPr>
        <w:ind w:firstLine="420" w:firstLineChars="200"/>
        <w:rPr>
          <w:kern w:val="0"/>
          <w:szCs w:val="21"/>
        </w:rPr>
      </w:pPr>
      <w:r>
        <w:rPr>
          <w:rFonts w:hint="eastAsia"/>
          <w:kern w:val="0"/>
          <w:szCs w:val="21"/>
        </w:rPr>
        <w:t>1</w:t>
      </w:r>
      <w:r>
        <w:rPr>
          <w:kern w:val="0"/>
          <w:szCs w:val="21"/>
        </w:rPr>
        <w:t>2</w:t>
      </w:r>
      <w:r>
        <w:rPr>
          <w:rFonts w:hint="eastAsia"/>
          <w:kern w:val="0"/>
          <w:szCs w:val="21"/>
        </w:rPr>
        <w:t>.支持签到功能、表决功能。</w:t>
      </w:r>
    </w:p>
    <w:p w14:paraId="67E8D9A8">
      <w:pPr>
        <w:ind w:firstLine="420" w:firstLineChars="200"/>
        <w:rPr>
          <w:kern w:val="0"/>
          <w:szCs w:val="21"/>
        </w:rPr>
      </w:pPr>
      <w:r>
        <w:rPr>
          <w:rFonts w:hint="eastAsia"/>
          <w:kern w:val="0"/>
          <w:szCs w:val="21"/>
        </w:rPr>
        <w:t>1</w:t>
      </w:r>
      <w:r>
        <w:rPr>
          <w:kern w:val="0"/>
          <w:szCs w:val="21"/>
        </w:rPr>
        <w:t>3</w:t>
      </w:r>
      <w:r>
        <w:rPr>
          <w:rFonts w:hint="eastAsia"/>
          <w:kern w:val="0"/>
          <w:szCs w:val="21"/>
        </w:rPr>
        <w:t>.支持固件升级功能。（提供功能界面截图佐证）</w:t>
      </w:r>
    </w:p>
    <w:p w14:paraId="6AF2E130">
      <w:pPr>
        <w:ind w:firstLine="420" w:firstLineChars="200"/>
        <w:rPr>
          <w:kern w:val="0"/>
          <w:szCs w:val="21"/>
        </w:rPr>
      </w:pPr>
      <w:r>
        <w:rPr>
          <w:rFonts w:hint="eastAsia"/>
          <w:kern w:val="0"/>
          <w:szCs w:val="21"/>
        </w:rPr>
        <w:t>1</w:t>
      </w:r>
      <w:r>
        <w:rPr>
          <w:kern w:val="0"/>
          <w:szCs w:val="21"/>
        </w:rPr>
        <w:t>4</w:t>
      </w:r>
      <w:r>
        <w:rPr>
          <w:rFonts w:hint="eastAsia"/>
          <w:kern w:val="0"/>
          <w:szCs w:val="21"/>
        </w:rPr>
        <w:t>.单元支持IP地址嗅探功能，通过PC工具可以查找到未知单元的ID号、IP地址、MAC地址参数。</w:t>
      </w:r>
    </w:p>
    <w:p w14:paraId="02B5E281">
      <w:pPr>
        <w:ind w:firstLine="422" w:firstLineChars="200"/>
        <w:rPr>
          <w:b/>
          <w:kern w:val="0"/>
          <w:szCs w:val="21"/>
        </w:rPr>
      </w:pPr>
      <w:r>
        <w:rPr>
          <w:rFonts w:hint="eastAsia"/>
          <w:b/>
          <w:kern w:val="0"/>
          <w:szCs w:val="21"/>
        </w:rPr>
        <w:t>会议话筒2</w:t>
      </w:r>
    </w:p>
    <w:p w14:paraId="16BF3047">
      <w:pPr>
        <w:ind w:left="420" w:leftChars="200"/>
        <w:rPr>
          <w:kern w:val="0"/>
          <w:szCs w:val="21"/>
        </w:rPr>
      </w:pPr>
      <w:r>
        <w:rPr>
          <w:rFonts w:hint="eastAsia"/>
          <w:kern w:val="0"/>
          <w:szCs w:val="21"/>
        </w:rPr>
        <w:t>1.支持会议服务功能、支持同声传译、支持≥63+1通道，双通道收听功能。</w:t>
      </w:r>
    </w:p>
    <w:p w14:paraId="3FABDD3A">
      <w:pPr>
        <w:ind w:left="420" w:leftChars="200"/>
        <w:rPr>
          <w:kern w:val="0"/>
          <w:szCs w:val="21"/>
        </w:rPr>
      </w:pPr>
      <w:r>
        <w:rPr>
          <w:rFonts w:hint="eastAsia"/>
          <w:kern w:val="0"/>
          <w:szCs w:val="21"/>
        </w:rPr>
        <w:t>应提供由具备相应检测能力的机构出具的有效检测报告及能力证明</w:t>
      </w:r>
    </w:p>
    <w:p w14:paraId="3F52C4D9">
      <w:pPr>
        <w:ind w:firstLine="420" w:firstLineChars="200"/>
        <w:rPr>
          <w:kern w:val="0"/>
          <w:szCs w:val="21"/>
        </w:rPr>
      </w:pPr>
      <w:r>
        <w:rPr>
          <w:rFonts w:hint="eastAsia"/>
          <w:kern w:val="0"/>
          <w:szCs w:val="21"/>
        </w:rPr>
        <w:t>2.≥48K采样率。</w:t>
      </w:r>
    </w:p>
    <w:p w14:paraId="65569D4F">
      <w:pPr>
        <w:ind w:firstLine="420" w:firstLineChars="200"/>
        <w:rPr>
          <w:kern w:val="0"/>
          <w:szCs w:val="21"/>
        </w:rPr>
      </w:pPr>
      <w:r>
        <w:rPr>
          <w:rFonts w:hint="eastAsia"/>
          <w:kern w:val="0"/>
          <w:szCs w:val="21"/>
        </w:rPr>
        <w:t>3.≥100M网络传输手拉手。</w:t>
      </w:r>
    </w:p>
    <w:p w14:paraId="46DDCFCB">
      <w:pPr>
        <w:ind w:firstLine="420" w:firstLineChars="200"/>
        <w:rPr>
          <w:kern w:val="0"/>
          <w:szCs w:val="21"/>
        </w:rPr>
      </w:pPr>
      <w:r>
        <w:rPr>
          <w:rFonts w:hint="eastAsia"/>
          <w:kern w:val="0"/>
          <w:szCs w:val="21"/>
        </w:rPr>
        <w:t>4.标准TCP/IP协议支持ping包功能。</w:t>
      </w:r>
    </w:p>
    <w:p w14:paraId="46796E65">
      <w:pPr>
        <w:ind w:firstLine="420" w:firstLineChars="200"/>
        <w:rPr>
          <w:kern w:val="0"/>
          <w:szCs w:val="21"/>
        </w:rPr>
      </w:pPr>
      <w:r>
        <w:rPr>
          <w:rFonts w:hint="eastAsia"/>
          <w:kern w:val="0"/>
          <w:szCs w:val="21"/>
        </w:rPr>
        <w:t>5.采用全彩触屏。</w:t>
      </w:r>
    </w:p>
    <w:p w14:paraId="3B8CF5C1">
      <w:pPr>
        <w:ind w:firstLine="420" w:firstLineChars="200"/>
        <w:rPr>
          <w:kern w:val="0"/>
          <w:szCs w:val="21"/>
        </w:rPr>
      </w:pPr>
      <w:r>
        <w:rPr>
          <w:rFonts w:hint="eastAsia"/>
          <w:kern w:val="0"/>
          <w:szCs w:val="21"/>
        </w:rPr>
        <w:t>6.同声传译≥63+1通道，单元具有双通道收听功能。</w:t>
      </w:r>
    </w:p>
    <w:p w14:paraId="29BCB785">
      <w:pPr>
        <w:ind w:left="420" w:leftChars="200"/>
        <w:rPr>
          <w:kern w:val="0"/>
          <w:szCs w:val="21"/>
        </w:rPr>
      </w:pPr>
      <w:r>
        <w:rPr>
          <w:rFonts w:hint="eastAsia"/>
          <w:kern w:val="0"/>
          <w:szCs w:val="21"/>
        </w:rPr>
        <w:t>▲7.具有web控制页面，支持调节话筒ID号、话筒灵敏度、≥5段EQ调节功能；支持固件升级。</w:t>
      </w:r>
    </w:p>
    <w:p w14:paraId="47D92AF4">
      <w:pPr>
        <w:ind w:left="420" w:leftChars="200"/>
        <w:rPr>
          <w:kern w:val="0"/>
          <w:szCs w:val="21"/>
        </w:rPr>
      </w:pPr>
      <w:r>
        <w:rPr>
          <w:rFonts w:hint="eastAsia"/>
          <w:kern w:val="0"/>
          <w:szCs w:val="21"/>
        </w:rPr>
        <w:t>提供由具备相应检测能力的机构出具的有效检测报告及能力证明</w:t>
      </w:r>
    </w:p>
    <w:p w14:paraId="7151B0F9">
      <w:pPr>
        <w:ind w:firstLine="420" w:firstLineChars="200"/>
        <w:rPr>
          <w:kern w:val="0"/>
          <w:szCs w:val="21"/>
        </w:rPr>
      </w:pPr>
      <w:r>
        <w:rPr>
          <w:kern w:val="0"/>
          <w:szCs w:val="21"/>
        </w:rPr>
        <w:t>8.</w:t>
      </w:r>
      <w:r>
        <w:rPr>
          <w:rFonts w:hint="eastAsia"/>
          <w:kern w:val="0"/>
          <w:szCs w:val="21"/>
        </w:rPr>
        <w:t>具有反馈抑制功能。</w:t>
      </w:r>
    </w:p>
    <w:p w14:paraId="65FF3498">
      <w:pPr>
        <w:ind w:firstLine="420" w:firstLineChars="200"/>
        <w:rPr>
          <w:kern w:val="0"/>
          <w:szCs w:val="21"/>
        </w:rPr>
      </w:pPr>
      <w:r>
        <w:rPr>
          <w:kern w:val="0"/>
          <w:szCs w:val="21"/>
        </w:rPr>
        <w:t>9</w:t>
      </w:r>
      <w:r>
        <w:rPr>
          <w:rFonts w:hint="eastAsia"/>
          <w:kern w:val="0"/>
          <w:szCs w:val="21"/>
        </w:rPr>
        <w:t>.单元在PC软件的主机配置页面，可设置是否显示时钟，选择否时，时钟将隐藏。</w:t>
      </w:r>
    </w:p>
    <w:p w14:paraId="0A919A0B">
      <w:pPr>
        <w:ind w:firstLine="420" w:firstLineChars="200"/>
        <w:rPr>
          <w:kern w:val="0"/>
          <w:szCs w:val="21"/>
        </w:rPr>
      </w:pPr>
      <w:r>
        <w:rPr>
          <w:rFonts w:hint="eastAsia"/>
          <w:kern w:val="0"/>
          <w:szCs w:val="21"/>
        </w:rPr>
        <w:t>▲1</w:t>
      </w:r>
      <w:r>
        <w:rPr>
          <w:kern w:val="0"/>
          <w:szCs w:val="21"/>
        </w:rPr>
        <w:t>0</w:t>
      </w:r>
      <w:r>
        <w:rPr>
          <w:rFonts w:hint="eastAsia"/>
          <w:kern w:val="0"/>
          <w:szCs w:val="21"/>
        </w:rPr>
        <w:t>.支持IP地址嗅探功能。</w:t>
      </w:r>
    </w:p>
    <w:p w14:paraId="35CD45AB">
      <w:pPr>
        <w:ind w:firstLine="420" w:firstLineChars="200"/>
        <w:rPr>
          <w:rFonts w:hint="eastAsia"/>
          <w:kern w:val="0"/>
          <w:szCs w:val="21"/>
        </w:rPr>
      </w:pPr>
      <w:r>
        <w:rPr>
          <w:rFonts w:hint="eastAsia"/>
          <w:kern w:val="0"/>
          <w:szCs w:val="21"/>
        </w:rPr>
        <w:t>1</w:t>
      </w:r>
      <w:r>
        <w:rPr>
          <w:kern w:val="0"/>
          <w:szCs w:val="21"/>
        </w:rPr>
        <w:t>1</w:t>
      </w:r>
      <w:r>
        <w:rPr>
          <w:rFonts w:hint="eastAsia"/>
          <w:kern w:val="0"/>
          <w:szCs w:val="21"/>
        </w:rPr>
        <w:t>.咪杆尺寸≤240mm</w:t>
      </w:r>
    </w:p>
    <w:p w14:paraId="1EF68844">
      <w:pPr>
        <w:ind w:firstLine="420" w:firstLineChars="200"/>
        <w:rPr>
          <w:color w:val="FF0000"/>
          <w:kern w:val="0"/>
          <w:szCs w:val="21"/>
        </w:rPr>
      </w:pPr>
    </w:p>
    <w:p w14:paraId="72D655B1">
      <w:pPr>
        <w:ind w:firstLine="422" w:firstLineChars="200"/>
        <w:rPr>
          <w:b/>
          <w:bCs/>
          <w:kern w:val="0"/>
          <w:szCs w:val="21"/>
        </w:rPr>
      </w:pPr>
      <w:r>
        <w:rPr>
          <w:rFonts w:hint="eastAsia"/>
          <w:b/>
          <w:bCs/>
          <w:kern w:val="0"/>
          <w:szCs w:val="21"/>
        </w:rPr>
        <w:t>1</w:t>
      </w:r>
      <w:r>
        <w:rPr>
          <w:b/>
          <w:bCs/>
          <w:kern w:val="0"/>
          <w:szCs w:val="21"/>
        </w:rPr>
        <w:t>1</w:t>
      </w:r>
      <w:r>
        <w:rPr>
          <w:rFonts w:hint="eastAsia"/>
          <w:b/>
          <w:bCs/>
          <w:kern w:val="0"/>
          <w:szCs w:val="21"/>
        </w:rPr>
        <w:t>、网络中控主机</w:t>
      </w:r>
    </w:p>
    <w:p w14:paraId="23A261F6">
      <w:pPr>
        <w:ind w:left="420" w:leftChars="200"/>
        <w:rPr>
          <w:kern w:val="0"/>
          <w:szCs w:val="21"/>
        </w:rPr>
      </w:pPr>
      <w:r>
        <w:rPr>
          <w:rFonts w:asciiTheme="minorEastAsia" w:hAnsiTheme="minorEastAsia"/>
        </w:rPr>
        <w:t>★</w:t>
      </w:r>
      <w:r>
        <w:rPr>
          <w:rFonts w:hint="eastAsia"/>
          <w:kern w:val="0"/>
          <w:szCs w:val="21"/>
        </w:rPr>
        <w:t>1.支持红外、RS-232、RS-422、RS-485、UDP、TCP、telnet、http、MQTT以及SNMP等多种协议，可对接第三方设备。</w:t>
      </w:r>
    </w:p>
    <w:p w14:paraId="2794DB2F">
      <w:pPr>
        <w:ind w:left="420" w:leftChars="200"/>
        <w:rPr>
          <w:kern w:val="0"/>
          <w:szCs w:val="21"/>
        </w:rPr>
      </w:pPr>
      <w:r>
        <w:rPr>
          <w:rFonts w:hint="eastAsia"/>
          <w:kern w:val="0"/>
          <w:szCs w:val="21"/>
        </w:rPr>
        <w:t>2.≥4.3英寸触摸彩屏、≥8路独立可编程串口、≥8路独立可编程IR红外发射口、≥8路数字I/0控制口、≥8路弱电继电器控制接口、≥1个NET网络控制接口、≥1路TF接口。</w:t>
      </w:r>
    </w:p>
    <w:p w14:paraId="14A95220">
      <w:pPr>
        <w:ind w:left="420" w:leftChars="200"/>
        <w:rPr>
          <w:kern w:val="0"/>
          <w:szCs w:val="21"/>
        </w:rPr>
      </w:pPr>
      <w:r>
        <w:rPr>
          <w:rFonts w:hint="eastAsia"/>
          <w:kern w:val="0"/>
          <w:szCs w:val="21"/>
        </w:rPr>
        <w:t>3.支持双机热备份。</w:t>
      </w:r>
    </w:p>
    <w:p w14:paraId="3EC04402">
      <w:pPr>
        <w:ind w:left="420" w:leftChars="200"/>
        <w:rPr>
          <w:kern w:val="0"/>
          <w:szCs w:val="21"/>
        </w:rPr>
      </w:pPr>
      <w:r>
        <w:rPr>
          <w:rFonts w:hint="eastAsia"/>
          <w:kern w:val="0"/>
          <w:szCs w:val="21"/>
        </w:rPr>
        <w:t>4.支持互联网控制。</w:t>
      </w:r>
    </w:p>
    <w:p w14:paraId="70FDC4E9">
      <w:pPr>
        <w:ind w:left="420" w:leftChars="200"/>
        <w:rPr>
          <w:kern w:val="0"/>
          <w:szCs w:val="21"/>
        </w:rPr>
      </w:pPr>
      <w:r>
        <w:rPr>
          <w:rFonts w:hint="eastAsia"/>
          <w:kern w:val="0"/>
          <w:szCs w:val="21"/>
        </w:rPr>
        <w:t>5.支持扫二维码控制，密码权限设置。</w:t>
      </w:r>
    </w:p>
    <w:p w14:paraId="527803B9">
      <w:pPr>
        <w:ind w:left="420" w:leftChars="200"/>
        <w:rPr>
          <w:kern w:val="0"/>
          <w:szCs w:val="21"/>
        </w:rPr>
      </w:pPr>
      <w:r>
        <w:rPr>
          <w:rFonts w:hint="eastAsia"/>
          <w:kern w:val="0"/>
          <w:szCs w:val="21"/>
        </w:rPr>
        <w:t>6.支持视频矩阵可视化控制，支持拼接矩阵可视化控制，支持设置触碰和投放触发切换方式。</w:t>
      </w:r>
    </w:p>
    <w:p w14:paraId="6133AB65">
      <w:pPr>
        <w:ind w:left="420" w:leftChars="200"/>
        <w:rPr>
          <w:kern w:val="0"/>
          <w:szCs w:val="21"/>
        </w:rPr>
      </w:pPr>
      <w:r>
        <w:rPr>
          <w:rFonts w:hint="eastAsia"/>
          <w:kern w:val="0"/>
          <w:szCs w:val="21"/>
        </w:rPr>
        <w:t>▲</w:t>
      </w:r>
      <w:r>
        <w:rPr>
          <w:kern w:val="0"/>
          <w:szCs w:val="21"/>
        </w:rPr>
        <w:t>7</w:t>
      </w:r>
      <w:r>
        <w:rPr>
          <w:rFonts w:hint="eastAsia"/>
          <w:kern w:val="0"/>
          <w:szCs w:val="21"/>
        </w:rPr>
        <w:t>.≥2种远程桌面方式，支持多用户远程协同控制。</w:t>
      </w:r>
    </w:p>
    <w:p w14:paraId="16431DB5">
      <w:pPr>
        <w:ind w:left="420" w:leftChars="200"/>
        <w:rPr>
          <w:kern w:val="0"/>
          <w:szCs w:val="21"/>
        </w:rPr>
      </w:pPr>
      <w:r>
        <w:rPr>
          <w:rFonts w:hint="eastAsia"/>
          <w:kern w:val="0"/>
          <w:szCs w:val="21"/>
        </w:rPr>
        <w:t>▲</w:t>
      </w:r>
      <w:r>
        <w:rPr>
          <w:kern w:val="0"/>
          <w:szCs w:val="21"/>
        </w:rPr>
        <w:t>8</w:t>
      </w:r>
      <w:r>
        <w:rPr>
          <w:rFonts w:hint="eastAsia"/>
          <w:kern w:val="0"/>
          <w:szCs w:val="21"/>
        </w:rPr>
        <w:t>.对接云会务系统。</w:t>
      </w:r>
    </w:p>
    <w:p w14:paraId="27D75E54">
      <w:pPr>
        <w:ind w:left="420" w:leftChars="200"/>
        <w:rPr>
          <w:kern w:val="0"/>
          <w:szCs w:val="21"/>
        </w:rPr>
      </w:pPr>
      <w:r>
        <w:rPr>
          <w:rFonts w:hint="eastAsia"/>
          <w:kern w:val="0"/>
          <w:szCs w:val="21"/>
        </w:rPr>
        <w:t>▲</w:t>
      </w:r>
      <w:r>
        <w:rPr>
          <w:kern w:val="0"/>
          <w:szCs w:val="21"/>
        </w:rPr>
        <w:t>9</w:t>
      </w:r>
      <w:r>
        <w:rPr>
          <w:rFonts w:hint="eastAsia"/>
          <w:kern w:val="0"/>
          <w:szCs w:val="21"/>
        </w:rPr>
        <w:t>.≥2种编程方式。</w:t>
      </w:r>
    </w:p>
    <w:p w14:paraId="0C4A917D">
      <w:pPr>
        <w:ind w:firstLine="420" w:firstLineChars="200"/>
        <w:rPr>
          <w:color w:val="FF0000"/>
          <w:kern w:val="0"/>
          <w:szCs w:val="21"/>
        </w:rPr>
      </w:pPr>
    </w:p>
    <w:p w14:paraId="23BC1B23">
      <w:pPr>
        <w:ind w:firstLine="422" w:firstLineChars="200"/>
        <w:rPr>
          <w:b/>
          <w:bCs/>
          <w:kern w:val="0"/>
          <w:szCs w:val="21"/>
        </w:rPr>
      </w:pPr>
      <w:r>
        <w:rPr>
          <w:rFonts w:hint="eastAsia"/>
          <w:b/>
          <w:bCs/>
          <w:kern w:val="0"/>
          <w:szCs w:val="21"/>
        </w:rPr>
        <w:t>1</w:t>
      </w:r>
      <w:r>
        <w:rPr>
          <w:b/>
          <w:bCs/>
          <w:kern w:val="0"/>
          <w:szCs w:val="21"/>
        </w:rPr>
        <w:t>2</w:t>
      </w:r>
      <w:r>
        <w:rPr>
          <w:rFonts w:hint="eastAsia"/>
          <w:b/>
          <w:bCs/>
          <w:kern w:val="0"/>
          <w:szCs w:val="21"/>
        </w:rPr>
        <w:t>、控制器</w:t>
      </w:r>
    </w:p>
    <w:p w14:paraId="0269E66F">
      <w:pPr>
        <w:ind w:left="420" w:leftChars="200"/>
        <w:rPr>
          <w:kern w:val="0"/>
          <w:szCs w:val="21"/>
        </w:rPr>
      </w:pPr>
      <w:r>
        <w:rPr>
          <w:rFonts w:hint="eastAsia"/>
          <w:kern w:val="0"/>
          <w:szCs w:val="21"/>
        </w:rPr>
        <w:t>1.≥8路电源控制器，≥8个20A继电器，负载≥4400W/单路。</w:t>
      </w:r>
    </w:p>
    <w:p w14:paraId="33B9E633">
      <w:pPr>
        <w:ind w:firstLine="420" w:firstLineChars="200"/>
        <w:rPr>
          <w:kern w:val="0"/>
          <w:szCs w:val="21"/>
        </w:rPr>
      </w:pPr>
      <w:r>
        <w:rPr>
          <w:rFonts w:hint="eastAsia"/>
          <w:kern w:val="0"/>
          <w:szCs w:val="21"/>
        </w:rPr>
        <w:t>2.具有常开与常闭功能。</w:t>
      </w:r>
    </w:p>
    <w:p w14:paraId="7DC0FD01">
      <w:pPr>
        <w:ind w:firstLine="420" w:firstLineChars="200"/>
        <w:rPr>
          <w:kern w:val="0"/>
          <w:szCs w:val="21"/>
        </w:rPr>
      </w:pPr>
      <w:r>
        <w:rPr>
          <w:rFonts w:hint="eastAsia"/>
          <w:kern w:val="0"/>
          <w:szCs w:val="21"/>
        </w:rPr>
        <w:t>3.具有复位，支持恢复到出厂设置。1路网络接口，支持远程控制。</w:t>
      </w:r>
    </w:p>
    <w:p w14:paraId="6FB71555">
      <w:pPr>
        <w:ind w:firstLine="420" w:firstLineChars="200"/>
        <w:rPr>
          <w:kern w:val="0"/>
          <w:szCs w:val="21"/>
        </w:rPr>
      </w:pPr>
      <w:r>
        <w:rPr>
          <w:rFonts w:hint="eastAsia"/>
          <w:kern w:val="0"/>
          <w:szCs w:val="21"/>
        </w:rPr>
        <w:t>4.≥8个继电器的开关状态指示灯。</w:t>
      </w:r>
    </w:p>
    <w:p w14:paraId="5DBA5563">
      <w:pPr>
        <w:ind w:firstLine="420" w:firstLineChars="200"/>
        <w:rPr>
          <w:kern w:val="0"/>
          <w:szCs w:val="21"/>
        </w:rPr>
      </w:pPr>
      <w:r>
        <w:rPr>
          <w:kern w:val="0"/>
          <w:szCs w:val="21"/>
        </w:rPr>
        <w:t>5</w:t>
      </w:r>
      <w:r>
        <w:rPr>
          <w:rFonts w:hint="eastAsia"/>
          <w:kern w:val="0"/>
          <w:szCs w:val="21"/>
        </w:rPr>
        <w:t>.具备ID识别</w:t>
      </w:r>
    </w:p>
    <w:p w14:paraId="506AAC60">
      <w:pPr>
        <w:rPr>
          <w:kern w:val="0"/>
          <w:szCs w:val="21"/>
        </w:rPr>
      </w:pPr>
    </w:p>
    <w:p w14:paraId="2763D0EB">
      <w:pPr>
        <w:ind w:firstLine="422" w:firstLineChars="200"/>
        <w:rPr>
          <w:b/>
          <w:kern w:val="0"/>
          <w:szCs w:val="21"/>
        </w:rPr>
      </w:pPr>
      <w:r>
        <w:rPr>
          <w:rFonts w:hint="eastAsia"/>
          <w:b/>
          <w:kern w:val="0"/>
          <w:szCs w:val="21"/>
        </w:rPr>
        <w:t>1</w:t>
      </w:r>
      <w:r>
        <w:rPr>
          <w:b/>
          <w:kern w:val="0"/>
          <w:szCs w:val="21"/>
        </w:rPr>
        <w:t>3、摄像机</w:t>
      </w:r>
    </w:p>
    <w:p w14:paraId="3B528C61">
      <w:pPr>
        <w:ind w:left="420" w:leftChars="200"/>
        <w:rPr>
          <w:bCs/>
          <w:kern w:val="0"/>
          <w:szCs w:val="21"/>
        </w:rPr>
      </w:pPr>
      <w:r>
        <w:rPr>
          <w:rFonts w:hint="eastAsia"/>
          <w:bCs/>
          <w:kern w:val="0"/>
          <w:szCs w:val="21"/>
        </w:rPr>
        <w:t>1.C</w:t>
      </w:r>
      <w:r>
        <w:rPr>
          <w:bCs/>
          <w:kern w:val="0"/>
          <w:szCs w:val="21"/>
        </w:rPr>
        <w:t>MOS≥</w:t>
      </w:r>
      <w:r>
        <w:rPr>
          <w:rFonts w:hint="eastAsia"/>
          <w:bCs/>
          <w:kern w:val="0"/>
          <w:szCs w:val="21"/>
        </w:rPr>
        <w:t xml:space="preserve"> 1/2.5英寸、≥8</w:t>
      </w:r>
      <w:r>
        <w:rPr>
          <w:bCs/>
          <w:kern w:val="0"/>
          <w:szCs w:val="21"/>
        </w:rPr>
        <w:t>00</w:t>
      </w:r>
      <w:r>
        <w:rPr>
          <w:rFonts w:hint="eastAsia"/>
          <w:bCs/>
          <w:kern w:val="0"/>
          <w:szCs w:val="21"/>
        </w:rPr>
        <w:t>万像素，分辨率≥4K (3840x2160)。向下兼容1080P、720P。</w:t>
      </w:r>
    </w:p>
    <w:p w14:paraId="68E04A3D">
      <w:pPr>
        <w:ind w:firstLine="420" w:firstLineChars="200"/>
        <w:rPr>
          <w:bCs/>
          <w:kern w:val="0"/>
          <w:szCs w:val="21"/>
        </w:rPr>
      </w:pPr>
      <w:r>
        <w:rPr>
          <w:rFonts w:hint="eastAsia"/>
          <w:bCs/>
          <w:kern w:val="0"/>
          <w:szCs w:val="21"/>
        </w:rPr>
        <w:t>2.≥800万超高解析度的4K超广角镜头，≥12倍光学变焦，水平视场角≥7</w:t>
      </w:r>
      <w:r>
        <w:rPr>
          <w:bCs/>
          <w:kern w:val="0"/>
          <w:szCs w:val="21"/>
        </w:rPr>
        <w:t>0</w:t>
      </w:r>
      <w:r>
        <w:rPr>
          <w:rFonts w:hint="eastAsia"/>
          <w:bCs/>
          <w:kern w:val="0"/>
          <w:szCs w:val="21"/>
        </w:rPr>
        <w:t>°。</w:t>
      </w:r>
    </w:p>
    <w:p w14:paraId="7F8D00AA">
      <w:pPr>
        <w:ind w:firstLine="420" w:firstLineChars="200"/>
        <w:rPr>
          <w:bCs/>
          <w:kern w:val="0"/>
          <w:szCs w:val="21"/>
        </w:rPr>
      </w:pPr>
      <w:r>
        <w:rPr>
          <w:rFonts w:hint="eastAsia"/>
          <w:bCs/>
          <w:kern w:val="0"/>
          <w:szCs w:val="21"/>
        </w:rPr>
        <w:t>3.支持HDMI 1.4b，直接输出4K无压缩数字视频。</w:t>
      </w:r>
    </w:p>
    <w:p w14:paraId="5F5F7949">
      <w:pPr>
        <w:ind w:firstLine="420" w:firstLineChars="200"/>
        <w:rPr>
          <w:bCs/>
          <w:kern w:val="0"/>
          <w:szCs w:val="21"/>
        </w:rPr>
      </w:pPr>
      <w:r>
        <w:rPr>
          <w:rFonts w:hint="eastAsia"/>
          <w:bCs/>
          <w:kern w:val="0"/>
          <w:szCs w:val="21"/>
        </w:rPr>
        <w:t>4.低功耗休眠/唤醒。</w:t>
      </w:r>
    </w:p>
    <w:p w14:paraId="6CBCC55A">
      <w:pPr>
        <w:ind w:left="420" w:leftChars="200"/>
        <w:rPr>
          <w:bCs/>
          <w:kern w:val="0"/>
          <w:szCs w:val="21"/>
        </w:rPr>
      </w:pPr>
      <w:r>
        <w:rPr>
          <w:bCs/>
          <w:kern w:val="0"/>
          <w:szCs w:val="21"/>
        </w:rPr>
        <w:t>5</w:t>
      </w:r>
      <w:r>
        <w:rPr>
          <w:rFonts w:hint="eastAsia"/>
          <w:bCs/>
          <w:kern w:val="0"/>
          <w:szCs w:val="21"/>
        </w:rPr>
        <w:t>.支持HDMI1.4b高清输出，支持3G-SDI，有效传输距离≥150米,支持USB视频输出。</w:t>
      </w:r>
    </w:p>
    <w:p w14:paraId="20EBF3C0">
      <w:pPr>
        <w:ind w:left="420" w:leftChars="200"/>
        <w:rPr>
          <w:bCs/>
          <w:kern w:val="0"/>
          <w:szCs w:val="21"/>
        </w:rPr>
      </w:pPr>
      <w:r>
        <w:rPr>
          <w:rFonts w:hint="eastAsia"/>
          <w:bCs/>
          <w:kern w:val="0"/>
          <w:szCs w:val="21"/>
        </w:rPr>
        <w:t>HDMI、LAN、USB或3G-SDI、LAN、USB可同时输出3路高清数字信号。</w:t>
      </w:r>
    </w:p>
    <w:p w14:paraId="16F2CF84">
      <w:pPr>
        <w:ind w:firstLine="420" w:firstLineChars="200"/>
        <w:rPr>
          <w:bCs/>
          <w:kern w:val="0"/>
          <w:szCs w:val="21"/>
        </w:rPr>
      </w:pPr>
      <w:r>
        <w:rPr>
          <w:bCs/>
          <w:kern w:val="0"/>
          <w:szCs w:val="21"/>
        </w:rPr>
        <w:t>6</w:t>
      </w:r>
      <w:r>
        <w:rPr>
          <w:rFonts w:hint="eastAsia"/>
          <w:bCs/>
          <w:kern w:val="0"/>
          <w:szCs w:val="21"/>
        </w:rPr>
        <w:t>.多RS232、网络以及USB控制。</w:t>
      </w:r>
    </w:p>
    <w:p w14:paraId="7C0FA85B">
      <w:pPr>
        <w:ind w:firstLine="420" w:firstLineChars="200"/>
        <w:rPr>
          <w:bCs/>
          <w:kern w:val="0"/>
          <w:szCs w:val="21"/>
        </w:rPr>
      </w:pPr>
      <w:r>
        <w:rPr>
          <w:rFonts w:hint="eastAsia"/>
          <w:bCs/>
          <w:kern w:val="0"/>
          <w:szCs w:val="21"/>
        </w:rPr>
        <w:t>▲</w:t>
      </w:r>
      <w:r>
        <w:rPr>
          <w:bCs/>
          <w:kern w:val="0"/>
          <w:szCs w:val="21"/>
        </w:rPr>
        <w:t>7</w:t>
      </w:r>
      <w:r>
        <w:rPr>
          <w:rFonts w:hint="eastAsia"/>
          <w:bCs/>
          <w:kern w:val="0"/>
          <w:szCs w:val="21"/>
        </w:rPr>
        <w:t>.支持图像自动翻转功能。支持预设位编辑及二次开发。</w:t>
      </w:r>
    </w:p>
    <w:p w14:paraId="7FBAAE1B">
      <w:pPr>
        <w:ind w:firstLine="420" w:firstLineChars="200"/>
        <w:rPr>
          <w:bCs/>
          <w:kern w:val="0"/>
          <w:szCs w:val="21"/>
        </w:rPr>
      </w:pPr>
    </w:p>
    <w:p w14:paraId="37B6362C">
      <w:pPr>
        <w:ind w:firstLine="422" w:firstLineChars="200"/>
        <w:rPr>
          <w:b/>
          <w:bCs/>
          <w:kern w:val="0"/>
          <w:szCs w:val="21"/>
        </w:rPr>
      </w:pPr>
      <w:r>
        <w:rPr>
          <w:rFonts w:hint="eastAsia"/>
          <w:b/>
          <w:bCs/>
          <w:kern w:val="0"/>
          <w:szCs w:val="21"/>
        </w:rPr>
        <w:t>1</w:t>
      </w:r>
      <w:r>
        <w:rPr>
          <w:b/>
          <w:bCs/>
          <w:kern w:val="0"/>
          <w:szCs w:val="21"/>
        </w:rPr>
        <w:t>4、视频矩阵</w:t>
      </w:r>
    </w:p>
    <w:p w14:paraId="64491345">
      <w:pPr>
        <w:ind w:firstLine="420" w:firstLineChars="200"/>
        <w:rPr>
          <w:bCs/>
          <w:kern w:val="0"/>
          <w:szCs w:val="21"/>
        </w:rPr>
      </w:pPr>
      <w:r>
        <w:rPr>
          <w:rFonts w:hint="eastAsia"/>
          <w:bCs/>
          <w:kern w:val="0"/>
          <w:szCs w:val="21"/>
        </w:rPr>
        <w:t>1.≥4个HDMI输入、≥4个HDMI输出，≥4个3.5mm音频输入、≥4个3.5mm输出。</w:t>
      </w:r>
    </w:p>
    <w:p w14:paraId="62751D60">
      <w:pPr>
        <w:ind w:firstLine="420" w:firstLineChars="200"/>
        <w:rPr>
          <w:bCs/>
          <w:kern w:val="0"/>
          <w:szCs w:val="21"/>
        </w:rPr>
      </w:pPr>
      <w:r>
        <w:rPr>
          <w:rFonts w:hint="eastAsia"/>
          <w:bCs/>
          <w:kern w:val="0"/>
          <w:szCs w:val="21"/>
        </w:rPr>
        <w:t>2.音视频信号同步切换，模拟音频与HDMI内嵌音频可选择。</w:t>
      </w:r>
    </w:p>
    <w:p w14:paraId="41F4C783">
      <w:pPr>
        <w:ind w:firstLine="420" w:firstLineChars="200"/>
        <w:rPr>
          <w:bCs/>
          <w:kern w:val="0"/>
          <w:szCs w:val="21"/>
        </w:rPr>
      </w:pPr>
      <w:r>
        <w:rPr>
          <w:rFonts w:hint="eastAsia"/>
          <w:bCs/>
          <w:kern w:val="0"/>
          <w:szCs w:val="21"/>
        </w:rPr>
        <w:t>3.分辨率≥3840×2160P@60Hz。</w:t>
      </w:r>
    </w:p>
    <w:p w14:paraId="6696CC0C">
      <w:pPr>
        <w:ind w:firstLine="420" w:firstLineChars="200"/>
        <w:rPr>
          <w:bCs/>
          <w:kern w:val="0"/>
          <w:szCs w:val="21"/>
        </w:rPr>
      </w:pPr>
      <w:r>
        <w:rPr>
          <w:rFonts w:hint="eastAsia"/>
          <w:bCs/>
          <w:kern w:val="0"/>
          <w:szCs w:val="21"/>
        </w:rPr>
        <w:t>4.可设置多种拼接模式；支持视频无缝切换、无闪屏、黑屏。</w:t>
      </w:r>
    </w:p>
    <w:p w14:paraId="421ED1EF">
      <w:pPr>
        <w:ind w:firstLine="420" w:firstLineChars="200"/>
        <w:rPr>
          <w:bCs/>
          <w:kern w:val="0"/>
          <w:szCs w:val="21"/>
        </w:rPr>
      </w:pPr>
      <w:r>
        <w:rPr>
          <w:rFonts w:hint="eastAsia"/>
          <w:bCs/>
          <w:kern w:val="0"/>
          <w:szCs w:val="21"/>
        </w:rPr>
        <w:t>5.接口：≥1×RS-232、≥1×RS-485、≥1×红外传感接收器、≥1×网口、≥1×UPDATE。</w:t>
      </w:r>
    </w:p>
    <w:p w14:paraId="3368950B">
      <w:pPr>
        <w:ind w:firstLine="420" w:firstLineChars="200"/>
        <w:rPr>
          <w:bCs/>
          <w:kern w:val="0"/>
          <w:szCs w:val="21"/>
        </w:rPr>
      </w:pPr>
      <w:r>
        <w:rPr>
          <w:rFonts w:hint="eastAsia"/>
          <w:bCs/>
          <w:kern w:val="0"/>
          <w:szCs w:val="21"/>
        </w:rPr>
        <w:t>6.按键：≥4×输入、≥4×输出、≥6×功能。</w:t>
      </w:r>
    </w:p>
    <w:p w14:paraId="4E2A8AF5">
      <w:pPr>
        <w:ind w:firstLine="420" w:firstLineChars="200"/>
        <w:rPr>
          <w:bCs/>
          <w:kern w:val="0"/>
          <w:szCs w:val="21"/>
        </w:rPr>
      </w:pPr>
      <w:r>
        <w:rPr>
          <w:rFonts w:hint="eastAsia"/>
          <w:bCs/>
          <w:kern w:val="0"/>
          <w:szCs w:val="21"/>
        </w:rPr>
        <w:t>▲7.支持定制管理。</w:t>
      </w:r>
    </w:p>
    <w:p w14:paraId="5121A92D">
      <w:pPr>
        <w:ind w:firstLine="420" w:firstLineChars="200"/>
        <w:rPr>
          <w:bCs/>
          <w:kern w:val="0"/>
          <w:szCs w:val="21"/>
        </w:rPr>
      </w:pPr>
    </w:p>
    <w:p w14:paraId="13640AD4">
      <w:pPr>
        <w:ind w:firstLine="422" w:firstLineChars="200"/>
        <w:rPr>
          <w:b/>
          <w:bCs/>
          <w:kern w:val="0"/>
          <w:szCs w:val="21"/>
        </w:rPr>
      </w:pPr>
      <w:r>
        <w:rPr>
          <w:rFonts w:hint="eastAsia"/>
          <w:b/>
          <w:bCs/>
          <w:kern w:val="0"/>
          <w:szCs w:val="21"/>
        </w:rPr>
        <w:t>1</w:t>
      </w:r>
      <w:r>
        <w:rPr>
          <w:b/>
          <w:bCs/>
          <w:kern w:val="0"/>
          <w:szCs w:val="21"/>
        </w:rPr>
        <w:t>5、机柜</w:t>
      </w:r>
    </w:p>
    <w:p w14:paraId="00001494">
      <w:pPr>
        <w:ind w:firstLine="420" w:firstLineChars="200"/>
        <w:rPr>
          <w:bCs/>
          <w:kern w:val="0"/>
          <w:szCs w:val="21"/>
        </w:rPr>
      </w:pPr>
      <w:r>
        <w:rPr>
          <w:bCs/>
          <w:kern w:val="0"/>
          <w:szCs w:val="21"/>
        </w:rPr>
        <w:t>1</w:t>
      </w:r>
      <w:r>
        <w:rPr>
          <w:rFonts w:hint="eastAsia"/>
          <w:bCs/>
          <w:kern w:val="0"/>
          <w:szCs w:val="21"/>
        </w:rPr>
        <w:t>.容量:≥3</w:t>
      </w:r>
      <w:r>
        <w:rPr>
          <w:bCs/>
          <w:kern w:val="0"/>
          <w:szCs w:val="21"/>
        </w:rPr>
        <w:t>2</w:t>
      </w:r>
      <w:r>
        <w:rPr>
          <w:rFonts w:hint="eastAsia"/>
          <w:bCs/>
          <w:kern w:val="0"/>
          <w:szCs w:val="21"/>
        </w:rPr>
        <w:t>U</w:t>
      </w:r>
    </w:p>
    <w:p w14:paraId="1E220FAA">
      <w:pPr>
        <w:ind w:left="420" w:leftChars="200"/>
        <w:rPr>
          <w:bCs/>
          <w:kern w:val="0"/>
          <w:szCs w:val="21"/>
        </w:rPr>
      </w:pPr>
      <w:r>
        <w:rPr>
          <w:bCs/>
          <w:kern w:val="0"/>
          <w:szCs w:val="21"/>
        </w:rPr>
        <w:t>2</w:t>
      </w:r>
      <w:r>
        <w:rPr>
          <w:rFonts w:hint="eastAsia"/>
          <w:bCs/>
          <w:kern w:val="0"/>
          <w:szCs w:val="21"/>
        </w:rPr>
        <w:t>.配置:8位10A PDU插排一个</w:t>
      </w:r>
      <w:r>
        <w:rPr>
          <w:bCs/>
          <w:kern w:val="0"/>
          <w:szCs w:val="21"/>
        </w:rPr>
        <w:t>、</w:t>
      </w:r>
      <w:r>
        <w:rPr>
          <w:rFonts w:hint="eastAsia"/>
          <w:bCs/>
          <w:kern w:val="0"/>
          <w:szCs w:val="21"/>
        </w:rPr>
        <w:t>固定板3块</w:t>
      </w:r>
      <w:r>
        <w:rPr>
          <w:bCs/>
          <w:kern w:val="0"/>
          <w:szCs w:val="21"/>
        </w:rPr>
        <w:t>、</w:t>
      </w:r>
      <w:r>
        <w:rPr>
          <w:rFonts w:hint="eastAsia"/>
          <w:bCs/>
          <w:kern w:val="0"/>
          <w:szCs w:val="21"/>
        </w:rPr>
        <w:t>风扇部件2组</w:t>
      </w:r>
      <w:r>
        <w:rPr>
          <w:bCs/>
          <w:kern w:val="0"/>
          <w:szCs w:val="21"/>
        </w:rPr>
        <w:t>、</w:t>
      </w:r>
      <w:r>
        <w:rPr>
          <w:rFonts w:hint="eastAsia"/>
          <w:bCs/>
          <w:kern w:val="0"/>
          <w:szCs w:val="21"/>
        </w:rPr>
        <w:t>4只两寸重型脚轮</w:t>
      </w:r>
      <w:r>
        <w:rPr>
          <w:bCs/>
          <w:kern w:val="0"/>
          <w:szCs w:val="21"/>
        </w:rPr>
        <w:t>、</w:t>
      </w:r>
      <w:r>
        <w:rPr>
          <w:rFonts w:hint="eastAsia"/>
          <w:bCs/>
          <w:kern w:val="0"/>
          <w:szCs w:val="21"/>
        </w:rPr>
        <w:t>M6方螺母钉40套</w:t>
      </w:r>
      <w:r>
        <w:rPr>
          <w:bCs/>
          <w:kern w:val="0"/>
          <w:szCs w:val="21"/>
        </w:rPr>
        <w:t>、</w:t>
      </w:r>
      <w:r>
        <w:rPr>
          <w:rFonts w:hint="eastAsia"/>
          <w:bCs/>
          <w:kern w:val="0"/>
          <w:szCs w:val="21"/>
        </w:rPr>
        <w:t>内六角扳手一只。</w:t>
      </w:r>
    </w:p>
    <w:p w14:paraId="1BBFB272">
      <w:pPr>
        <w:ind w:firstLine="420" w:firstLineChars="200"/>
        <w:rPr>
          <w:bCs/>
          <w:kern w:val="0"/>
          <w:szCs w:val="21"/>
        </w:rPr>
      </w:pPr>
    </w:p>
    <w:p w14:paraId="242D7DD5">
      <w:pPr>
        <w:ind w:firstLine="422" w:firstLineChars="200"/>
        <w:rPr>
          <w:b/>
          <w:bCs/>
          <w:kern w:val="0"/>
          <w:szCs w:val="21"/>
        </w:rPr>
      </w:pPr>
      <w:r>
        <w:rPr>
          <w:rFonts w:hint="eastAsia"/>
          <w:b/>
          <w:bCs/>
          <w:kern w:val="0"/>
          <w:szCs w:val="21"/>
        </w:rPr>
        <w:t>1</w:t>
      </w:r>
      <w:r>
        <w:rPr>
          <w:b/>
          <w:bCs/>
          <w:kern w:val="0"/>
          <w:szCs w:val="21"/>
        </w:rPr>
        <w:t>6、数据线及其他辅材</w:t>
      </w:r>
    </w:p>
    <w:p w14:paraId="0041139F">
      <w:pPr>
        <w:ind w:firstLine="420" w:firstLineChars="200"/>
        <w:rPr>
          <w:bCs/>
          <w:kern w:val="0"/>
          <w:szCs w:val="21"/>
        </w:rPr>
      </w:pPr>
      <w:r>
        <w:rPr>
          <w:rFonts w:hint="eastAsia"/>
          <w:bCs/>
          <w:kern w:val="0"/>
          <w:szCs w:val="21"/>
        </w:rPr>
        <w:t>卡侬头（母）-卡侬头（公）、卡农头（母）-空、卡农头（公）-空、3.5（耳机插头）-双6.35话筒插头</w:t>
      </w:r>
    </w:p>
    <w:p w14:paraId="5B9A79ED">
      <w:pPr>
        <w:ind w:left="420" w:leftChars="200"/>
        <w:rPr>
          <w:bCs/>
          <w:kern w:val="0"/>
          <w:szCs w:val="21"/>
        </w:rPr>
      </w:pPr>
      <w:r>
        <w:rPr>
          <w:rFonts w:hint="eastAsia"/>
          <w:bCs/>
          <w:kern w:val="0"/>
          <w:szCs w:val="21"/>
        </w:rPr>
        <w:t>铝箔+编织网</w:t>
      </w:r>
      <w:r>
        <w:rPr>
          <w:bCs/>
          <w:kern w:val="0"/>
          <w:szCs w:val="21"/>
        </w:rPr>
        <w:t>、</w:t>
      </w:r>
      <w:r>
        <w:rPr>
          <w:rFonts w:hint="eastAsia"/>
          <w:bCs/>
          <w:kern w:val="0"/>
          <w:szCs w:val="21"/>
        </w:rPr>
        <w:t>外被：PVC</w:t>
      </w:r>
      <w:r>
        <w:rPr>
          <w:bCs/>
          <w:kern w:val="0"/>
          <w:szCs w:val="21"/>
        </w:rPr>
        <w:t>、</w:t>
      </w:r>
      <w:r>
        <w:rPr>
          <w:rFonts w:hint="eastAsia"/>
          <w:bCs/>
          <w:kern w:val="0"/>
          <w:szCs w:val="21"/>
        </w:rPr>
        <w:t>规格：3芯</w:t>
      </w:r>
      <w:r>
        <w:rPr>
          <w:bCs/>
          <w:kern w:val="0"/>
          <w:szCs w:val="21"/>
        </w:rPr>
        <w:t>、</w:t>
      </w:r>
      <w:r>
        <w:rPr>
          <w:rFonts w:hint="eastAsia"/>
          <w:bCs/>
          <w:kern w:val="0"/>
          <w:szCs w:val="21"/>
        </w:rPr>
        <w:t>精炼铜、分辨率:3840*2160，30Hz</w:t>
      </w:r>
      <w:r>
        <w:rPr>
          <w:bCs/>
          <w:kern w:val="0"/>
          <w:szCs w:val="21"/>
        </w:rPr>
        <w:t>、</w:t>
      </w:r>
      <w:r>
        <w:rPr>
          <w:rFonts w:hint="eastAsia"/>
          <w:bCs/>
          <w:kern w:val="0"/>
          <w:szCs w:val="21"/>
        </w:rPr>
        <w:t xml:space="preserve">铝箔+编织+地线 </w:t>
      </w:r>
      <w:r>
        <w:rPr>
          <w:bCs/>
          <w:kern w:val="0"/>
          <w:szCs w:val="21"/>
        </w:rPr>
        <w:t>、</w:t>
      </w:r>
      <w:r>
        <w:rPr>
          <w:rFonts w:hint="eastAsia"/>
          <w:bCs/>
          <w:kern w:val="0"/>
          <w:szCs w:val="21"/>
        </w:rPr>
        <w:t>HDMI 2.0版本</w:t>
      </w:r>
      <w:r>
        <w:rPr>
          <w:bCs/>
          <w:kern w:val="0"/>
          <w:szCs w:val="21"/>
        </w:rPr>
        <w:t>、</w:t>
      </w:r>
      <w:r>
        <w:rPr>
          <w:rFonts w:hint="eastAsia"/>
          <w:bCs/>
          <w:kern w:val="0"/>
          <w:szCs w:val="21"/>
        </w:rPr>
        <w:t>HDMI头大小：20*26*10.5mm，线径：≥8mm；管壁厚度≥2</w:t>
      </w:r>
      <w:r>
        <w:rPr>
          <w:bCs/>
          <w:kern w:val="0"/>
          <w:szCs w:val="21"/>
        </w:rPr>
        <w:t>.75mm ，据实计算。</w:t>
      </w:r>
    </w:p>
    <w:p w14:paraId="0340D199">
      <w:pPr>
        <w:rPr>
          <w:bCs/>
          <w:kern w:val="0"/>
          <w:szCs w:val="21"/>
        </w:rPr>
      </w:pPr>
    </w:p>
    <w:p w14:paraId="03D75DFF">
      <w:pPr>
        <w:rPr>
          <w:rFonts w:hint="eastAsia"/>
          <w:bCs/>
          <w:kern w:val="0"/>
          <w:szCs w:val="21"/>
        </w:rPr>
      </w:pPr>
    </w:p>
    <w:p w14:paraId="68B58211">
      <w:pPr>
        <w:ind w:firstLine="422" w:firstLineChars="200"/>
        <w:rPr>
          <w:b/>
          <w:bCs/>
          <w:kern w:val="0"/>
          <w:szCs w:val="21"/>
        </w:rPr>
      </w:pPr>
      <w:r>
        <w:rPr>
          <w:b/>
          <w:bCs/>
          <w:kern w:val="0"/>
          <w:szCs w:val="21"/>
        </w:rPr>
        <w:t>17、音频隔离器</w:t>
      </w:r>
    </w:p>
    <w:p w14:paraId="164BBBD2">
      <w:pPr>
        <w:ind w:firstLine="420" w:firstLineChars="200"/>
        <w:rPr>
          <w:bCs/>
          <w:kern w:val="0"/>
          <w:szCs w:val="21"/>
        </w:rPr>
      </w:pPr>
      <w:r>
        <w:rPr>
          <w:bCs/>
          <w:kern w:val="0"/>
          <w:szCs w:val="21"/>
        </w:rPr>
        <w:t>1</w:t>
      </w:r>
      <w:r>
        <w:rPr>
          <w:rFonts w:hint="eastAsia"/>
          <w:bCs/>
          <w:kern w:val="0"/>
          <w:szCs w:val="21"/>
        </w:rPr>
        <w:t>.无50Hz交流“嗡”声、无高频“嗞啦”干扰。</w:t>
      </w:r>
    </w:p>
    <w:p w14:paraId="72711225">
      <w:pPr>
        <w:ind w:firstLine="420" w:firstLineChars="200"/>
        <w:rPr>
          <w:bCs/>
          <w:kern w:val="0"/>
          <w:szCs w:val="21"/>
        </w:rPr>
      </w:pPr>
      <w:r>
        <w:rPr>
          <w:bCs/>
          <w:kern w:val="0"/>
          <w:szCs w:val="21"/>
        </w:rPr>
        <w:t>2</w:t>
      </w:r>
      <w:r>
        <w:rPr>
          <w:rFonts w:hint="eastAsia"/>
          <w:bCs/>
          <w:kern w:val="0"/>
          <w:szCs w:val="21"/>
        </w:rPr>
        <w:t>.即插即用，支持热插拨。</w:t>
      </w:r>
    </w:p>
    <w:p w14:paraId="76D211BF">
      <w:pPr>
        <w:ind w:firstLine="420" w:firstLineChars="200"/>
        <w:rPr>
          <w:bCs/>
          <w:kern w:val="0"/>
          <w:szCs w:val="21"/>
        </w:rPr>
      </w:pPr>
      <w:r>
        <w:rPr>
          <w:bCs/>
          <w:kern w:val="0"/>
          <w:szCs w:val="21"/>
        </w:rPr>
        <w:t>3</w:t>
      </w:r>
      <w:r>
        <w:rPr>
          <w:rFonts w:hint="eastAsia"/>
          <w:bCs/>
          <w:kern w:val="0"/>
          <w:szCs w:val="21"/>
        </w:rPr>
        <w:t>.最远传输距离450－600米。</w:t>
      </w:r>
    </w:p>
    <w:p w14:paraId="73FFB369">
      <w:pPr>
        <w:ind w:firstLine="420" w:firstLineChars="200"/>
        <w:rPr>
          <w:bCs/>
          <w:kern w:val="0"/>
          <w:szCs w:val="21"/>
        </w:rPr>
      </w:pPr>
      <w:r>
        <w:rPr>
          <w:bCs/>
          <w:kern w:val="0"/>
          <w:szCs w:val="21"/>
        </w:rPr>
        <w:t>4</w:t>
      </w:r>
      <w:r>
        <w:rPr>
          <w:rFonts w:hint="eastAsia"/>
          <w:bCs/>
          <w:kern w:val="0"/>
          <w:szCs w:val="21"/>
        </w:rPr>
        <w:t>.内置瞬态、浪涌抑制、抗静电保护电路。</w:t>
      </w:r>
    </w:p>
    <w:p w14:paraId="4097382E">
      <w:pPr>
        <w:ind w:firstLine="420" w:firstLineChars="200"/>
        <w:rPr>
          <w:bCs/>
          <w:kern w:val="0"/>
          <w:szCs w:val="21"/>
        </w:rPr>
      </w:pPr>
      <w:r>
        <w:rPr>
          <w:bCs/>
          <w:kern w:val="0"/>
          <w:szCs w:val="21"/>
        </w:rPr>
        <w:t>5</w:t>
      </w:r>
      <w:r>
        <w:rPr>
          <w:rFonts w:hint="eastAsia"/>
          <w:bCs/>
          <w:kern w:val="0"/>
          <w:szCs w:val="21"/>
        </w:rPr>
        <w:t>.≥2路XLR输入；≥2路XLR输出</w:t>
      </w:r>
    </w:p>
    <w:p w14:paraId="14E173C6">
      <w:pPr>
        <w:ind w:firstLine="420" w:firstLineChars="200"/>
        <w:rPr>
          <w:bCs/>
          <w:kern w:val="0"/>
          <w:szCs w:val="21"/>
        </w:rPr>
      </w:pPr>
    </w:p>
    <w:p w14:paraId="04532517">
      <w:pPr>
        <w:ind w:firstLine="480" w:firstLineChars="200"/>
        <w:rPr>
          <w:rFonts w:ascii="微软雅黑" w:hAnsi="微软雅黑" w:eastAsia="微软雅黑"/>
          <w:b/>
          <w:bCs/>
          <w:sz w:val="24"/>
          <w:szCs w:val="22"/>
        </w:rPr>
      </w:pPr>
      <w:r>
        <w:rPr>
          <w:rFonts w:hint="eastAsia" w:ascii="微软雅黑" w:hAnsi="微软雅黑" w:eastAsia="微软雅黑"/>
          <w:b/>
          <w:bCs/>
          <w:sz w:val="24"/>
          <w:szCs w:val="22"/>
        </w:rPr>
        <w:t>附件3——多媒体视频设备</w:t>
      </w:r>
    </w:p>
    <w:p w14:paraId="745D5690">
      <w:pPr>
        <w:ind w:firstLine="422" w:firstLineChars="200"/>
        <w:rPr>
          <w:rFonts w:hint="eastAsia"/>
          <w:b/>
          <w:szCs w:val="21"/>
        </w:rPr>
      </w:pPr>
      <w:r>
        <w:rPr>
          <w:b/>
          <w:szCs w:val="21"/>
        </w:rPr>
        <w:t>一、</w:t>
      </w:r>
      <w:r>
        <w:rPr>
          <w:rFonts w:hint="eastAsia"/>
          <w:b/>
          <w:bCs/>
          <w:szCs w:val="21"/>
        </w:rPr>
        <w:t>多媒体视频设备</w:t>
      </w:r>
      <w:r>
        <w:rPr>
          <w:b/>
          <w:szCs w:val="21"/>
        </w:rPr>
        <w:t>：</w:t>
      </w:r>
    </w:p>
    <w:p w14:paraId="3846995F">
      <w:pPr>
        <w:ind w:firstLine="422" w:firstLineChars="200"/>
        <w:rPr>
          <w:b/>
          <w:bCs/>
          <w:kern w:val="0"/>
          <w:szCs w:val="21"/>
        </w:rPr>
      </w:pPr>
      <w:r>
        <w:rPr>
          <w:rFonts w:hint="eastAsia"/>
          <w:b/>
          <w:bCs/>
          <w:kern w:val="0"/>
          <w:szCs w:val="21"/>
        </w:rPr>
        <w:t>具体参数</w:t>
      </w:r>
      <w:r>
        <w:rPr>
          <w:b/>
          <w:bCs/>
          <w:kern w:val="0"/>
          <w:szCs w:val="21"/>
        </w:rPr>
        <w:t>要求</w:t>
      </w:r>
    </w:p>
    <w:p w14:paraId="07769BB2">
      <w:pPr>
        <w:ind w:firstLine="422" w:firstLineChars="200"/>
        <w:rPr>
          <w:b/>
          <w:bCs/>
          <w:kern w:val="0"/>
          <w:szCs w:val="21"/>
        </w:rPr>
      </w:pPr>
      <w:r>
        <w:rPr>
          <w:b/>
          <w:bCs/>
          <w:kern w:val="0"/>
          <w:szCs w:val="21"/>
        </w:rPr>
        <w:t>1</w:t>
      </w:r>
      <w:r>
        <w:rPr>
          <w:rFonts w:hint="eastAsia"/>
          <w:b/>
          <w:bCs/>
          <w:kern w:val="0"/>
          <w:szCs w:val="21"/>
        </w:rPr>
        <w:t>、会议一体机</w:t>
      </w:r>
    </w:p>
    <w:p w14:paraId="6C3FA865">
      <w:pPr>
        <w:ind w:firstLine="420" w:firstLineChars="200"/>
        <w:rPr>
          <w:bCs/>
          <w:kern w:val="0"/>
          <w:szCs w:val="21"/>
        </w:rPr>
      </w:pPr>
      <w:r>
        <w:rPr>
          <w:rFonts w:hint="eastAsia"/>
          <w:bCs/>
          <w:kern w:val="0"/>
          <w:szCs w:val="21"/>
        </w:rPr>
        <w:t>1.尺寸≥ 135英寸，分辨率≥1920*1080，点间距≤1.</w:t>
      </w:r>
      <w:r>
        <w:rPr>
          <w:bCs/>
          <w:kern w:val="0"/>
          <w:szCs w:val="21"/>
        </w:rPr>
        <w:t>6</w:t>
      </w:r>
      <w:r>
        <w:rPr>
          <w:rFonts w:hint="eastAsia"/>
          <w:bCs/>
          <w:kern w:val="0"/>
          <w:szCs w:val="21"/>
        </w:rPr>
        <w:t>mm；</w:t>
      </w:r>
    </w:p>
    <w:p w14:paraId="612C1563">
      <w:pPr>
        <w:ind w:firstLine="420" w:firstLineChars="200"/>
        <w:rPr>
          <w:bCs/>
          <w:kern w:val="0"/>
          <w:szCs w:val="21"/>
        </w:rPr>
      </w:pPr>
      <w:r>
        <w:rPr>
          <w:rFonts w:hint="eastAsia"/>
          <w:bCs/>
          <w:kern w:val="0"/>
          <w:szCs w:val="21"/>
        </w:rPr>
        <w:t>▲2.亮度≥950cd/m²，支持调节或256级调整；</w:t>
      </w:r>
    </w:p>
    <w:p w14:paraId="733D69FA">
      <w:pPr>
        <w:ind w:firstLine="420" w:firstLineChars="200"/>
        <w:rPr>
          <w:bCs/>
          <w:kern w:val="0"/>
          <w:szCs w:val="21"/>
        </w:rPr>
      </w:pPr>
      <w:r>
        <w:rPr>
          <w:rFonts w:hint="eastAsia"/>
          <w:bCs/>
          <w:kern w:val="0"/>
          <w:szCs w:val="21"/>
        </w:rPr>
        <w:t>▲3. LED灯珠类型：top；</w:t>
      </w:r>
    </w:p>
    <w:p w14:paraId="1617950F">
      <w:pPr>
        <w:ind w:firstLine="420" w:firstLineChars="200"/>
        <w:rPr>
          <w:bCs/>
          <w:kern w:val="0"/>
          <w:szCs w:val="21"/>
        </w:rPr>
      </w:pPr>
      <w:r>
        <w:rPr>
          <w:rFonts w:hint="eastAsia"/>
          <w:bCs/>
          <w:kern w:val="0"/>
          <w:szCs w:val="21"/>
        </w:rPr>
        <w:t>▲4.接收卡、电源、转接板一体化组装，国产控制芯片；</w:t>
      </w:r>
    </w:p>
    <w:p w14:paraId="21BE1008">
      <w:pPr>
        <w:ind w:firstLine="420" w:firstLineChars="200"/>
        <w:rPr>
          <w:bCs/>
          <w:kern w:val="0"/>
          <w:szCs w:val="21"/>
        </w:rPr>
      </w:pPr>
      <w:r>
        <w:rPr>
          <w:rFonts w:hint="eastAsia"/>
          <w:bCs/>
          <w:kern w:val="0"/>
          <w:szCs w:val="21"/>
        </w:rPr>
        <w:t>▲5.前全维护、安装设计，灯板与三合一板采用硬连方式，支持热插拔；</w:t>
      </w:r>
    </w:p>
    <w:p w14:paraId="1379C37F">
      <w:pPr>
        <w:ind w:firstLine="400" w:firstLineChars="200"/>
        <w:rPr>
          <w:bCs/>
          <w:kern w:val="0"/>
          <w:szCs w:val="21"/>
        </w:rPr>
      </w:pPr>
      <w:r>
        <w:rPr>
          <w:rFonts w:hint="eastAsia" w:ascii="宋体" w:hAnsi="宋体" w:cs="宋体"/>
          <w:color w:val="000000"/>
          <w:sz w:val="20"/>
        </w:rPr>
        <w:t>★</w:t>
      </w:r>
      <w:r>
        <w:rPr>
          <w:rFonts w:hint="eastAsia"/>
          <w:bCs/>
          <w:kern w:val="0"/>
          <w:szCs w:val="21"/>
        </w:rPr>
        <w:t>6.内置WiFi6无线网卡，支持2.4G、5G频段；支持蓝牙Bluetooth 5.4，支持AP与STA模式；</w:t>
      </w:r>
    </w:p>
    <w:p w14:paraId="414DA8A4">
      <w:pPr>
        <w:ind w:firstLine="400" w:firstLineChars="200"/>
        <w:rPr>
          <w:bCs/>
          <w:kern w:val="0"/>
          <w:szCs w:val="21"/>
        </w:rPr>
      </w:pPr>
      <w:r>
        <w:rPr>
          <w:rFonts w:hint="eastAsia" w:ascii="宋体" w:hAnsi="宋体" w:cs="宋体"/>
          <w:color w:val="000000"/>
          <w:sz w:val="20"/>
        </w:rPr>
        <w:t>★</w:t>
      </w:r>
      <w:r>
        <w:rPr>
          <w:rFonts w:hint="eastAsia"/>
          <w:bCs/>
          <w:kern w:val="0"/>
          <w:szCs w:val="21"/>
        </w:rPr>
        <w:t>7.</w:t>
      </w:r>
      <w:r>
        <w:rPr>
          <w:rFonts w:hint="eastAsia" w:ascii="宋体" w:hAnsi="宋体" w:cs="宋体"/>
          <w:color w:val="000000"/>
          <w:sz w:val="20"/>
        </w:rPr>
        <w:t xml:space="preserve"> 系统≥Android 13.0，采用高性能国产4xA76+4xA55芯片</w:t>
      </w:r>
      <w:r>
        <w:rPr>
          <w:rFonts w:hint="eastAsia"/>
          <w:bCs/>
          <w:kern w:val="0"/>
          <w:szCs w:val="21"/>
        </w:rPr>
        <w:t>， CPU核心≥8， GPU≥4；</w:t>
      </w:r>
    </w:p>
    <w:p w14:paraId="5B4B7CAF">
      <w:pPr>
        <w:ind w:firstLine="420" w:firstLineChars="200"/>
        <w:rPr>
          <w:bCs/>
          <w:kern w:val="0"/>
          <w:szCs w:val="21"/>
        </w:rPr>
      </w:pPr>
      <w:r>
        <w:rPr>
          <w:rFonts w:hint="eastAsia"/>
          <w:bCs/>
          <w:kern w:val="0"/>
          <w:szCs w:val="21"/>
        </w:rPr>
        <w:t>8.支持7*24H连续正常工作，平均无故障运行时间≥100000小时；</w:t>
      </w:r>
    </w:p>
    <w:p w14:paraId="79FB2EFF">
      <w:pPr>
        <w:ind w:firstLine="400" w:firstLineChars="200"/>
        <w:rPr>
          <w:bCs/>
          <w:kern w:val="0"/>
          <w:szCs w:val="21"/>
        </w:rPr>
      </w:pPr>
      <w:r>
        <w:rPr>
          <w:rFonts w:hint="eastAsia" w:ascii="宋体" w:hAnsi="宋体" w:cs="宋体"/>
          <w:color w:val="000000"/>
          <w:sz w:val="20"/>
        </w:rPr>
        <w:t>★</w:t>
      </w:r>
      <w:r>
        <w:rPr>
          <w:rFonts w:hint="eastAsia"/>
          <w:bCs/>
          <w:kern w:val="0"/>
          <w:szCs w:val="21"/>
        </w:rPr>
        <w:t>9.</w:t>
      </w:r>
      <w:r>
        <w:rPr>
          <w:rFonts w:hint="eastAsia" w:ascii="宋体" w:hAnsi="宋体" w:cs="宋体"/>
          <w:color w:val="000000"/>
          <w:sz w:val="20"/>
        </w:rPr>
        <w:t xml:space="preserve"> 整机无线模块（WiFi和蓝牙）采用独立模块化设计</w:t>
      </w:r>
      <w:r>
        <w:rPr>
          <w:rFonts w:hint="eastAsia"/>
          <w:bCs/>
          <w:kern w:val="0"/>
          <w:szCs w:val="21"/>
        </w:rPr>
        <w:t>；</w:t>
      </w:r>
    </w:p>
    <w:p w14:paraId="3446DC48">
      <w:pPr>
        <w:ind w:firstLine="400" w:firstLineChars="200"/>
        <w:rPr>
          <w:bCs/>
          <w:kern w:val="0"/>
          <w:szCs w:val="21"/>
        </w:rPr>
      </w:pPr>
      <w:r>
        <w:rPr>
          <w:rFonts w:hint="eastAsia" w:ascii="宋体" w:hAnsi="宋体" w:cs="宋体"/>
          <w:color w:val="000000"/>
          <w:sz w:val="20"/>
        </w:rPr>
        <w:t>★</w:t>
      </w:r>
      <w:r>
        <w:rPr>
          <w:rFonts w:hint="eastAsia"/>
          <w:bCs/>
          <w:kern w:val="0"/>
          <w:szCs w:val="21"/>
        </w:rPr>
        <w:t>10.</w:t>
      </w:r>
      <w:r>
        <w:rPr>
          <w:rFonts w:hint="eastAsia" w:ascii="宋体" w:hAnsi="宋体" w:cs="宋体"/>
          <w:color w:val="000000"/>
          <w:sz w:val="20"/>
        </w:rPr>
        <w:t xml:space="preserve"> 整屏功耗≥1.8KW，平均功耗≤0.6KW，整机待机功耗≤0.5W</w:t>
      </w:r>
      <w:r>
        <w:rPr>
          <w:rFonts w:hint="eastAsia"/>
          <w:bCs/>
          <w:kern w:val="0"/>
          <w:szCs w:val="21"/>
        </w:rPr>
        <w:t>；</w:t>
      </w:r>
    </w:p>
    <w:p w14:paraId="1D7D8283">
      <w:pPr>
        <w:ind w:firstLine="420" w:firstLineChars="200"/>
        <w:rPr>
          <w:bCs/>
          <w:kern w:val="0"/>
          <w:szCs w:val="21"/>
        </w:rPr>
      </w:pPr>
      <w:r>
        <w:rPr>
          <w:rFonts w:hint="eastAsia"/>
          <w:bCs/>
          <w:kern w:val="0"/>
          <w:szCs w:val="21"/>
        </w:rPr>
        <w:t>11.反光率≤1%；采用黑色防眩光设计，减轻摩尔纹85%；</w:t>
      </w:r>
    </w:p>
    <w:p w14:paraId="73049296">
      <w:pPr>
        <w:ind w:left="840" w:leftChars="200" w:hanging="420" w:hangingChars="200"/>
        <w:rPr>
          <w:bCs/>
          <w:kern w:val="0"/>
          <w:szCs w:val="21"/>
        </w:rPr>
      </w:pPr>
      <w:r>
        <w:rPr>
          <w:rFonts w:hint="eastAsia"/>
          <w:bCs/>
          <w:kern w:val="0"/>
          <w:szCs w:val="21"/>
        </w:rPr>
        <w:t>▲12.</w:t>
      </w:r>
      <w:r>
        <w:rPr>
          <w:rFonts w:hint="eastAsia" w:ascii="宋体" w:hAnsi="宋体" w:cs="宋体"/>
          <w:color w:val="000000"/>
          <w:sz w:val="20"/>
        </w:rPr>
        <w:t>超窄边框，边框宽度≤6mm，支持卡扣和螺丝固定安装</w:t>
      </w:r>
      <w:r>
        <w:rPr>
          <w:rFonts w:hint="eastAsia"/>
          <w:bCs/>
          <w:kern w:val="0"/>
          <w:szCs w:val="21"/>
        </w:rPr>
        <w:t>；</w:t>
      </w:r>
    </w:p>
    <w:p w14:paraId="11786AC6">
      <w:pPr>
        <w:ind w:firstLine="420" w:firstLineChars="200"/>
        <w:rPr>
          <w:bCs/>
          <w:kern w:val="0"/>
          <w:szCs w:val="21"/>
        </w:rPr>
      </w:pPr>
      <w:r>
        <w:rPr>
          <w:rFonts w:hint="eastAsia"/>
          <w:bCs/>
          <w:kern w:val="0"/>
          <w:szCs w:val="21"/>
        </w:rPr>
        <w:t>13.具备自动Gamma矫正，符合广电级标准；</w:t>
      </w:r>
    </w:p>
    <w:p w14:paraId="53A4DF28">
      <w:pPr>
        <w:ind w:firstLine="400" w:firstLineChars="200"/>
        <w:rPr>
          <w:bCs/>
          <w:kern w:val="0"/>
          <w:szCs w:val="21"/>
        </w:rPr>
      </w:pPr>
      <w:r>
        <w:rPr>
          <w:rFonts w:hint="eastAsia" w:ascii="宋体" w:hAnsi="宋体" w:cs="宋体"/>
          <w:color w:val="000000"/>
          <w:sz w:val="20"/>
        </w:rPr>
        <w:t>★</w:t>
      </w:r>
      <w:r>
        <w:rPr>
          <w:rFonts w:hint="eastAsia"/>
          <w:bCs/>
          <w:kern w:val="0"/>
          <w:szCs w:val="21"/>
        </w:rPr>
        <w:t>14.屏占比≥98.35%；</w:t>
      </w:r>
      <w:r>
        <w:rPr>
          <w:rFonts w:hint="eastAsia" w:ascii="宋体" w:hAnsi="宋体" w:cs="宋体"/>
          <w:color w:val="000000"/>
          <w:sz w:val="20"/>
        </w:rPr>
        <w:t>支持通道自动跳转功能；</w:t>
      </w:r>
    </w:p>
    <w:p w14:paraId="7711E854">
      <w:pPr>
        <w:ind w:firstLine="420" w:firstLineChars="200"/>
        <w:rPr>
          <w:bCs/>
          <w:kern w:val="0"/>
          <w:szCs w:val="21"/>
        </w:rPr>
      </w:pPr>
      <w:r>
        <w:rPr>
          <w:rFonts w:hint="eastAsia"/>
          <w:bCs/>
          <w:kern w:val="0"/>
          <w:szCs w:val="21"/>
        </w:rPr>
        <w:t>15.像素点具备单点亮度校正和单点颜色校正，具备储存校正系数功能，换灯板后校正系数自带读取；</w:t>
      </w:r>
    </w:p>
    <w:p w14:paraId="050AE6D0">
      <w:pPr>
        <w:ind w:firstLine="400" w:firstLineChars="200"/>
        <w:rPr>
          <w:bCs/>
          <w:kern w:val="0"/>
          <w:szCs w:val="21"/>
        </w:rPr>
      </w:pPr>
      <w:r>
        <w:rPr>
          <w:rFonts w:hint="eastAsia" w:ascii="宋体" w:hAnsi="宋体" w:cs="宋体"/>
          <w:color w:val="000000"/>
          <w:sz w:val="20"/>
        </w:rPr>
        <w:t>★</w:t>
      </w:r>
      <w:r>
        <w:rPr>
          <w:rFonts w:hint="eastAsia"/>
          <w:bCs/>
          <w:kern w:val="0"/>
          <w:szCs w:val="21"/>
        </w:rPr>
        <w:t>1</w:t>
      </w:r>
      <w:r>
        <w:rPr>
          <w:bCs/>
          <w:kern w:val="0"/>
          <w:szCs w:val="21"/>
        </w:rPr>
        <w:t>6</w:t>
      </w:r>
      <w:r>
        <w:rPr>
          <w:rFonts w:hint="eastAsia"/>
          <w:bCs/>
          <w:kern w:val="0"/>
          <w:szCs w:val="21"/>
        </w:rPr>
        <w:t>.单根电源线供电；</w:t>
      </w:r>
    </w:p>
    <w:p w14:paraId="0E457CA0">
      <w:pPr>
        <w:ind w:firstLine="420" w:firstLineChars="200"/>
        <w:rPr>
          <w:bCs/>
          <w:kern w:val="0"/>
          <w:szCs w:val="21"/>
        </w:rPr>
      </w:pPr>
      <w:r>
        <w:rPr>
          <w:rFonts w:hint="eastAsia"/>
          <w:bCs/>
          <w:kern w:val="0"/>
          <w:szCs w:val="21"/>
        </w:rPr>
        <w:t>▲1</w:t>
      </w:r>
      <w:r>
        <w:rPr>
          <w:bCs/>
          <w:kern w:val="0"/>
          <w:szCs w:val="21"/>
        </w:rPr>
        <w:t>7</w:t>
      </w:r>
      <w:r>
        <w:rPr>
          <w:rFonts w:hint="eastAsia"/>
          <w:bCs/>
          <w:kern w:val="0"/>
          <w:szCs w:val="21"/>
        </w:rPr>
        <w:t>.提供具有CNAS检测资质的检测单位出具的第三方专业检测报告，加盖原厂公章</w:t>
      </w:r>
    </w:p>
    <w:p w14:paraId="3BCECD1F">
      <w:pPr>
        <w:ind w:firstLine="420" w:firstLineChars="200"/>
        <w:rPr>
          <w:rFonts w:hint="eastAsia"/>
          <w:bCs/>
          <w:kern w:val="0"/>
          <w:szCs w:val="21"/>
        </w:rPr>
      </w:pPr>
    </w:p>
    <w:p w14:paraId="1ACACF68">
      <w:pPr>
        <w:ind w:firstLine="422" w:firstLineChars="200"/>
        <w:rPr>
          <w:b/>
          <w:bCs/>
          <w:kern w:val="0"/>
          <w:szCs w:val="21"/>
        </w:rPr>
      </w:pPr>
      <w:r>
        <w:rPr>
          <w:rFonts w:hint="eastAsia"/>
          <w:b/>
          <w:bCs/>
          <w:kern w:val="0"/>
          <w:szCs w:val="21"/>
        </w:rPr>
        <w:t>2、会议一体机</w:t>
      </w:r>
    </w:p>
    <w:p w14:paraId="718394FB">
      <w:pPr>
        <w:ind w:left="420" w:leftChars="200"/>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1、尺寸≥8</w:t>
      </w:r>
      <w:r>
        <w:rPr>
          <w:color w:val="000000" w:themeColor="text1"/>
          <w:kern w:val="0"/>
          <w:szCs w:val="21"/>
          <w14:textFill>
            <w14:solidFill>
              <w14:schemeClr w14:val="tx1"/>
            </w14:solidFill>
          </w14:textFill>
        </w:rPr>
        <w:t>5</w:t>
      </w:r>
      <w:r>
        <w:rPr>
          <w:rFonts w:hint="eastAsia"/>
          <w:color w:val="000000" w:themeColor="text1"/>
          <w:kern w:val="0"/>
          <w:szCs w:val="21"/>
          <w14:textFill>
            <w14:solidFill>
              <w14:schemeClr w14:val="tx1"/>
            </w14:solidFill>
          </w14:textFill>
        </w:rPr>
        <w:t>，显示比例16:9，分辨率≥3840*2160，亮度≥300cd/㎡</w:t>
      </w:r>
    </w:p>
    <w:p w14:paraId="5FF756F8">
      <w:pPr>
        <w:ind w:left="420" w:leftChars="200"/>
        <w:rPr>
          <w:color w:val="000000" w:themeColor="text1"/>
          <w:kern w:val="0"/>
          <w:szCs w:val="21"/>
          <w14:textFill>
            <w14:solidFill>
              <w14:schemeClr w14:val="tx1"/>
            </w14:solidFill>
          </w14:textFill>
        </w:rPr>
      </w:pPr>
      <w:r>
        <w:rPr>
          <w:rFonts w:hint="eastAsia"/>
          <w:bCs/>
          <w:kern w:val="0"/>
          <w:szCs w:val="21"/>
        </w:rPr>
        <w:t>▲</w:t>
      </w:r>
      <w:r>
        <w:rPr>
          <w:rFonts w:hint="eastAsia"/>
          <w:color w:val="000000" w:themeColor="text1"/>
          <w:kern w:val="0"/>
          <w:szCs w:val="21"/>
          <w14:textFill>
            <w14:solidFill>
              <w14:schemeClr w14:val="tx1"/>
            </w14:solidFill>
          </w14:textFill>
        </w:rPr>
        <w:t>2、CPU≥四核A55，GPU性能≥双核Mali G52，RAM≥4G，ROM≥64G</w:t>
      </w:r>
    </w:p>
    <w:p w14:paraId="2ED0569D">
      <w:pPr>
        <w:ind w:left="420" w:leftChars="200"/>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提供国家级检验检测中心出具带CNAS标识的检测报告并加盖厂商公章</w:t>
      </w:r>
    </w:p>
    <w:p w14:paraId="09979BCE">
      <w:pPr>
        <w:ind w:firstLine="420" w:firstLineChars="200"/>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3、无线支持802.11 a/b/g/n/ac/ax，2.4GHz/5GHz</w:t>
      </w:r>
    </w:p>
    <w:p w14:paraId="1840EE5A">
      <w:pPr>
        <w:ind w:left="420" w:leftChars="200"/>
        <w:rPr>
          <w:color w:val="000000" w:themeColor="text1"/>
          <w:kern w:val="0"/>
          <w:szCs w:val="21"/>
          <w14:textFill>
            <w14:solidFill>
              <w14:schemeClr w14:val="tx1"/>
            </w14:solidFill>
          </w14:textFill>
        </w:rPr>
      </w:pPr>
      <w:r>
        <w:rPr>
          <w:rFonts w:hint="eastAsia"/>
          <w:bCs/>
          <w:kern w:val="0"/>
          <w:szCs w:val="21"/>
        </w:rPr>
        <w:t>▲</w:t>
      </w:r>
      <w:r>
        <w:rPr>
          <w:color w:val="000000" w:themeColor="text1"/>
          <w:kern w:val="0"/>
          <w:szCs w:val="21"/>
          <w14:textFill>
            <w14:solidFill>
              <w14:schemeClr w14:val="tx1"/>
            </w14:solidFill>
          </w14:textFill>
        </w:rPr>
        <w:t>4</w:t>
      </w:r>
      <w:r>
        <w:rPr>
          <w:rFonts w:hint="eastAsia"/>
          <w:color w:val="000000" w:themeColor="text1"/>
          <w:kern w:val="0"/>
          <w:szCs w:val="21"/>
          <w14:textFill>
            <w14:solidFill>
              <w14:schemeClr w14:val="tx1"/>
            </w14:solidFill>
          </w14:textFill>
        </w:rPr>
        <w:t>、窗口投屏时，电脑屏幕保持使用。</w:t>
      </w:r>
    </w:p>
    <w:p w14:paraId="0E04B53C">
      <w:pPr>
        <w:ind w:left="420" w:leftChars="200"/>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提供国家级检验检测中心出具带CNAS标识的检测报告并加盖厂商公章</w:t>
      </w:r>
    </w:p>
    <w:p w14:paraId="65A97DA9">
      <w:pPr>
        <w:ind w:left="420" w:leftChars="200"/>
        <w:rPr>
          <w:color w:val="000000" w:themeColor="text1"/>
          <w:kern w:val="0"/>
          <w:szCs w:val="21"/>
          <w14:textFill>
            <w14:solidFill>
              <w14:schemeClr w14:val="tx1"/>
            </w14:solidFill>
          </w14:textFill>
        </w:rPr>
      </w:pPr>
      <w:r>
        <w:rPr>
          <w:rFonts w:hint="eastAsia"/>
          <w:bCs/>
          <w:kern w:val="0"/>
          <w:szCs w:val="21"/>
        </w:rPr>
        <w:t>▲</w:t>
      </w:r>
      <w:r>
        <w:rPr>
          <w:color w:val="000000" w:themeColor="text1"/>
          <w:kern w:val="0"/>
          <w:szCs w:val="21"/>
          <w14:textFill>
            <w14:solidFill>
              <w14:schemeClr w14:val="tx1"/>
            </w14:solidFill>
          </w14:textFill>
        </w:rPr>
        <w:t>5</w:t>
      </w:r>
      <w:r>
        <w:rPr>
          <w:rFonts w:hint="eastAsia"/>
          <w:color w:val="000000" w:themeColor="text1"/>
          <w:kern w:val="0"/>
          <w:szCs w:val="21"/>
          <w14:textFill>
            <w14:solidFill>
              <w14:schemeClr w14:val="tx1"/>
            </w14:solidFill>
          </w14:textFill>
        </w:rPr>
        <w:t>、支持无线方式调用扬声器及摄像头，支持≥3840×2160@30fps分辨率投屏</w:t>
      </w:r>
    </w:p>
    <w:p w14:paraId="3246A572">
      <w:pPr>
        <w:ind w:left="420" w:leftChars="200"/>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提供国家级检验检测中心出具带CNAS标识的检测报告并加盖厂商公章</w:t>
      </w:r>
    </w:p>
    <w:p w14:paraId="5B45D337">
      <w:pPr>
        <w:ind w:left="420" w:leftChars="20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w:t>
      </w:r>
      <w:r>
        <w:rPr>
          <w:rFonts w:hint="eastAsia"/>
          <w:color w:val="000000" w:themeColor="text1"/>
          <w:kern w:val="0"/>
          <w:szCs w:val="21"/>
          <w14:textFill>
            <w14:solidFill>
              <w14:schemeClr w14:val="tx1"/>
            </w14:solidFill>
          </w14:textFill>
        </w:rPr>
        <w:t>、支持定制化设置开机logo及开机动画</w:t>
      </w:r>
    </w:p>
    <w:p w14:paraId="20C4C5CA">
      <w:pPr>
        <w:ind w:left="420" w:leftChars="200"/>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提供国家级检验检测中心出具带CNAS标识的检测报告并加盖厂商公章</w:t>
      </w:r>
    </w:p>
    <w:p w14:paraId="37E4A3EF">
      <w:pPr>
        <w:ind w:left="420" w:leftChars="20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7</w:t>
      </w:r>
      <w:r>
        <w:rPr>
          <w:rFonts w:hint="eastAsia"/>
          <w:color w:val="000000" w:themeColor="text1"/>
          <w:kern w:val="0"/>
          <w:szCs w:val="21"/>
          <w14:textFill>
            <w14:solidFill>
              <w14:schemeClr w14:val="tx1"/>
            </w14:solidFill>
          </w14:textFill>
        </w:rPr>
        <w:t>、支持个性化设置开机默认启动应用.</w:t>
      </w:r>
    </w:p>
    <w:p w14:paraId="5971E196">
      <w:pPr>
        <w:ind w:left="420" w:leftChars="200"/>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（提供国家级检验检测中心出具带CNAS标识的检测报告并加盖厂商公章）</w:t>
      </w:r>
    </w:p>
    <w:p w14:paraId="00E82890">
      <w:pPr>
        <w:ind w:left="420" w:leftChars="200"/>
        <w:rPr>
          <w:color w:val="000000" w:themeColor="text1"/>
          <w:kern w:val="0"/>
          <w:szCs w:val="21"/>
          <w14:textFill>
            <w14:solidFill>
              <w14:schemeClr w14:val="tx1"/>
            </w14:solidFill>
          </w14:textFill>
        </w:rPr>
      </w:pPr>
      <w:r>
        <w:rPr>
          <w:rFonts w:hint="eastAsia"/>
          <w:bCs/>
          <w:kern w:val="0"/>
          <w:szCs w:val="21"/>
        </w:rPr>
        <w:t>▲</w:t>
      </w:r>
      <w:r>
        <w:rPr>
          <w:color w:val="000000" w:themeColor="text1"/>
          <w:kern w:val="0"/>
          <w:szCs w:val="21"/>
          <w14:textFill>
            <w14:solidFill>
              <w14:schemeClr w14:val="tx1"/>
            </w14:solidFill>
          </w14:textFill>
        </w:rPr>
        <w:t>8</w:t>
      </w:r>
      <w:r>
        <w:rPr>
          <w:rFonts w:hint="eastAsia"/>
          <w:color w:val="000000" w:themeColor="text1"/>
          <w:kern w:val="0"/>
          <w:szCs w:val="21"/>
          <w14:textFill>
            <w14:solidFill>
              <w14:schemeClr w14:val="tx1"/>
            </w14:solidFill>
          </w14:textFill>
        </w:rPr>
        <w:t>、支持对接集控管理平台，</w:t>
      </w:r>
    </w:p>
    <w:p w14:paraId="6568D375">
      <w:pPr>
        <w:ind w:left="420" w:leftChars="200"/>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提供国家级检验检测中心出具带CNAS标识的检测报告并加盖厂商公章</w:t>
      </w:r>
    </w:p>
    <w:p w14:paraId="018523B9">
      <w:pPr>
        <w:ind w:left="420" w:leftChars="20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9</w:t>
      </w:r>
      <w:r>
        <w:rPr>
          <w:rFonts w:hint="eastAsia"/>
          <w:color w:val="000000" w:themeColor="text1"/>
          <w:kern w:val="0"/>
          <w:szCs w:val="21"/>
          <w14:textFill>
            <w14:solidFill>
              <w14:schemeClr w14:val="tx1"/>
            </w14:solidFill>
          </w14:textFill>
        </w:rPr>
        <w:t>、I/O≥2路、HDMI IN≥4路、USB≥2路，1路Type-C），≥1路Line out，≥1路RJ45 IN，≥1路RS232（提供国家级检验检测中心出具带CNAS标识的检测报告并加盖厂商公章）</w:t>
      </w:r>
    </w:p>
    <w:p w14:paraId="6BB82494">
      <w:pPr>
        <w:ind w:left="420" w:leftChars="200"/>
        <w:rPr>
          <w:color w:val="000000" w:themeColor="text1"/>
          <w:kern w:val="0"/>
          <w:szCs w:val="21"/>
          <w14:textFill>
            <w14:solidFill>
              <w14:schemeClr w14:val="tx1"/>
            </w14:solidFill>
          </w14:textFill>
        </w:rPr>
      </w:pPr>
    </w:p>
    <w:p w14:paraId="126040B3">
      <w:pPr>
        <w:ind w:firstLine="480" w:firstLineChars="200"/>
        <w:rPr>
          <w:rFonts w:ascii="微软雅黑" w:hAnsi="微软雅黑" w:eastAsia="微软雅黑"/>
          <w:b/>
          <w:bCs/>
          <w:sz w:val="24"/>
          <w:szCs w:val="22"/>
        </w:rPr>
      </w:pPr>
      <w:r>
        <w:rPr>
          <w:rFonts w:hint="eastAsia" w:ascii="微软雅黑" w:hAnsi="微软雅黑" w:eastAsia="微软雅黑"/>
          <w:b/>
          <w:bCs/>
          <w:sz w:val="24"/>
          <w:szCs w:val="22"/>
        </w:rPr>
        <w:t>附件</w:t>
      </w:r>
      <w:r>
        <w:rPr>
          <w:rFonts w:ascii="微软雅黑" w:hAnsi="微软雅黑" w:eastAsia="微软雅黑"/>
          <w:b/>
          <w:bCs/>
          <w:sz w:val="24"/>
          <w:szCs w:val="22"/>
        </w:rPr>
        <w:t>4</w:t>
      </w:r>
      <w:r>
        <w:rPr>
          <w:rFonts w:hint="eastAsia" w:ascii="微软雅黑" w:hAnsi="微软雅黑" w:eastAsia="微软雅黑"/>
          <w:b/>
          <w:bCs/>
          <w:sz w:val="24"/>
          <w:szCs w:val="22"/>
        </w:rPr>
        <w:t>——计算机、网络及会议直播配套设备</w:t>
      </w:r>
    </w:p>
    <w:p w14:paraId="119EC682">
      <w:pPr>
        <w:ind w:firstLine="422" w:firstLineChars="200"/>
        <w:rPr>
          <w:b/>
          <w:szCs w:val="21"/>
        </w:rPr>
      </w:pPr>
      <w:r>
        <w:rPr>
          <w:b/>
          <w:szCs w:val="21"/>
        </w:rPr>
        <w:t>一、</w:t>
      </w:r>
      <w:r>
        <w:rPr>
          <w:rFonts w:hint="eastAsia"/>
          <w:b/>
          <w:bCs/>
          <w:szCs w:val="21"/>
        </w:rPr>
        <w:t>计算机、网络及会议直播配套设备</w:t>
      </w:r>
      <w:r>
        <w:rPr>
          <w:b/>
          <w:szCs w:val="21"/>
        </w:rPr>
        <w:t>：</w:t>
      </w:r>
    </w:p>
    <w:p w14:paraId="1E579518">
      <w:pPr>
        <w:ind w:firstLine="420" w:firstLineChars="200"/>
        <w:rPr>
          <w:rFonts w:hint="eastAsia"/>
          <w:szCs w:val="21"/>
        </w:rPr>
      </w:pPr>
    </w:p>
    <w:p w14:paraId="1332148A">
      <w:pPr>
        <w:ind w:firstLine="422" w:firstLineChars="200"/>
        <w:rPr>
          <w:b/>
          <w:bCs/>
          <w:kern w:val="0"/>
          <w:szCs w:val="21"/>
        </w:rPr>
      </w:pPr>
      <w:r>
        <w:rPr>
          <w:rFonts w:hint="eastAsia"/>
          <w:b/>
          <w:bCs/>
          <w:kern w:val="0"/>
          <w:szCs w:val="21"/>
        </w:rPr>
        <w:t>具体参数</w:t>
      </w:r>
      <w:r>
        <w:rPr>
          <w:b/>
          <w:bCs/>
          <w:kern w:val="0"/>
          <w:szCs w:val="21"/>
        </w:rPr>
        <w:t>要求</w:t>
      </w:r>
    </w:p>
    <w:p w14:paraId="034AA52A">
      <w:pPr>
        <w:ind w:firstLine="422" w:firstLineChars="200"/>
        <w:rPr>
          <w:b/>
          <w:bCs/>
          <w:kern w:val="0"/>
          <w:szCs w:val="21"/>
        </w:rPr>
      </w:pPr>
      <w:r>
        <w:rPr>
          <w:b/>
          <w:bCs/>
          <w:kern w:val="0"/>
          <w:szCs w:val="21"/>
        </w:rPr>
        <w:t>1、</w:t>
      </w:r>
      <w:r>
        <w:rPr>
          <w:rFonts w:hint="eastAsia"/>
          <w:b/>
          <w:bCs/>
          <w:kern w:val="0"/>
          <w:szCs w:val="21"/>
        </w:rPr>
        <w:t>工控主机</w:t>
      </w:r>
    </w:p>
    <w:p w14:paraId="61AEE41E">
      <w:pPr>
        <w:ind w:firstLine="420" w:firstLineChars="200"/>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4U主机箱、处理器线程≥8核16线程、CPU主频≥3.8GHz、内存≥16G、硬盘≥1TB</w:t>
      </w:r>
    </w:p>
    <w:p w14:paraId="0D724505">
      <w:pPr>
        <w:ind w:firstLine="420" w:firstLineChars="200"/>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、≥500W工控机专用电源。</w:t>
      </w:r>
    </w:p>
    <w:p w14:paraId="20FF7344">
      <w:pPr>
        <w:ind w:firstLine="420" w:firstLineChars="200"/>
        <w:rPr>
          <w:rFonts w:hint="eastAsia"/>
          <w:color w:val="000000" w:themeColor="text1"/>
          <w:kern w:val="0"/>
          <w:szCs w:val="21"/>
          <w14:textFill>
            <w14:solidFill>
              <w14:schemeClr w14:val="tx1"/>
            </w14:solidFill>
          </w14:textFill>
        </w:rPr>
      </w:pPr>
    </w:p>
    <w:p w14:paraId="73CE8D6E">
      <w:pPr>
        <w:ind w:firstLine="422" w:firstLineChars="200"/>
        <w:rPr>
          <w:b/>
          <w:color w:val="000000" w:themeColor="text1"/>
          <w:kern w:val="0"/>
          <w:szCs w:val="21"/>
          <w14:textFill>
            <w14:solidFill>
              <w14:schemeClr w14:val="tx1"/>
            </w14:solidFill>
          </w14:textFill>
        </w:rPr>
      </w:pPr>
      <w:r>
        <w:rPr>
          <w:rFonts w:hint="eastAsia"/>
          <w:b/>
          <w:color w:val="000000" w:themeColor="text1"/>
          <w:kern w:val="0"/>
          <w:szCs w:val="21"/>
          <w14:textFill>
            <w14:solidFill>
              <w14:schemeClr w14:val="tx1"/>
            </w14:solidFill>
          </w14:textFill>
        </w:rPr>
        <w:t>2、</w:t>
      </w:r>
      <w:r>
        <w:rPr>
          <w:b/>
          <w:color w:val="000000" w:themeColor="text1"/>
          <w:kern w:val="0"/>
          <w:szCs w:val="21"/>
          <w14:textFill>
            <w14:solidFill>
              <w14:schemeClr w14:val="tx1"/>
            </w14:solidFill>
          </w14:textFill>
        </w:rPr>
        <w:t>会议平板</w:t>
      </w:r>
    </w:p>
    <w:p w14:paraId="5614B324">
      <w:pPr>
        <w:ind w:firstLine="420" w:firstLineChars="200"/>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内存≥8GB，</w:t>
      </w:r>
    </w:p>
    <w:p w14:paraId="7329416B">
      <w:pPr>
        <w:ind w:firstLine="420" w:firstLineChars="200"/>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存储≥256GB,搭载国产处理器，配置国产操作系统，兼容所有安卓应用；</w:t>
      </w:r>
    </w:p>
    <w:p w14:paraId="10BFA1CE">
      <w:pPr>
        <w:ind w:firstLine="420" w:firstLineChars="200"/>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平板屏幕≥11.5英寸，分辨率≥2800*1840，屏幕刷新率≥144Hz，≥P3全色域，色彩≥1670万色；</w:t>
      </w:r>
    </w:p>
    <w:p w14:paraId="22AF2019">
      <w:pPr>
        <w:ind w:left="420" w:leftChars="200"/>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电池≥8800mAh,充电速度≤2个小时，满电支持一次性播放视频≥8小时；WLAN 频率：2.4 GHz 和 5 GHz支持星闪与蓝牙5.2技术、支持反向充电。国优品牌。</w:t>
      </w:r>
    </w:p>
    <w:p w14:paraId="5DEFCE69">
      <w:pPr>
        <w:ind w:left="420" w:leftChars="200"/>
        <w:rPr>
          <w:rFonts w:hint="eastAsia"/>
          <w:color w:val="000000" w:themeColor="text1"/>
          <w:kern w:val="0"/>
          <w:szCs w:val="21"/>
          <w14:textFill>
            <w14:solidFill>
              <w14:schemeClr w14:val="tx1"/>
            </w14:solidFill>
          </w14:textFill>
        </w:rPr>
      </w:pPr>
    </w:p>
    <w:p w14:paraId="336F24C4">
      <w:pPr>
        <w:ind w:firstLine="422" w:firstLineChars="200"/>
        <w:rPr>
          <w:b/>
          <w:bCs/>
          <w:kern w:val="0"/>
          <w:szCs w:val="21"/>
        </w:rPr>
      </w:pPr>
      <w:r>
        <w:rPr>
          <w:b/>
          <w:bCs/>
          <w:kern w:val="0"/>
          <w:szCs w:val="21"/>
        </w:rPr>
        <w:t>3</w:t>
      </w:r>
      <w:r>
        <w:rPr>
          <w:rFonts w:hint="eastAsia"/>
          <w:b/>
          <w:bCs/>
          <w:kern w:val="0"/>
          <w:szCs w:val="21"/>
        </w:rPr>
        <w:t>、台式电脑</w:t>
      </w:r>
    </w:p>
    <w:p w14:paraId="49E24A32">
      <w:pPr>
        <w:ind w:left="420" w:leftChars="200"/>
        <w:rPr>
          <w:bCs/>
          <w:kern w:val="0"/>
          <w:szCs w:val="21"/>
        </w:rPr>
      </w:pPr>
      <w:r>
        <w:rPr>
          <w:rFonts w:hint="eastAsia"/>
          <w:bCs/>
          <w:kern w:val="0"/>
          <w:szCs w:val="21"/>
        </w:rPr>
        <w:t>1</w:t>
      </w:r>
      <w:r>
        <w:rPr>
          <w:bCs/>
          <w:kern w:val="0"/>
          <w:szCs w:val="21"/>
        </w:rPr>
        <w:t>7L立式</w:t>
      </w:r>
      <w:r>
        <w:rPr>
          <w:rFonts w:hint="eastAsia"/>
          <w:bCs/>
          <w:kern w:val="0"/>
          <w:szCs w:val="21"/>
        </w:rPr>
        <w:t>M</w:t>
      </w:r>
      <w:r>
        <w:rPr>
          <w:bCs/>
          <w:kern w:val="0"/>
          <w:szCs w:val="21"/>
        </w:rPr>
        <w:t>ATX机箱、主频≥3.4GHz、内存≥8G、硬盘≥512G、显卡集成、显示器≥27英寸、</w:t>
      </w:r>
      <w:r>
        <w:rPr>
          <w:rFonts w:hint="eastAsia"/>
          <w:bCs/>
          <w:kern w:val="0"/>
          <w:szCs w:val="21"/>
        </w:rPr>
        <w:t>刷新率：1</w:t>
      </w:r>
      <w:r>
        <w:rPr>
          <w:bCs/>
          <w:kern w:val="0"/>
          <w:szCs w:val="21"/>
        </w:rPr>
        <w:t>00Hz。国优品牌</w:t>
      </w:r>
    </w:p>
    <w:p w14:paraId="53CE6816">
      <w:pPr>
        <w:ind w:left="420" w:leftChars="200"/>
        <w:rPr>
          <w:rFonts w:hint="eastAsia"/>
          <w:bCs/>
          <w:kern w:val="0"/>
          <w:szCs w:val="21"/>
        </w:rPr>
      </w:pPr>
    </w:p>
    <w:p w14:paraId="09453596">
      <w:pPr>
        <w:ind w:firstLine="422" w:firstLineChars="200"/>
        <w:rPr>
          <w:b/>
          <w:bCs/>
          <w:kern w:val="0"/>
          <w:szCs w:val="21"/>
        </w:rPr>
      </w:pPr>
      <w:r>
        <w:rPr>
          <w:rFonts w:hint="eastAsia"/>
          <w:b/>
          <w:bCs/>
          <w:kern w:val="0"/>
          <w:szCs w:val="21"/>
        </w:rPr>
        <w:t>4、笔记本电脑</w:t>
      </w:r>
    </w:p>
    <w:p w14:paraId="3F2571AA">
      <w:pPr>
        <w:ind w:left="420" w:leftChars="200"/>
        <w:rPr>
          <w:bCs/>
          <w:kern w:val="0"/>
          <w:szCs w:val="21"/>
        </w:rPr>
      </w:pPr>
      <w:r>
        <w:rPr>
          <w:bCs/>
          <w:kern w:val="0"/>
          <w:szCs w:val="21"/>
        </w:rPr>
        <w:t>尺寸：≤14英寸、分辨率：大于等于</w:t>
      </w:r>
      <w:r>
        <w:rPr>
          <w:rFonts w:hint="eastAsia"/>
          <w:bCs/>
          <w:kern w:val="0"/>
          <w:szCs w:val="21"/>
        </w:rPr>
        <w:t>1</w:t>
      </w:r>
      <w:r>
        <w:rPr>
          <w:bCs/>
          <w:kern w:val="0"/>
          <w:szCs w:val="21"/>
        </w:rPr>
        <w:t>920*1200、高色域</w:t>
      </w:r>
      <w:r>
        <w:rPr>
          <w:rFonts w:hint="eastAsia"/>
          <w:bCs/>
          <w:kern w:val="0"/>
          <w:szCs w:val="21"/>
        </w:rPr>
        <w:t xml:space="preserve"> 主频≥2</w:t>
      </w:r>
      <w:r>
        <w:rPr>
          <w:bCs/>
          <w:kern w:val="0"/>
          <w:szCs w:val="21"/>
        </w:rPr>
        <w:t>.1GHz 内存≥16GB、硬盘≥1TB、WiFi6+蓝牙</w:t>
      </w:r>
      <w:r>
        <w:rPr>
          <w:rFonts w:hint="eastAsia"/>
          <w:bCs/>
          <w:kern w:val="0"/>
          <w:szCs w:val="21"/>
        </w:rPr>
        <w:t>5</w:t>
      </w:r>
      <w:r>
        <w:rPr>
          <w:bCs/>
          <w:kern w:val="0"/>
          <w:szCs w:val="21"/>
        </w:rPr>
        <w:t>.1、电池容量≥56Wh支持快充。</w:t>
      </w:r>
    </w:p>
    <w:p w14:paraId="307BFAF2">
      <w:pPr>
        <w:ind w:left="420" w:leftChars="200"/>
        <w:rPr>
          <w:rFonts w:hint="eastAsia"/>
          <w:bCs/>
          <w:kern w:val="0"/>
          <w:szCs w:val="21"/>
        </w:rPr>
      </w:pPr>
    </w:p>
    <w:p w14:paraId="1A866D1D">
      <w:pPr>
        <w:ind w:left="420" w:leftChars="200"/>
        <w:rPr>
          <w:b/>
          <w:bCs/>
          <w:kern w:val="0"/>
          <w:szCs w:val="21"/>
        </w:rPr>
      </w:pPr>
      <w:r>
        <w:rPr>
          <w:rFonts w:hint="eastAsia"/>
          <w:b/>
          <w:bCs/>
          <w:kern w:val="0"/>
          <w:szCs w:val="21"/>
        </w:rPr>
        <w:t>5、笔记本电脑</w:t>
      </w:r>
    </w:p>
    <w:p w14:paraId="3214A9A8">
      <w:pPr>
        <w:ind w:left="420" w:leftChars="200"/>
      </w:pPr>
      <w:r>
        <w:rPr>
          <w:bCs/>
          <w:kern w:val="0"/>
          <w:szCs w:val="21"/>
        </w:rPr>
        <w:t>尺寸：≥14英寸、分辨率≥3120*2080、刷新率≥120Hz、对比度≥1000000：</w:t>
      </w:r>
      <w:r>
        <w:rPr>
          <w:rFonts w:hint="eastAsia"/>
          <w:bCs/>
          <w:kern w:val="0"/>
          <w:szCs w:val="21"/>
        </w:rPr>
        <w:t>1窄边框设计支持触控、</w:t>
      </w:r>
      <w:r>
        <w:t>ΔE＜1 专业设计级色准、内存≥32GB、硬盘≥1TB、主频≥2</w:t>
      </w:r>
      <w:r>
        <w:rPr>
          <w:rFonts w:hint="eastAsia"/>
        </w:rPr>
        <w:t>.</w:t>
      </w:r>
      <w:r>
        <w:t>32GHz、集成</w:t>
      </w:r>
      <w:r>
        <w:rPr>
          <w:rFonts w:hint="eastAsia"/>
        </w:rPr>
        <w:t>4</w:t>
      </w:r>
      <w:r>
        <w:t>K硬件解码、10核心</w:t>
      </w:r>
      <w:r>
        <w:rPr>
          <w:rFonts w:hint="eastAsia"/>
        </w:rPr>
        <w:t>2</w:t>
      </w:r>
      <w:r>
        <w:t>0线程。</w:t>
      </w:r>
    </w:p>
    <w:p w14:paraId="1F56DF6C">
      <w:pPr>
        <w:ind w:left="420" w:leftChars="200"/>
        <w:rPr>
          <w:rFonts w:hint="eastAsia"/>
        </w:rPr>
      </w:pPr>
    </w:p>
    <w:p w14:paraId="5DBD6DBE">
      <w:pPr>
        <w:ind w:left="420" w:leftChars="200"/>
        <w:rPr>
          <w:b/>
        </w:rPr>
      </w:pPr>
      <w:r>
        <w:rPr>
          <w:rFonts w:hint="eastAsia"/>
          <w:b/>
        </w:rPr>
        <w:t>6、交换机</w:t>
      </w:r>
    </w:p>
    <w:p w14:paraId="4727F873">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一、基本规格</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 xml:space="preserve">1U </w:t>
      </w:r>
    </w:p>
    <w:p w14:paraId="6373393A">
      <w:pPr>
        <w:ind w:left="420" w:left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供电方式：内置固定交流电源，内置固定风扇，强制风冷，左右风道。</w:t>
      </w:r>
    </w:p>
    <w:p w14:paraId="56676406">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二、下行接口</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≥48 个 10/100/1000Base-T 自适应以太网电口（RJ45）</w:t>
      </w:r>
    </w:p>
    <w:p w14:paraId="577520FB">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上行接口</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≥4 个 10GE SFP+ 光接口</w:t>
      </w:r>
    </w:p>
    <w:p w14:paraId="437F1F1D">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管理/维护接口</w:t>
      </w:r>
      <w:r>
        <w:rPr>
          <w:rFonts w:hint="eastAsia"/>
          <w:color w:val="000000" w:themeColor="text1"/>
          <w:kern w:val="0"/>
          <w:sz w:val="20"/>
          <w:szCs w:val="18"/>
          <w14:textFill>
            <w14:solidFill>
              <w14:schemeClr w14:val="tx1"/>
            </w14:solidFill>
          </w14:textFill>
        </w:rPr>
        <w:tab/>
      </w:r>
      <w:r>
        <w:rPr>
          <w:bCs/>
          <w:color w:val="000000" w:themeColor="text1"/>
          <w:kern w:val="0"/>
          <w:szCs w:val="21"/>
          <w14:textFill>
            <w14:solidFill>
              <w14:schemeClr w14:val="tx1"/>
            </w14:solidFill>
          </w14:textFill>
        </w:rPr>
        <w:t>≥</w:t>
      </w:r>
      <w:r>
        <w:rPr>
          <w:color w:val="000000" w:themeColor="text1"/>
          <w:kern w:val="0"/>
          <w:sz w:val="20"/>
          <w:szCs w:val="18"/>
          <w14:textFill>
            <w14:solidFill>
              <w14:schemeClr w14:val="tx1"/>
            </w14:solidFill>
          </w14:textFill>
        </w:rPr>
        <w:t>2</w:t>
      </w:r>
      <w:r>
        <w:rPr>
          <w:rFonts w:hint="eastAsia"/>
          <w:color w:val="000000" w:themeColor="text1"/>
          <w:kern w:val="0"/>
          <w:sz w:val="20"/>
          <w:szCs w:val="18"/>
          <w14:textFill>
            <w14:solidFill>
              <w14:schemeClr w14:val="tx1"/>
            </w14:solidFill>
          </w14:textFill>
        </w:rPr>
        <w:t xml:space="preserve"> </w:t>
      </w:r>
    </w:p>
    <w:p w14:paraId="7ED984E1">
      <w:pPr>
        <w:ind w:left="420" w:left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三、交换容量</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≥432 Gbps</w:t>
      </w:r>
      <w:r>
        <w:rPr>
          <w:color w:val="000000" w:themeColor="text1"/>
          <w:kern w:val="0"/>
          <w:sz w:val="20"/>
          <w:szCs w:val="18"/>
          <w14:textFill>
            <w14:solidFill>
              <w14:schemeClr w14:val="tx1"/>
            </w14:solidFill>
          </w14:textFill>
        </w:rPr>
        <w:t>、</w:t>
      </w:r>
      <w:r>
        <w:rPr>
          <w:rFonts w:hint="eastAsia"/>
          <w:color w:val="000000" w:themeColor="text1"/>
          <w:kern w:val="0"/>
          <w:sz w:val="20"/>
          <w:szCs w:val="18"/>
          <w14:textFill>
            <w14:solidFill>
              <w14:schemeClr w14:val="tx1"/>
            </w14:solidFill>
          </w14:textFill>
        </w:rPr>
        <w:t>包转发率：≥144 Mpps</w:t>
      </w:r>
      <w:r>
        <w:rPr>
          <w:color w:val="000000" w:themeColor="text1"/>
          <w:kern w:val="0"/>
          <w:sz w:val="20"/>
          <w:szCs w:val="18"/>
          <w14:textFill>
            <w14:solidFill>
              <w14:schemeClr w14:val="tx1"/>
            </w14:solidFill>
          </w14:textFill>
        </w:rPr>
        <w:t>、</w:t>
      </w:r>
      <w:r>
        <w:rPr>
          <w:rFonts w:hint="eastAsia"/>
          <w:color w:val="000000" w:themeColor="text1"/>
          <w:kern w:val="0"/>
          <w:sz w:val="20"/>
          <w:szCs w:val="18"/>
          <w14:textFill>
            <w14:solidFill>
              <w14:schemeClr w14:val="tx1"/>
            </w14:solidFill>
          </w14:textFill>
        </w:rPr>
        <w:t>MAC：地址表容量：≥16K</w:t>
      </w:r>
      <w:r>
        <w:rPr>
          <w:color w:val="000000" w:themeColor="text1"/>
          <w:kern w:val="0"/>
          <w:sz w:val="20"/>
          <w:szCs w:val="18"/>
          <w14:textFill>
            <w14:solidFill>
              <w14:schemeClr w14:val="tx1"/>
            </w14:solidFill>
          </w14:textFill>
        </w:rPr>
        <w:t>、</w:t>
      </w:r>
      <w:r>
        <w:rPr>
          <w:rFonts w:hint="eastAsia"/>
          <w:color w:val="000000" w:themeColor="text1"/>
          <w:kern w:val="0"/>
          <w:sz w:val="20"/>
          <w:szCs w:val="18"/>
          <w14:textFill>
            <w14:solidFill>
              <w14:schemeClr w14:val="tx1"/>
            </w14:solidFill>
          </w14:textFill>
        </w:rPr>
        <w:t>ARP 表容量≥2K</w:t>
      </w:r>
      <w:r>
        <w:rPr>
          <w:color w:val="000000" w:themeColor="text1"/>
          <w:kern w:val="0"/>
          <w:sz w:val="20"/>
          <w:szCs w:val="18"/>
          <w14:textFill>
            <w14:solidFill>
              <w14:schemeClr w14:val="tx1"/>
            </w14:solidFill>
          </w14:textFill>
        </w:rPr>
        <w:t>、</w:t>
      </w:r>
      <w:r>
        <w:rPr>
          <w:rFonts w:hint="eastAsia"/>
          <w:color w:val="000000" w:themeColor="text1"/>
          <w:kern w:val="0"/>
          <w:sz w:val="20"/>
          <w:szCs w:val="18"/>
          <w14:textFill>
            <w14:solidFill>
              <w14:schemeClr w14:val="tx1"/>
            </w14:solidFill>
          </w14:textFill>
        </w:rPr>
        <w:t>ND 表容量≥1K</w:t>
      </w:r>
      <w:r>
        <w:rPr>
          <w:color w:val="000000" w:themeColor="text1"/>
          <w:kern w:val="0"/>
          <w:sz w:val="20"/>
          <w:szCs w:val="18"/>
          <w14:textFill>
            <w14:solidFill>
              <w14:schemeClr w14:val="tx1"/>
            </w14:solidFill>
          </w14:textFill>
        </w:rPr>
        <w:t>、</w:t>
      </w:r>
      <w:r>
        <w:rPr>
          <w:rFonts w:hint="eastAsia"/>
          <w:color w:val="000000" w:themeColor="text1"/>
          <w:kern w:val="0"/>
          <w:sz w:val="20"/>
          <w:szCs w:val="18"/>
          <w14:textFill>
            <w14:solidFill>
              <w14:schemeClr w14:val="tx1"/>
            </w14:solidFill>
          </w14:textFill>
        </w:rPr>
        <w:t>IPv4 路由表容量≥1K</w:t>
      </w:r>
      <w:r>
        <w:rPr>
          <w:color w:val="000000" w:themeColor="text1"/>
          <w:kern w:val="0"/>
          <w:sz w:val="20"/>
          <w:szCs w:val="18"/>
          <w14:textFill>
            <w14:solidFill>
              <w14:schemeClr w14:val="tx1"/>
            </w14:solidFill>
          </w14:textFill>
        </w:rPr>
        <w:t>、</w:t>
      </w:r>
      <w:r>
        <w:rPr>
          <w:rFonts w:hint="eastAsia"/>
          <w:color w:val="000000" w:themeColor="text1"/>
          <w:kern w:val="0"/>
          <w:sz w:val="20"/>
          <w:szCs w:val="18"/>
          <w14:textFill>
            <w14:solidFill>
              <w14:schemeClr w14:val="tx1"/>
            </w14:solidFill>
          </w14:textFill>
        </w:rPr>
        <w:t>IPv6 路由表容量≥512</w:t>
      </w:r>
      <w:r>
        <w:rPr>
          <w:color w:val="000000" w:themeColor="text1"/>
          <w:kern w:val="0"/>
          <w:sz w:val="20"/>
          <w:szCs w:val="18"/>
          <w14:textFill>
            <w14:solidFill>
              <w14:schemeClr w14:val="tx1"/>
            </w14:solidFill>
          </w14:textFill>
        </w:rPr>
        <w:t>、</w:t>
      </w:r>
      <w:r>
        <w:rPr>
          <w:rFonts w:hint="eastAsia"/>
          <w:color w:val="000000" w:themeColor="text1"/>
          <w:kern w:val="0"/>
          <w:sz w:val="20"/>
          <w:szCs w:val="18"/>
          <w14:textFill>
            <w14:solidFill>
              <w14:schemeClr w14:val="tx1"/>
            </w14:solidFill>
          </w14:textFill>
        </w:rPr>
        <w:t>VLAN 数量≥4K</w:t>
      </w:r>
    </w:p>
    <w:p w14:paraId="79CBBAC6">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最大支持帧长</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≥9216 字节（Jumbo Frame）</w:t>
      </w:r>
    </w:p>
    <w:p w14:paraId="17C934B2">
      <w:pPr>
        <w:ind w:left="420" w:left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四、</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VLAN支持 Access / Trunk / Hybrid / QinQ 端口模式；支持基于端口、MAC、协议的 VLAN；支持 Voice VLAN、VLAN Mapping</w:t>
      </w:r>
    </w:p>
    <w:p w14:paraId="1CF74065">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生成树协议：支持 STP、RSTP、MSTP</w:t>
      </w:r>
    </w:p>
    <w:p w14:paraId="546E3137">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链路聚合</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支持静态聚合及 LACP 动态链路聚合</w:t>
      </w:r>
    </w:p>
    <w:p w14:paraId="2262F29C">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支持 LLDP/LLDP-MED、端口隔离、端口安全、MAC地址漂移检测</w:t>
      </w:r>
    </w:p>
    <w:p w14:paraId="4902062A">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五、</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路由协议</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 IPv4 静态路由、RIPv1/v2；支持 IPv6 静态路由、RIPng</w:t>
      </w:r>
    </w:p>
    <w:p w14:paraId="6DB35BA3">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冗余协议</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支持VRRP（虚拟路由冗余协议）</w:t>
      </w:r>
    </w:p>
    <w:p w14:paraId="14CF6904">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转发能力</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支持VLAN 间三层路由转发</w:t>
      </w:r>
    </w:p>
    <w:p w14:paraId="73FC6809">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快速检测</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 BFD（双向转发检测），实现静态路由快速收敛</w:t>
      </w:r>
    </w:p>
    <w:p w14:paraId="35301A34">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六、IGMP监听 IGMP Snooping v1/v2/v3</w:t>
      </w:r>
    </w:p>
    <w:p w14:paraId="116A1D54">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MLD监听MLD Snooping v1/v2</w:t>
      </w:r>
    </w:p>
    <w:p w14:paraId="2EF3CA3A">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组播优化</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支持组播VLAN、二层组播快速离开</w:t>
      </w:r>
    </w:p>
    <w:p w14:paraId="59A1DB13">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七、接入认证</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 802.1X 认证（含 MAC 旁路认证）、MAC 地址认证、Portal 认证</w:t>
      </w:r>
    </w:p>
    <w:p w14:paraId="315E5719">
      <w:pPr>
        <w:ind w:left="420" w:left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安全防护</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 DHCP Snooping、IP Source Guard、DAI（动态 ARP 检测）；支持广播/组播/未知单播风暴抑制、CPU 防攻击</w:t>
      </w:r>
    </w:p>
    <w:p w14:paraId="0B4022D7">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访问控制</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支持双向ACL</w:t>
      </w:r>
    </w:p>
    <w:p w14:paraId="368553E5">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认证协议</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 RADIUS、HWTACACS</w:t>
      </w:r>
    </w:p>
    <w:p w14:paraId="33F03E1A">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八、流分类</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支持基于 VLAN、MAC、IP、协议类型、端口等五元组流分类</w:t>
      </w:r>
    </w:p>
    <w:p w14:paraId="228B30FB">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队列调度</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≥8 个优先级队列；调度模式支持 SP、WRR、DRR、SP+WRR</w:t>
      </w:r>
    </w:p>
    <w:p w14:paraId="50E2D63D">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流量管理</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支持出方向流量整形、拥塞避免（WRED）</w:t>
      </w:r>
    </w:p>
    <w:p w14:paraId="2941BFD2">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九、链路级可靠性</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支持链路聚合备份、STP/RSTP/MSTP 环路保护</w:t>
      </w:r>
    </w:p>
    <w:p w14:paraId="5A68B713">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网关级可靠性</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 VRRP 网关冗余</w:t>
      </w:r>
    </w:p>
    <w:p w14:paraId="7E44414B">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快速检测</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 BFD for 静态路由</w:t>
      </w:r>
    </w:p>
    <w:p w14:paraId="1B89E1F2">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十、管理维护</w:t>
      </w:r>
      <w:r>
        <w:rPr>
          <w:rFonts w:hint="eastAsia"/>
          <w:color w:val="000000" w:themeColor="text1"/>
          <w:kern w:val="0"/>
          <w:sz w:val="20"/>
          <w:szCs w:val="18"/>
          <w14:textFill>
            <w14:solidFill>
              <w14:schemeClr w14:val="tx1"/>
            </w14:solidFill>
          </w14:textFill>
        </w:rPr>
        <w:tab/>
      </w:r>
    </w:p>
    <w:p w14:paraId="13ADB298">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管理方式</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支持命令行（CLI）、Telnet、SSHv2、Web 图形化网管；支持 SNMPv1/v2c/v3、RMON</w:t>
      </w:r>
    </w:p>
    <w:p w14:paraId="09A9351C">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运维工具</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 NTP、Syslog 日志；支持虚拟电缆检测（VCT）；支持 USB 开局、一键式部署</w:t>
      </w:r>
    </w:p>
    <w:p w14:paraId="3B671604">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告警功能</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 Dying Gasp 掉电告警</w:t>
      </w:r>
    </w:p>
    <w:p w14:paraId="7CC45CAF">
      <w:pPr>
        <w:ind w:firstLine="400" w:firstLineChars="200"/>
        <w:rPr>
          <w:color w:val="000000" w:themeColor="text1"/>
          <w:kern w:val="0"/>
          <w:sz w:val="20"/>
          <w:szCs w:val="18"/>
          <w14:textFill>
            <w14:solidFill>
              <w14:schemeClr w14:val="tx1"/>
            </w14:solidFill>
          </w14:textFill>
        </w:rPr>
      </w:pPr>
      <w:r>
        <w:rPr>
          <w:rFonts w:hint="eastAsia"/>
          <w:color w:val="000000" w:themeColor="text1"/>
          <w:kern w:val="0"/>
          <w:sz w:val="20"/>
          <w:szCs w:val="18"/>
          <w14:textFill>
            <w14:solidFill>
              <w14:schemeClr w14:val="tx1"/>
            </w14:solidFill>
          </w14:textFill>
        </w:rPr>
        <w:t>以太网 OAM</w:t>
      </w:r>
      <w:r>
        <w:rPr>
          <w:rFonts w:hint="eastAsia"/>
          <w:color w:val="000000" w:themeColor="text1"/>
          <w:kern w:val="0"/>
          <w:sz w:val="20"/>
          <w:szCs w:val="18"/>
          <w14:textFill>
            <w14:solidFill>
              <w14:schemeClr w14:val="tx1"/>
            </w14:solidFill>
          </w14:textFill>
        </w:rPr>
        <w:tab/>
      </w:r>
      <w:r>
        <w:rPr>
          <w:rFonts w:hint="eastAsia"/>
          <w:color w:val="000000" w:themeColor="text1"/>
          <w:kern w:val="0"/>
          <w:sz w:val="20"/>
          <w:szCs w:val="18"/>
          <w14:textFill>
            <w14:solidFill>
              <w14:schemeClr w14:val="tx1"/>
            </w14:solidFill>
          </w14:textFill>
        </w:rPr>
        <w:t>支持 802.3ah 以太网 OAM、802.1ag CFM</w:t>
      </w:r>
    </w:p>
    <w:p w14:paraId="62C5ECFA">
      <w:pPr>
        <w:ind w:firstLine="400" w:firstLineChars="200"/>
        <w:rPr>
          <w:color w:val="000000" w:themeColor="text1"/>
          <w:kern w:val="0"/>
          <w:sz w:val="20"/>
          <w:szCs w:val="18"/>
          <w14:textFill>
            <w14:solidFill>
              <w14:schemeClr w14:val="tx1"/>
            </w14:solidFill>
          </w14:textFill>
        </w:rPr>
      </w:pPr>
    </w:p>
    <w:p w14:paraId="14249F7C">
      <w:pPr>
        <w:ind w:firstLine="402" w:firstLineChars="200"/>
        <w:rPr>
          <w:b/>
          <w:color w:val="000000" w:themeColor="text1"/>
          <w:kern w:val="0"/>
          <w:sz w:val="20"/>
          <w:szCs w:val="18"/>
          <w14:textFill>
            <w14:solidFill>
              <w14:schemeClr w14:val="tx1"/>
            </w14:solidFill>
          </w14:textFill>
        </w:rPr>
      </w:pPr>
      <w:r>
        <w:rPr>
          <w:b/>
          <w:color w:val="000000" w:themeColor="text1"/>
          <w:kern w:val="0"/>
          <w:sz w:val="20"/>
          <w:szCs w:val="18"/>
          <w14:textFill>
            <w14:solidFill>
              <w14:schemeClr w14:val="tx1"/>
            </w14:solidFill>
          </w14:textFill>
        </w:rPr>
        <w:t>7、光模块</w:t>
      </w:r>
    </w:p>
    <w:p w14:paraId="5C071FE7">
      <w:pPr>
        <w:ind w:firstLine="420" w:firstLineChars="200"/>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一、万兆单模光模块</w:t>
      </w:r>
    </w:p>
    <w:p w14:paraId="185FC22D">
      <w:pPr>
        <w:ind w:firstLine="420" w:firstLineChars="200"/>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模块类型：热插拔 SFP+ 封装</w:t>
      </w:r>
      <w:r>
        <w:rPr>
          <w:bCs/>
          <w:color w:val="000000" w:themeColor="text1"/>
          <w:kern w:val="0"/>
          <w:szCs w:val="21"/>
          <w14:textFill>
            <w14:solidFill>
              <w14:schemeClr w14:val="tx1"/>
            </w14:solidFill>
          </w14:textFill>
        </w:rPr>
        <w:t xml:space="preserve"> </w:t>
      </w:r>
    </w:p>
    <w:p w14:paraId="2CA90959">
      <w:pPr>
        <w:ind w:firstLine="420" w:firstLineChars="200"/>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标准协议：符合 IEEE 802.3ae 10GBASE-LR 标准，SFF-8431/SFF-8432 MSA 多源协议</w:t>
      </w:r>
    </w:p>
    <w:p w14:paraId="6BD85C5E">
      <w:pPr>
        <w:ind w:firstLine="420" w:firstLineChars="200"/>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二、接口类型：1 个双工 LC 接口 (UPC 研磨)</w:t>
      </w:r>
    </w:p>
    <w:p w14:paraId="665C7576">
      <w:pPr>
        <w:ind w:firstLine="420" w:firstLineChars="200"/>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光纤类型：单模光纤 (SMF, G.652)</w:t>
      </w:r>
    </w:p>
    <w:p w14:paraId="04131EB1">
      <w:pPr>
        <w:ind w:firstLine="420" w:firstLineChars="200"/>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三、传输速率：10.3125 Gbps (10GE)</w:t>
      </w:r>
    </w:p>
    <w:p w14:paraId="6C8D1236">
      <w:pPr>
        <w:ind w:firstLine="420" w:firstLineChars="200"/>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中心波长：1310 nm</w:t>
      </w:r>
    </w:p>
    <w:p w14:paraId="7B009E5F">
      <w:pPr>
        <w:ind w:firstLine="420" w:firstLineChars="200"/>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最大传输距离：≥10 km</w:t>
      </w:r>
    </w:p>
    <w:p w14:paraId="61C88CFC">
      <w:pPr>
        <w:ind w:firstLine="420" w:firstLineChars="200"/>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发射光功率：-8.2 dBm ~ +0.5 dBm</w:t>
      </w:r>
    </w:p>
    <w:p w14:paraId="65D57DBB">
      <w:pPr>
        <w:ind w:firstLine="420" w:firstLineChars="200"/>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接收灵敏度</w:t>
      </w:r>
      <w:r>
        <w:rPr>
          <w:bCs/>
          <w:color w:val="000000" w:themeColor="text1"/>
          <w:kern w:val="0"/>
          <w:szCs w:val="21"/>
          <w14:textFill>
            <w14:solidFill>
              <w14:schemeClr w14:val="tx1"/>
            </w14:solidFill>
          </w14:textFill>
        </w:rPr>
        <w:t>：</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 xml:space="preserve"> -14.4 dBm (</w:t>
      </w:r>
      <w:r>
        <w:rPr>
          <w:rFonts w:hint="eastAsia"/>
          <w:bCs/>
          <w:color w:val="000000" w:themeColor="text1"/>
          <w:kern w:val="0"/>
          <w:szCs w:val="21"/>
          <w14:textFill>
            <w14:solidFill>
              <w14:schemeClr w14:val="tx1"/>
            </w14:solidFill>
          </w14:textFill>
        </w:rPr>
        <w:t>典型值，误码率</w:t>
      </w:r>
      <w:r>
        <w:rPr>
          <w:bCs/>
          <w:color w:val="000000" w:themeColor="text1"/>
          <w:kern w:val="0"/>
          <w:szCs w:val="21"/>
          <w14:textFill>
            <w14:solidFill>
              <w14:schemeClr w14:val="tx1"/>
            </w14:solidFill>
          </w14:textFill>
        </w:rPr>
        <w:t xml:space="preserve"> </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 xml:space="preserve"> 10⁻¹²)</w:t>
      </w:r>
    </w:p>
    <w:p w14:paraId="4A455523">
      <w:pPr>
        <w:ind w:firstLine="420" w:firstLineChars="200"/>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最大接收过载功率：+0.5 dBm</w:t>
      </w:r>
    </w:p>
    <w:p w14:paraId="60DFF043">
      <w:pPr>
        <w:ind w:firstLine="420" w:firstLineChars="200"/>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消光比：≥ 3.5 dB</w:t>
      </w:r>
    </w:p>
    <w:p w14:paraId="0A111E4C">
      <w:pPr>
        <w:ind w:left="420" w:leftChars="200"/>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四、支持数字诊断监控功能 (DDM/DOM)</w:t>
      </w:r>
      <w:r>
        <w:rPr>
          <w:bCs/>
          <w:color w:val="000000" w:themeColor="text1"/>
          <w:kern w:val="0"/>
          <w:szCs w:val="21"/>
          <w14:textFill>
            <w14:solidFill>
              <w14:schemeClr w14:val="tx1"/>
            </w14:solidFill>
          </w14:textFill>
        </w:rPr>
        <w:t>、</w:t>
      </w:r>
      <w:r>
        <w:rPr>
          <w:rFonts w:hint="eastAsia"/>
          <w:bCs/>
          <w:color w:val="000000" w:themeColor="text1"/>
          <w:kern w:val="0"/>
          <w:szCs w:val="21"/>
          <w14:textFill>
            <w14:solidFill>
              <w14:schemeClr w14:val="tx1"/>
            </w14:solidFill>
          </w14:textFill>
        </w:rPr>
        <w:t>支持实时读取模块温度、供电电压、激光偏置电流、发射/接收光功率</w:t>
      </w:r>
    </w:p>
    <w:p w14:paraId="4DC408EC">
      <w:pPr>
        <w:ind w:left="420" w:leftChars="200"/>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五、MTBF：≥ 500,000 小时</w:t>
      </w:r>
      <w:r>
        <w:rPr>
          <w:bCs/>
          <w:color w:val="000000" w:themeColor="text1"/>
          <w:kern w:val="0"/>
          <w:szCs w:val="21"/>
          <w14:textFill>
            <w14:solidFill>
              <w14:schemeClr w14:val="tx1"/>
            </w14:solidFill>
          </w14:textFill>
        </w:rPr>
        <w:t>、</w:t>
      </w:r>
      <w:r>
        <w:rPr>
          <w:rFonts w:hint="eastAsia"/>
          <w:bCs/>
          <w:color w:val="000000" w:themeColor="text1"/>
          <w:kern w:val="0"/>
          <w:szCs w:val="21"/>
          <w14:textFill>
            <w14:solidFill>
              <w14:schemeClr w14:val="tx1"/>
            </w14:solidFill>
          </w14:textFill>
        </w:rPr>
        <w:t>符合 IEC61000-4-2 标准，接触放电 ≥ 4 kV，空气放电 ≥ 8 kV</w:t>
      </w:r>
      <w:r>
        <w:rPr>
          <w:bCs/>
          <w:color w:val="000000" w:themeColor="text1"/>
          <w:kern w:val="0"/>
          <w:szCs w:val="21"/>
          <w14:textFill>
            <w14:solidFill>
              <w14:schemeClr w14:val="tx1"/>
            </w14:solidFill>
          </w14:textFill>
        </w:rPr>
        <w:t>、</w:t>
      </w:r>
      <w:r>
        <w:rPr>
          <w:rFonts w:hint="eastAsia"/>
          <w:bCs/>
          <w:color w:val="000000" w:themeColor="text1"/>
          <w:kern w:val="0"/>
          <w:szCs w:val="21"/>
          <w14:textFill>
            <w14:solidFill>
              <w14:schemeClr w14:val="tx1"/>
            </w14:solidFill>
          </w14:textFill>
        </w:rPr>
        <w:t>符合 Class 1 / IEC 60825-1 激光安全标准，具备自动关断功能</w:t>
      </w:r>
    </w:p>
    <w:p w14:paraId="5E211C3E">
      <w:pPr>
        <w:ind w:left="420" w:leftChars="200"/>
        <w:rPr>
          <w:rFonts w:hint="eastAsia"/>
          <w:bCs/>
          <w:color w:val="000000" w:themeColor="text1"/>
          <w:kern w:val="0"/>
          <w:szCs w:val="21"/>
          <w14:textFill>
            <w14:solidFill>
              <w14:schemeClr w14:val="tx1"/>
            </w14:solidFill>
          </w14:textFill>
        </w:rPr>
      </w:pPr>
    </w:p>
    <w:p w14:paraId="7497323A">
      <w:pPr>
        <w:ind w:left="420" w:leftChars="200"/>
        <w:rPr>
          <w:b/>
          <w:bCs/>
          <w:color w:val="000000" w:themeColor="text1"/>
          <w:kern w:val="0"/>
          <w:szCs w:val="21"/>
          <w14:textFill>
            <w14:solidFill>
              <w14:schemeClr w14:val="tx1"/>
            </w14:solidFill>
          </w14:textFill>
        </w:rPr>
      </w:pPr>
      <w:r>
        <w:rPr>
          <w:rFonts w:hint="eastAsia"/>
          <w:b/>
          <w:bCs/>
          <w:color w:val="000000" w:themeColor="text1"/>
          <w:kern w:val="0"/>
          <w:szCs w:val="21"/>
          <w14:textFill>
            <w14:solidFill>
              <w14:schemeClr w14:val="tx1"/>
            </w14:solidFill>
          </w14:textFill>
        </w:rPr>
        <w:t>8、直播推流系统</w:t>
      </w:r>
    </w:p>
    <w:p w14:paraId="676EDBDF">
      <w:pPr>
        <w:ind w:left="420" w:leftChars="200"/>
        <w:rPr>
          <w:bCs/>
          <w:color w:val="000000" w:themeColor="text1"/>
          <w:kern w:val="0"/>
          <w:szCs w:val="21"/>
          <w14:textFill>
            <w14:solidFill>
              <w14:schemeClr w14:val="tx1"/>
            </w14:solidFill>
          </w14:textFill>
        </w:rPr>
      </w:pPr>
      <w:r>
        <w:rPr>
          <w:rFonts w:hint="eastAsia"/>
          <w:bCs/>
          <w:color w:val="000000" w:themeColor="text1"/>
          <w:kern w:val="0"/>
          <w:szCs w:val="21"/>
          <w14:textFill>
            <w14:solidFill>
              <w14:schemeClr w14:val="tx1"/>
            </w14:solidFill>
          </w14:textFill>
        </w:rPr>
        <w:t>基于现有设备及R</w:t>
      </w:r>
      <w:r>
        <w:rPr>
          <w:bCs/>
          <w:color w:val="000000" w:themeColor="text1"/>
          <w:kern w:val="0"/>
          <w:szCs w:val="21"/>
          <w14:textFill>
            <w14:solidFill>
              <w14:schemeClr w14:val="tx1"/>
            </w14:solidFill>
          </w14:textFill>
        </w:rPr>
        <w:t>TMP/SRT等</w:t>
      </w:r>
      <w:r>
        <w:rPr>
          <w:rFonts w:hint="eastAsia"/>
          <w:bCs/>
          <w:color w:val="000000" w:themeColor="text1"/>
          <w:kern w:val="0"/>
          <w:szCs w:val="21"/>
          <w14:textFill>
            <w14:solidFill>
              <w14:schemeClr w14:val="tx1"/>
            </w14:solidFill>
          </w14:textFill>
        </w:rPr>
        <w:t>通用串口协议搭建，3</w:t>
      </w:r>
      <w:r>
        <w:rPr>
          <w:bCs/>
          <w:color w:val="000000" w:themeColor="text1"/>
          <w:kern w:val="0"/>
          <w:szCs w:val="21"/>
          <w14:textFill>
            <w14:solidFill>
              <w14:schemeClr w14:val="tx1"/>
            </w14:solidFill>
          </w14:textFill>
        </w:rPr>
        <w:t>G-SD≥1、</w:t>
      </w:r>
      <w:r>
        <w:rPr>
          <w:rFonts w:hint="eastAsia"/>
          <w:bCs/>
          <w:color w:val="000000" w:themeColor="text1"/>
          <w:kern w:val="0"/>
          <w:szCs w:val="21"/>
          <w14:textFill>
            <w14:solidFill>
              <w14:schemeClr w14:val="tx1"/>
            </w14:solidFill>
          </w14:textFill>
        </w:rPr>
        <w:t>H</w:t>
      </w:r>
      <w:r>
        <w:rPr>
          <w:bCs/>
          <w:color w:val="000000" w:themeColor="text1"/>
          <w:kern w:val="0"/>
          <w:szCs w:val="21"/>
          <w14:textFill>
            <w14:solidFill>
              <w14:schemeClr w14:val="tx1"/>
            </w14:solidFill>
          </w14:textFill>
        </w:rPr>
        <w:t>DMI2.0环出≥1、采集分辨率：</w:t>
      </w:r>
      <w:r>
        <w:rPr>
          <w:rFonts w:hint="eastAsia"/>
          <w:bCs/>
          <w:color w:val="000000" w:themeColor="text1"/>
          <w:kern w:val="0"/>
          <w:szCs w:val="21"/>
          <w14:textFill>
            <w14:solidFill>
              <w14:schemeClr w14:val="tx1"/>
            </w14:solidFill>
          </w14:textFill>
        </w:rPr>
        <w:t>S</w:t>
      </w:r>
      <w:r>
        <w:rPr>
          <w:bCs/>
          <w:color w:val="000000" w:themeColor="text1"/>
          <w:kern w:val="0"/>
          <w:szCs w:val="21"/>
          <w14:textFill>
            <w14:solidFill>
              <w14:schemeClr w14:val="tx1"/>
            </w14:solidFill>
          </w14:textFill>
        </w:rPr>
        <w:t>D格式：2K DCI 1080p，1080p 60/59.94/50/30/29.97/25/24/23.98/1080i 60/59.94/50</w:t>
      </w:r>
      <w:r>
        <w:rPr>
          <w:rFonts w:hint="eastAsia"/>
          <w:bCs/>
          <w:color w:val="000000" w:themeColor="text1"/>
          <w:kern w:val="0"/>
          <w:szCs w:val="21"/>
          <w14:textFill>
            <w14:solidFill>
              <w14:schemeClr w14:val="tx1"/>
            </w14:solidFill>
          </w14:textFill>
        </w:rPr>
        <w:t>/720p 60/59.94/50 等，采样：1</w:t>
      </w:r>
      <w:r>
        <w:rPr>
          <w:bCs/>
          <w:color w:val="000000" w:themeColor="text1"/>
          <w:kern w:val="0"/>
          <w:szCs w:val="21"/>
          <w14:textFill>
            <w14:solidFill>
              <w14:schemeClr w14:val="tx1"/>
            </w14:solidFill>
          </w14:textFill>
        </w:rPr>
        <w:t>0bit原始格式4:2:2，音频输入：</w:t>
      </w:r>
      <w:r>
        <w:rPr>
          <w:rFonts w:hint="eastAsia"/>
          <w:bCs/>
          <w:color w:val="000000" w:themeColor="text1"/>
          <w:kern w:val="0"/>
          <w:szCs w:val="21"/>
          <w14:textFill>
            <w14:solidFill>
              <w14:schemeClr w14:val="tx1"/>
            </w14:solidFill>
          </w14:textFill>
        </w:rPr>
        <w:t>S</w:t>
      </w:r>
      <w:r>
        <w:rPr>
          <w:bCs/>
          <w:color w:val="000000" w:themeColor="text1"/>
          <w:kern w:val="0"/>
          <w:szCs w:val="21"/>
          <w14:textFill>
            <w14:solidFill>
              <w14:schemeClr w14:val="tx1"/>
            </w14:solidFill>
          </w14:textFill>
        </w:rPr>
        <w:t>DI:8/16通道、</w:t>
      </w:r>
      <w:r>
        <w:rPr>
          <w:rFonts w:hint="eastAsia"/>
          <w:bCs/>
          <w:color w:val="000000" w:themeColor="text1"/>
          <w:kern w:val="0"/>
          <w:szCs w:val="21"/>
          <w14:textFill>
            <w14:solidFill>
              <w14:schemeClr w14:val="tx1"/>
            </w14:solidFill>
          </w14:textFill>
        </w:rPr>
        <w:t>H</w:t>
      </w:r>
      <w:r>
        <w:rPr>
          <w:bCs/>
          <w:color w:val="000000" w:themeColor="text1"/>
          <w:kern w:val="0"/>
          <w:szCs w:val="21"/>
          <w14:textFill>
            <w14:solidFill>
              <w14:schemeClr w14:val="tx1"/>
            </w14:solidFill>
          </w14:textFill>
        </w:rPr>
        <w:t>DMI:2/8通道，模拟音频输入≥1路</w:t>
      </w:r>
      <w:r>
        <w:rPr>
          <w:rFonts w:hint="eastAsia"/>
          <w:bCs/>
          <w:color w:val="000000" w:themeColor="text1"/>
          <w:kern w:val="0"/>
          <w:szCs w:val="21"/>
          <w14:textFill>
            <w14:solidFill>
              <w14:schemeClr w14:val="tx1"/>
            </w14:solidFill>
          </w14:textFill>
        </w:rPr>
        <w:t>X</w:t>
      </w:r>
      <w:r>
        <w:rPr>
          <w:bCs/>
          <w:color w:val="000000" w:themeColor="text1"/>
          <w:kern w:val="0"/>
          <w:szCs w:val="21"/>
          <w14:textFill>
            <w14:solidFill>
              <w14:schemeClr w14:val="tx1"/>
            </w14:solidFill>
          </w14:textFill>
        </w:rPr>
        <w:t>LR或</w:t>
      </w:r>
      <w:r>
        <w:rPr>
          <w:rFonts w:hint="eastAsia"/>
          <w:bCs/>
          <w:color w:val="000000" w:themeColor="text1"/>
          <w:kern w:val="0"/>
          <w:szCs w:val="21"/>
          <w14:textFill>
            <w14:solidFill>
              <w14:schemeClr w14:val="tx1"/>
            </w14:solidFill>
          </w14:textFill>
        </w:rPr>
        <w:t>6</w:t>
      </w:r>
      <w:r>
        <w:rPr>
          <w:bCs/>
          <w:color w:val="000000" w:themeColor="text1"/>
          <w:kern w:val="0"/>
          <w:szCs w:val="21"/>
          <w14:textFill>
            <w14:solidFill>
              <w14:schemeClr w14:val="tx1"/>
            </w14:solidFill>
          </w14:textFill>
        </w:rPr>
        <w:t>.35，支持电平调节。</w:t>
      </w:r>
    </w:p>
    <w:p w14:paraId="02011F7C">
      <w:pPr>
        <w:ind w:left="420" w:leftChars="200"/>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Thunderbolt3≥1向下兼容，支持</w:t>
      </w:r>
      <w:r>
        <w:rPr>
          <w:rFonts w:hint="eastAsia"/>
          <w:bCs/>
          <w:color w:val="000000" w:themeColor="text1"/>
          <w:kern w:val="0"/>
          <w:szCs w:val="21"/>
          <w14:textFill>
            <w14:solidFill>
              <w14:schemeClr w14:val="tx1"/>
            </w14:solidFill>
          </w14:textFill>
        </w:rPr>
        <w:t>H</w:t>
      </w:r>
      <w:r>
        <w:rPr>
          <w:bCs/>
          <w:color w:val="000000" w:themeColor="text1"/>
          <w:kern w:val="0"/>
          <w:szCs w:val="21"/>
          <w14:textFill>
            <w14:solidFill>
              <w14:schemeClr w14:val="tx1"/>
            </w14:solidFill>
          </w14:textFill>
        </w:rPr>
        <w:t>.264/H.265,码率</w:t>
      </w:r>
      <w:r>
        <w:rPr>
          <w:rFonts w:hint="eastAsia"/>
          <w:bCs/>
          <w:color w:val="000000" w:themeColor="text1"/>
          <w:kern w:val="0"/>
          <w:szCs w:val="21"/>
          <w14:textFill>
            <w14:solidFill>
              <w14:schemeClr w14:val="tx1"/>
            </w14:solidFill>
          </w14:textFill>
        </w:rPr>
        <w:t>5</w:t>
      </w:r>
      <w:r>
        <w:rPr>
          <w:bCs/>
          <w:color w:val="000000" w:themeColor="text1"/>
          <w:kern w:val="0"/>
          <w:szCs w:val="21"/>
          <w14:textFill>
            <w14:solidFill>
              <w14:schemeClr w14:val="tx1"/>
            </w14:solidFill>
          </w14:textFill>
        </w:rPr>
        <w:t>00kbps-30000kbps可调，音频</w:t>
      </w:r>
      <w:r>
        <w:rPr>
          <w:rFonts w:hint="eastAsia"/>
          <w:bCs/>
          <w:color w:val="000000" w:themeColor="text1"/>
          <w:kern w:val="0"/>
          <w:szCs w:val="21"/>
          <w14:textFill>
            <w14:solidFill>
              <w14:schemeClr w14:val="tx1"/>
            </w14:solidFill>
          </w14:textFill>
        </w:rPr>
        <w:t>A</w:t>
      </w:r>
      <w:r>
        <w:rPr>
          <w:bCs/>
          <w:color w:val="000000" w:themeColor="text1"/>
          <w:kern w:val="0"/>
          <w:szCs w:val="21"/>
          <w14:textFill>
            <w14:solidFill>
              <w14:schemeClr w14:val="tx1"/>
            </w14:solidFill>
          </w14:textFill>
        </w:rPr>
        <w:t>AC128-320kbps。支持腾讯会议、</w:t>
      </w:r>
      <w:r>
        <w:rPr>
          <w:rFonts w:hint="eastAsia"/>
          <w:bCs/>
          <w:color w:val="000000" w:themeColor="text1"/>
          <w:kern w:val="0"/>
          <w:szCs w:val="21"/>
          <w14:textFill>
            <w14:solidFill>
              <w14:schemeClr w14:val="tx1"/>
            </w14:solidFill>
          </w14:textFill>
        </w:rPr>
        <w:t>Z</w:t>
      </w:r>
      <w:r>
        <w:rPr>
          <w:bCs/>
          <w:color w:val="000000" w:themeColor="text1"/>
          <w:kern w:val="0"/>
          <w:szCs w:val="21"/>
          <w14:textFill>
            <w14:solidFill>
              <w14:schemeClr w14:val="tx1"/>
            </w14:solidFill>
          </w14:textFill>
        </w:rPr>
        <w:t>OOM等主流会议软件及主流平台。</w:t>
      </w:r>
    </w:p>
    <w:p w14:paraId="44764FE5">
      <w:pPr>
        <w:tabs>
          <w:tab w:val="left" w:pos="900"/>
        </w:tabs>
        <w:spacing w:line="300" w:lineRule="auto"/>
        <w:rPr>
          <w:rFonts w:ascii="微软雅黑" w:hAnsi="微软雅黑" w:eastAsia="微软雅黑"/>
          <w:b/>
          <w:sz w:val="24"/>
          <w:szCs w:val="24"/>
        </w:rPr>
      </w:pPr>
      <w:r>
        <w:rPr>
          <w:rFonts w:hint="eastAsia" w:ascii="微软雅黑" w:hAnsi="微软雅黑" w:eastAsia="微软雅黑"/>
          <w:b/>
          <w:sz w:val="24"/>
          <w:szCs w:val="24"/>
        </w:rPr>
        <w:t>五、采购标的需满足的服务标准、期限、效率等要求</w:t>
      </w:r>
    </w:p>
    <w:p w14:paraId="09E3D4BE">
      <w:pPr>
        <w:numPr>
          <w:ilvl w:val="0"/>
          <w:numId w:val="8"/>
        </w:numPr>
        <w:tabs>
          <w:tab w:val="left" w:pos="900"/>
        </w:tabs>
        <w:spacing w:line="300" w:lineRule="auto"/>
        <w:rPr>
          <w:rFonts w:ascii="宋体" w:hAnsi="宋体"/>
          <w:szCs w:val="21"/>
        </w:rPr>
      </w:pPr>
      <w:r>
        <w:rPr>
          <w:rFonts w:hint="eastAsia" w:ascii="宋体" w:hAnsi="宋体"/>
          <w:szCs w:val="21"/>
        </w:rPr>
        <w:t>质保期：</w:t>
      </w:r>
      <w:r>
        <w:rPr>
          <w:rFonts w:ascii="宋体" w:hAnsi="宋体"/>
          <w:szCs w:val="21"/>
          <w:u w:val="single"/>
        </w:rPr>
        <w:t xml:space="preserve"> 3 </w:t>
      </w:r>
      <w:r>
        <w:rPr>
          <w:rFonts w:hint="eastAsia" w:ascii="宋体" w:hAnsi="宋体"/>
          <w:szCs w:val="21"/>
        </w:rPr>
        <w:t>年，</w:t>
      </w:r>
      <w:r>
        <w:rPr>
          <w:rFonts w:ascii="宋体" w:hAnsi="宋体" w:cs="宋体"/>
        </w:rPr>
        <w:t>质保期内免费维保</w:t>
      </w:r>
      <w:r>
        <w:rPr>
          <w:rFonts w:ascii="宋体" w:hAnsi="宋体" w:cs="宋体"/>
          <w:u w:val="single"/>
        </w:rPr>
        <w:t>2</w:t>
      </w:r>
      <w:r>
        <w:rPr>
          <w:rFonts w:ascii="宋体" w:hAnsi="宋体" w:cs="宋体"/>
        </w:rPr>
        <w:t>次/年。</w:t>
      </w:r>
      <w:r>
        <w:rPr>
          <w:rFonts w:hint="eastAsia" w:ascii="宋体" w:hAnsi="宋体"/>
          <w:szCs w:val="21"/>
        </w:rPr>
        <w:t>质保期满后，仍需提供专业维修服务，投标人在投标文件中需注明维修服务单项报价。</w:t>
      </w:r>
    </w:p>
    <w:p w14:paraId="04653A9E">
      <w:pPr>
        <w:numPr>
          <w:ilvl w:val="0"/>
          <w:numId w:val="8"/>
        </w:numPr>
        <w:tabs>
          <w:tab w:val="left" w:pos="900"/>
        </w:tabs>
        <w:spacing w:line="300" w:lineRule="auto"/>
        <w:rPr>
          <w:rFonts w:ascii="宋体" w:hAnsi="宋体"/>
          <w:szCs w:val="21"/>
        </w:rPr>
      </w:pPr>
      <w:r>
        <w:rPr>
          <w:rFonts w:hint="eastAsia" w:ascii="宋体" w:hAnsi="宋体"/>
          <w:szCs w:val="21"/>
        </w:rPr>
        <w:t>服务响应时间：接到维修电话后4小时内给予明确答复，8小时内到达现场维修。维修人员到现场后若问题特殊无法现场修复的，供货方需在24小时内给出合理解决方案。</w:t>
      </w:r>
    </w:p>
    <w:p w14:paraId="28937BB4">
      <w:pPr>
        <w:numPr>
          <w:ilvl w:val="0"/>
          <w:numId w:val="8"/>
        </w:numPr>
        <w:tabs>
          <w:tab w:val="left" w:pos="709"/>
        </w:tabs>
        <w:spacing w:line="300" w:lineRule="auto"/>
        <w:rPr>
          <w:rFonts w:ascii="宋体" w:hAnsi="宋体" w:cs="宋体"/>
        </w:rPr>
      </w:pPr>
      <w:r>
        <w:rPr>
          <w:rFonts w:ascii="宋体" w:hAnsi="宋体"/>
          <w:szCs w:val="21"/>
        </w:rPr>
        <w:t>培训</w:t>
      </w:r>
      <w:r>
        <w:rPr>
          <w:rFonts w:hint="eastAsia" w:ascii="宋体" w:hAnsi="宋体"/>
          <w:szCs w:val="21"/>
        </w:rPr>
        <w:t>要求：</w:t>
      </w:r>
      <w:r>
        <w:rPr>
          <w:rFonts w:ascii="宋体" w:hAnsi="宋体" w:cs="宋体"/>
        </w:rPr>
        <w:t>提供培训电子资料及视频；供方免费为用户培训</w:t>
      </w:r>
      <w:r>
        <w:rPr>
          <w:rFonts w:hint="eastAsia" w:ascii="宋体" w:hAnsi="宋体" w:cs="宋体"/>
        </w:rPr>
        <w:t>，</w:t>
      </w:r>
      <w:r>
        <w:rPr>
          <w:rFonts w:ascii="宋体" w:hAnsi="宋体" w:cs="宋体"/>
        </w:rPr>
        <w:t>至少</w:t>
      </w:r>
      <w:r>
        <w:rPr>
          <w:rFonts w:ascii="宋体" w:hAnsi="宋体" w:cs="宋体"/>
          <w:u w:val="single"/>
        </w:rPr>
        <w:t xml:space="preserve"> 2 </w:t>
      </w:r>
      <w:r>
        <w:rPr>
          <w:rFonts w:ascii="宋体" w:hAnsi="宋体" w:cs="宋体"/>
        </w:rPr>
        <w:t>名操作人员进行为期至少</w:t>
      </w:r>
      <w:r>
        <w:rPr>
          <w:rFonts w:ascii="宋体" w:hAnsi="宋体" w:cs="宋体"/>
          <w:u w:val="single"/>
        </w:rPr>
        <w:t xml:space="preserve"> 5 </w:t>
      </w:r>
      <w:r>
        <w:rPr>
          <w:rFonts w:ascii="宋体" w:hAnsi="宋体" w:cs="宋体"/>
        </w:rPr>
        <w:t>天的现场操作培训以及应用培训，保证用户掌握有关设备的使用、维护、管理和应用等工作要求。不定期的免费提供相关设备应用方面的技术咨询等。</w:t>
      </w:r>
    </w:p>
    <w:p w14:paraId="74334792">
      <w:pPr>
        <w:tabs>
          <w:tab w:val="left" w:pos="420"/>
          <w:tab w:val="left" w:pos="900"/>
        </w:tabs>
        <w:spacing w:line="300" w:lineRule="auto"/>
        <w:rPr>
          <w:rFonts w:ascii="微软雅黑" w:hAnsi="微软雅黑" w:eastAsia="微软雅黑"/>
          <w:b/>
          <w:sz w:val="24"/>
          <w:szCs w:val="24"/>
        </w:rPr>
      </w:pPr>
      <w:r>
        <w:rPr>
          <w:rFonts w:hint="eastAsia" w:ascii="微软雅黑" w:hAnsi="微软雅黑" w:eastAsia="微软雅黑"/>
          <w:b/>
          <w:sz w:val="24"/>
          <w:szCs w:val="24"/>
        </w:rPr>
        <w:t>六、</w:t>
      </w:r>
      <w:r>
        <w:rPr>
          <w:rFonts w:ascii="微软雅黑" w:hAnsi="微软雅黑" w:eastAsia="微软雅黑"/>
          <w:b/>
          <w:sz w:val="24"/>
          <w:szCs w:val="24"/>
        </w:rPr>
        <w:t>采购标的的</w:t>
      </w:r>
      <w:r>
        <w:rPr>
          <w:rFonts w:hint="eastAsia" w:ascii="微软雅黑" w:hAnsi="微软雅黑" w:eastAsia="微软雅黑"/>
          <w:b/>
          <w:sz w:val="24"/>
          <w:szCs w:val="24"/>
        </w:rPr>
        <w:t>履约验收标准</w:t>
      </w:r>
    </w:p>
    <w:bookmarkEnd w:id="1"/>
    <w:bookmarkEnd w:id="2"/>
    <w:bookmarkEnd w:id="3"/>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3970"/>
        <w:gridCol w:w="3016"/>
        <w:gridCol w:w="2506"/>
      </w:tblGrid>
      <w:tr w14:paraId="63952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5000" w:type="pct"/>
            <w:gridSpan w:val="4"/>
            <w:vAlign w:val="center"/>
          </w:tcPr>
          <w:p w14:paraId="3C45FA03">
            <w:pPr>
              <w:widowControl/>
              <w:spacing w:line="300" w:lineRule="auto"/>
              <w:jc w:val="center"/>
              <w:textAlignment w:val="baseline"/>
              <w:rPr>
                <w:color w:val="000000"/>
                <w:kern w:val="0"/>
                <w:sz w:val="20"/>
                <w:szCs w:val="21"/>
              </w:rPr>
            </w:pPr>
            <w:r>
              <w:rPr>
                <w:color w:val="000000"/>
                <w:kern w:val="0"/>
                <w:sz w:val="20"/>
                <w:szCs w:val="21"/>
              </w:rPr>
              <w:t>现场的检验指标及方法</w:t>
            </w:r>
          </w:p>
        </w:tc>
      </w:tr>
      <w:tr w14:paraId="46BEB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345" w:type="pct"/>
            <w:vAlign w:val="center"/>
          </w:tcPr>
          <w:p w14:paraId="6B8E1998">
            <w:pPr>
              <w:widowControl/>
              <w:spacing w:line="300" w:lineRule="auto"/>
              <w:jc w:val="center"/>
              <w:textAlignment w:val="baseline"/>
              <w:rPr>
                <w:color w:val="000000"/>
                <w:kern w:val="0"/>
                <w:sz w:val="20"/>
                <w:szCs w:val="21"/>
              </w:rPr>
            </w:pPr>
            <w:r>
              <w:rPr>
                <w:color w:val="000000"/>
                <w:kern w:val="0"/>
                <w:sz w:val="20"/>
                <w:szCs w:val="21"/>
              </w:rPr>
              <w:t>序号</w:t>
            </w:r>
          </w:p>
        </w:tc>
        <w:tc>
          <w:tcPr>
            <w:tcW w:w="1947" w:type="pct"/>
            <w:vAlign w:val="center"/>
          </w:tcPr>
          <w:p w14:paraId="4578D886">
            <w:pPr>
              <w:widowControl/>
              <w:spacing w:line="300" w:lineRule="auto"/>
              <w:jc w:val="center"/>
              <w:textAlignment w:val="baseline"/>
              <w:rPr>
                <w:color w:val="000000"/>
                <w:kern w:val="0"/>
                <w:sz w:val="20"/>
                <w:szCs w:val="21"/>
              </w:rPr>
            </w:pPr>
            <w:r>
              <w:rPr>
                <w:color w:val="000000"/>
                <w:kern w:val="0"/>
                <w:sz w:val="20"/>
                <w:szCs w:val="21"/>
              </w:rPr>
              <w:t>功能或指标</w:t>
            </w:r>
          </w:p>
        </w:tc>
        <w:tc>
          <w:tcPr>
            <w:tcW w:w="2708" w:type="pct"/>
            <w:gridSpan w:val="2"/>
            <w:vAlign w:val="center"/>
          </w:tcPr>
          <w:p w14:paraId="481773B5">
            <w:pPr>
              <w:widowControl/>
              <w:spacing w:line="300" w:lineRule="auto"/>
              <w:jc w:val="center"/>
              <w:textAlignment w:val="baseline"/>
              <w:rPr>
                <w:color w:val="000000"/>
                <w:kern w:val="0"/>
                <w:sz w:val="20"/>
                <w:szCs w:val="21"/>
              </w:rPr>
            </w:pPr>
            <w:r>
              <w:rPr>
                <w:color w:val="000000"/>
                <w:kern w:val="0"/>
                <w:sz w:val="20"/>
                <w:szCs w:val="21"/>
              </w:rPr>
              <w:t>验收或测试方法</w:t>
            </w:r>
          </w:p>
        </w:tc>
      </w:tr>
      <w:tr w14:paraId="06D04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Pr>
          <w:p w14:paraId="1D88090F">
            <w:pPr>
              <w:widowControl/>
              <w:spacing w:line="300" w:lineRule="auto"/>
              <w:jc w:val="left"/>
              <w:textAlignment w:val="baseline"/>
              <w:rPr>
                <w:rFonts w:ascii="黑体" w:hAnsi="黑体" w:eastAsia="黑体"/>
                <w:b/>
                <w:color w:val="000000"/>
                <w:kern w:val="0"/>
                <w:sz w:val="18"/>
                <w:szCs w:val="18"/>
              </w:rPr>
            </w:pPr>
            <w:r>
              <w:rPr>
                <w:rFonts w:hint="eastAsia" w:ascii="黑体" w:hAnsi="黑体" w:eastAsia="黑体"/>
                <w:b/>
                <w:color w:val="000000"/>
                <w:kern w:val="0"/>
                <w:sz w:val="18"/>
                <w:szCs w:val="18"/>
              </w:rPr>
              <w:t>项目建设单位验收要求：</w:t>
            </w:r>
          </w:p>
        </w:tc>
      </w:tr>
      <w:tr w14:paraId="26CB4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pct"/>
          </w:tcPr>
          <w:p w14:paraId="7F629538">
            <w:pPr>
              <w:widowControl/>
              <w:spacing w:line="300" w:lineRule="auto"/>
              <w:jc w:val="center"/>
              <w:textAlignment w:val="baseline"/>
              <w:rPr>
                <w:color w:val="000000"/>
                <w:kern w:val="0"/>
                <w:sz w:val="20"/>
                <w:szCs w:val="21"/>
              </w:rPr>
            </w:pPr>
            <w:r>
              <w:rPr>
                <w:color w:val="000000"/>
                <w:kern w:val="0"/>
                <w:sz w:val="20"/>
                <w:szCs w:val="21"/>
              </w:rPr>
              <w:t>1</w:t>
            </w:r>
          </w:p>
        </w:tc>
        <w:tc>
          <w:tcPr>
            <w:tcW w:w="1947" w:type="pct"/>
            <w:vAlign w:val="center"/>
          </w:tcPr>
          <w:p w14:paraId="040389AC">
            <w:pPr>
              <w:widowControl/>
              <w:spacing w:line="300" w:lineRule="auto"/>
              <w:textAlignment w:val="baseline"/>
              <w:rPr>
                <w:color w:val="000000"/>
                <w:kern w:val="0"/>
                <w:sz w:val="18"/>
                <w:szCs w:val="18"/>
              </w:rPr>
            </w:pPr>
            <w:r>
              <w:rPr>
                <w:rFonts w:hint="eastAsia"/>
                <w:color w:val="000000"/>
                <w:kern w:val="0"/>
                <w:sz w:val="18"/>
                <w:szCs w:val="18"/>
              </w:rPr>
              <w:t>货物外包装与外观无损伤</w:t>
            </w:r>
          </w:p>
        </w:tc>
        <w:tc>
          <w:tcPr>
            <w:tcW w:w="2708" w:type="pct"/>
            <w:gridSpan w:val="2"/>
            <w:vAlign w:val="center"/>
          </w:tcPr>
          <w:p w14:paraId="16C53692">
            <w:pPr>
              <w:widowControl/>
              <w:spacing w:line="300" w:lineRule="auto"/>
              <w:jc w:val="left"/>
              <w:textAlignment w:val="baseline"/>
              <w:rPr>
                <w:color w:val="000000"/>
                <w:kern w:val="0"/>
                <w:sz w:val="18"/>
                <w:szCs w:val="18"/>
              </w:rPr>
            </w:pPr>
            <w:r>
              <w:rPr>
                <w:color w:val="000000"/>
                <w:kern w:val="0"/>
                <w:sz w:val="18"/>
                <w:szCs w:val="18"/>
              </w:rPr>
              <w:t>现场核查</w:t>
            </w:r>
          </w:p>
        </w:tc>
      </w:tr>
      <w:tr w14:paraId="60AAA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pct"/>
          </w:tcPr>
          <w:p w14:paraId="5EEA4644">
            <w:pPr>
              <w:widowControl/>
              <w:spacing w:line="300" w:lineRule="auto"/>
              <w:jc w:val="center"/>
              <w:textAlignment w:val="baseline"/>
              <w:rPr>
                <w:color w:val="000000"/>
                <w:kern w:val="0"/>
                <w:sz w:val="20"/>
                <w:szCs w:val="21"/>
              </w:rPr>
            </w:pPr>
            <w:r>
              <w:rPr>
                <w:color w:val="000000"/>
                <w:kern w:val="0"/>
                <w:sz w:val="20"/>
                <w:szCs w:val="21"/>
              </w:rPr>
              <w:t>2</w:t>
            </w:r>
          </w:p>
        </w:tc>
        <w:tc>
          <w:tcPr>
            <w:tcW w:w="1947" w:type="pct"/>
            <w:vAlign w:val="center"/>
          </w:tcPr>
          <w:p w14:paraId="5C968FB2">
            <w:pPr>
              <w:widowControl/>
              <w:spacing w:line="300" w:lineRule="auto"/>
              <w:textAlignment w:val="baseline"/>
              <w:rPr>
                <w:color w:val="000000"/>
                <w:kern w:val="0"/>
                <w:sz w:val="18"/>
                <w:szCs w:val="18"/>
              </w:rPr>
            </w:pPr>
            <w:r>
              <w:rPr>
                <w:rFonts w:hint="eastAsia"/>
                <w:color w:val="000000"/>
                <w:kern w:val="0"/>
                <w:sz w:val="18"/>
                <w:szCs w:val="18"/>
              </w:rPr>
              <w:t>货物</w:t>
            </w:r>
            <w:r>
              <w:rPr>
                <w:color w:val="000000"/>
                <w:kern w:val="0"/>
                <w:sz w:val="18"/>
                <w:szCs w:val="18"/>
              </w:rPr>
              <w:t>配置、包括备品备件、耗</w:t>
            </w:r>
            <w:r>
              <w:rPr>
                <w:rFonts w:hint="eastAsia"/>
                <w:color w:val="000000"/>
                <w:kern w:val="0"/>
                <w:sz w:val="18"/>
                <w:szCs w:val="18"/>
              </w:rPr>
              <w:t>品耗</w:t>
            </w:r>
            <w:r>
              <w:rPr>
                <w:color w:val="000000"/>
                <w:kern w:val="0"/>
                <w:sz w:val="18"/>
                <w:szCs w:val="18"/>
              </w:rPr>
              <w:t>材等提供齐全，</w:t>
            </w:r>
            <w:r>
              <w:rPr>
                <w:rFonts w:hint="eastAsia"/>
                <w:color w:val="000000"/>
                <w:kern w:val="0"/>
                <w:sz w:val="18"/>
                <w:szCs w:val="18"/>
              </w:rPr>
              <w:t>货物实物品牌、规格、型号、配置数量与采购结果、合同约定相符。</w:t>
            </w:r>
          </w:p>
        </w:tc>
        <w:tc>
          <w:tcPr>
            <w:tcW w:w="2708" w:type="pct"/>
            <w:gridSpan w:val="2"/>
            <w:vAlign w:val="center"/>
          </w:tcPr>
          <w:p w14:paraId="17137636">
            <w:pPr>
              <w:widowControl/>
              <w:spacing w:line="300" w:lineRule="auto"/>
              <w:textAlignment w:val="baseline"/>
              <w:rPr>
                <w:color w:val="000000"/>
                <w:kern w:val="0"/>
                <w:sz w:val="18"/>
                <w:szCs w:val="18"/>
              </w:rPr>
            </w:pPr>
            <w:r>
              <w:rPr>
                <w:rFonts w:hint="eastAsia"/>
                <w:color w:val="000000"/>
                <w:kern w:val="0"/>
                <w:sz w:val="18"/>
                <w:szCs w:val="18"/>
              </w:rPr>
              <w:t>依据《合同》及其附件（包括但不限于《采购需求》《供应商投标（响应）文件》《投标澄清函》《技术协议》等）约定，</w:t>
            </w:r>
            <w:r>
              <w:rPr>
                <w:color w:val="000000"/>
                <w:kern w:val="0"/>
                <w:sz w:val="18"/>
                <w:szCs w:val="18"/>
              </w:rPr>
              <w:t>现场核查</w:t>
            </w:r>
            <w:r>
              <w:rPr>
                <w:rFonts w:hint="eastAsia"/>
                <w:color w:val="000000"/>
                <w:kern w:val="0"/>
                <w:sz w:val="18"/>
                <w:szCs w:val="18"/>
              </w:rPr>
              <w:t>。</w:t>
            </w:r>
          </w:p>
        </w:tc>
      </w:tr>
      <w:tr w14:paraId="6CB8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pct"/>
          </w:tcPr>
          <w:p w14:paraId="0CF7FCF9">
            <w:pPr>
              <w:widowControl/>
              <w:spacing w:line="300" w:lineRule="auto"/>
              <w:jc w:val="center"/>
              <w:textAlignment w:val="baseline"/>
              <w:rPr>
                <w:color w:val="000000"/>
                <w:kern w:val="0"/>
                <w:sz w:val="20"/>
                <w:szCs w:val="21"/>
              </w:rPr>
            </w:pPr>
            <w:r>
              <w:rPr>
                <w:color w:val="000000"/>
                <w:kern w:val="0"/>
                <w:sz w:val="20"/>
                <w:szCs w:val="21"/>
              </w:rPr>
              <w:t>3</w:t>
            </w:r>
          </w:p>
        </w:tc>
        <w:tc>
          <w:tcPr>
            <w:tcW w:w="1947" w:type="pct"/>
            <w:vAlign w:val="center"/>
          </w:tcPr>
          <w:p w14:paraId="20B09A33">
            <w:pPr>
              <w:widowControl/>
              <w:spacing w:line="300" w:lineRule="auto"/>
              <w:textAlignment w:val="baseline"/>
              <w:rPr>
                <w:color w:val="000000" w:themeColor="text1"/>
                <w:kern w:val="0"/>
                <w:sz w:val="18"/>
                <w:szCs w:val="18"/>
                <w14:textFill>
                  <w14:solidFill>
                    <w14:schemeClr w14:val="tx1"/>
                  </w14:solidFill>
                </w14:textFill>
              </w:rPr>
            </w:pPr>
            <w:r>
              <w:rPr>
                <w:color w:val="000000"/>
                <w:kern w:val="0"/>
                <w:sz w:val="18"/>
                <w:szCs w:val="18"/>
              </w:rPr>
              <w:t>所有功能和指标参数</w:t>
            </w:r>
            <w:r>
              <w:rPr>
                <w:rFonts w:hint="eastAsia"/>
                <w:color w:val="000000"/>
                <w:kern w:val="0"/>
                <w:sz w:val="18"/>
                <w:szCs w:val="18"/>
              </w:rPr>
              <w:t>（</w:t>
            </w:r>
            <w:r>
              <w:rPr>
                <w:color w:val="000000"/>
                <w:kern w:val="0"/>
                <w:sz w:val="18"/>
                <w:szCs w:val="18"/>
              </w:rPr>
              <w:t>包括边界极限值</w:t>
            </w:r>
            <w:r>
              <w:rPr>
                <w:rFonts w:hint="eastAsia"/>
                <w:color w:val="000000"/>
                <w:kern w:val="0"/>
                <w:sz w:val="18"/>
                <w:szCs w:val="18"/>
              </w:rPr>
              <w:t>）</w:t>
            </w:r>
            <w:r>
              <w:rPr>
                <w:color w:val="000000"/>
                <w:kern w:val="0"/>
                <w:sz w:val="18"/>
                <w:szCs w:val="18"/>
              </w:rPr>
              <w:t>达到采购</w:t>
            </w:r>
            <w:r>
              <w:rPr>
                <w:rFonts w:hint="eastAsia"/>
                <w:color w:val="000000"/>
                <w:kern w:val="0"/>
                <w:sz w:val="18"/>
                <w:szCs w:val="18"/>
              </w:rPr>
              <w:t>结果合同约定</w:t>
            </w:r>
            <w:r>
              <w:rPr>
                <w:color w:val="000000"/>
                <w:kern w:val="0"/>
                <w:sz w:val="18"/>
                <w:szCs w:val="18"/>
              </w:rPr>
              <w:t>要求</w:t>
            </w:r>
            <w:r>
              <w:rPr>
                <w:rFonts w:hint="eastAsia"/>
                <w:color w:val="000000"/>
                <w:kern w:val="0"/>
                <w:sz w:val="18"/>
                <w:szCs w:val="18"/>
              </w:rPr>
              <w:t>。</w:t>
            </w:r>
          </w:p>
        </w:tc>
        <w:tc>
          <w:tcPr>
            <w:tcW w:w="2708" w:type="pct"/>
            <w:gridSpan w:val="2"/>
            <w:vAlign w:val="center"/>
          </w:tcPr>
          <w:p w14:paraId="321863C8">
            <w:pPr>
              <w:spacing w:line="300" w:lineRule="auto"/>
              <w:rPr>
                <w:rFonts w:hAnsi="宋体"/>
                <w:kern w:val="0"/>
                <w:sz w:val="20"/>
                <w:szCs w:val="21"/>
              </w:rPr>
            </w:pPr>
            <w:r>
              <w:rPr>
                <w:rFonts w:hint="eastAsia"/>
                <w:color w:val="000000"/>
                <w:kern w:val="0"/>
                <w:sz w:val="18"/>
                <w:szCs w:val="18"/>
              </w:rPr>
              <w:t>依据《合同》及其附件（包括但不限于《采购需求》《供应商投标（响应）文件》《投标澄清函》《技术协议》等）约定，</w:t>
            </w:r>
            <w:r>
              <w:rPr>
                <w:color w:val="000000"/>
                <w:kern w:val="0"/>
                <w:sz w:val="18"/>
                <w:szCs w:val="18"/>
              </w:rPr>
              <w:t>现场测试</w:t>
            </w:r>
            <w:r>
              <w:rPr>
                <w:rFonts w:hint="eastAsia"/>
                <w:color w:val="000000"/>
                <w:kern w:val="0"/>
                <w:sz w:val="18"/>
                <w:szCs w:val="18"/>
              </w:rPr>
              <w:t>，供应商应</w:t>
            </w:r>
            <w:r>
              <w:rPr>
                <w:color w:val="000000"/>
                <w:kern w:val="0"/>
                <w:sz w:val="18"/>
                <w:szCs w:val="18"/>
              </w:rPr>
              <w:t>提供</w:t>
            </w:r>
            <w:r>
              <w:rPr>
                <w:rFonts w:hint="eastAsia"/>
                <w:color w:val="000000"/>
                <w:kern w:val="0"/>
                <w:sz w:val="18"/>
                <w:szCs w:val="18"/>
              </w:rPr>
              <w:t>《产品出厂检测报告》《产品合格证书》和根据合同约定提供《第三方检测报告》。</w:t>
            </w:r>
          </w:p>
        </w:tc>
      </w:tr>
      <w:tr w14:paraId="598F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pct"/>
          </w:tcPr>
          <w:p w14:paraId="03E6AF0D">
            <w:pPr>
              <w:widowControl/>
              <w:spacing w:line="300" w:lineRule="auto"/>
              <w:jc w:val="center"/>
              <w:textAlignment w:val="baseline"/>
              <w:rPr>
                <w:color w:val="000000"/>
                <w:kern w:val="0"/>
                <w:sz w:val="20"/>
                <w:szCs w:val="21"/>
              </w:rPr>
            </w:pPr>
            <w:r>
              <w:rPr>
                <w:color w:val="000000"/>
                <w:kern w:val="0"/>
                <w:sz w:val="20"/>
                <w:szCs w:val="21"/>
              </w:rPr>
              <w:t>4</w:t>
            </w:r>
          </w:p>
        </w:tc>
        <w:tc>
          <w:tcPr>
            <w:tcW w:w="1947" w:type="pct"/>
            <w:vAlign w:val="center"/>
          </w:tcPr>
          <w:p w14:paraId="43D63B72">
            <w:pPr>
              <w:widowControl/>
              <w:spacing w:line="300" w:lineRule="auto"/>
              <w:textAlignment w:val="baseline"/>
              <w:rPr>
                <w:color w:val="000000"/>
                <w:kern w:val="0"/>
                <w:sz w:val="18"/>
                <w:szCs w:val="18"/>
              </w:rPr>
            </w:pPr>
            <w:r>
              <w:rPr>
                <w:color w:val="000000"/>
                <w:kern w:val="0"/>
                <w:sz w:val="18"/>
                <w:szCs w:val="18"/>
              </w:rPr>
              <w:t>提供</w:t>
            </w:r>
            <w:r>
              <w:rPr>
                <w:rFonts w:hint="eastAsia"/>
                <w:color w:val="000000"/>
                <w:kern w:val="0"/>
                <w:sz w:val="18"/>
                <w:szCs w:val="18"/>
              </w:rPr>
              <w:t>《培训视频》影像资料</w:t>
            </w:r>
          </w:p>
        </w:tc>
        <w:tc>
          <w:tcPr>
            <w:tcW w:w="2708" w:type="pct"/>
            <w:gridSpan w:val="2"/>
            <w:vAlign w:val="center"/>
          </w:tcPr>
          <w:p w14:paraId="0CB36753">
            <w:pPr>
              <w:widowControl/>
              <w:spacing w:line="300" w:lineRule="auto"/>
              <w:textAlignment w:val="baseline"/>
              <w:rPr>
                <w:color w:val="000000"/>
                <w:kern w:val="0"/>
                <w:sz w:val="18"/>
                <w:szCs w:val="18"/>
              </w:rPr>
            </w:pPr>
            <w:r>
              <w:rPr>
                <w:color w:val="000000"/>
                <w:kern w:val="0"/>
                <w:sz w:val="18"/>
                <w:szCs w:val="18"/>
              </w:rPr>
              <w:t>现场核查</w:t>
            </w:r>
          </w:p>
        </w:tc>
      </w:tr>
      <w:tr w14:paraId="22287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pct"/>
          </w:tcPr>
          <w:p w14:paraId="720697AD">
            <w:pPr>
              <w:widowControl/>
              <w:spacing w:line="300" w:lineRule="auto"/>
              <w:jc w:val="center"/>
              <w:textAlignment w:val="baseline"/>
              <w:rPr>
                <w:color w:val="000000"/>
                <w:kern w:val="0"/>
                <w:sz w:val="20"/>
                <w:szCs w:val="21"/>
              </w:rPr>
            </w:pPr>
            <w:r>
              <w:rPr>
                <w:rFonts w:hint="eastAsia"/>
                <w:color w:val="000000"/>
                <w:kern w:val="0"/>
                <w:sz w:val="20"/>
                <w:szCs w:val="21"/>
              </w:rPr>
              <w:t>5</w:t>
            </w:r>
          </w:p>
        </w:tc>
        <w:tc>
          <w:tcPr>
            <w:tcW w:w="1947" w:type="pct"/>
            <w:vAlign w:val="center"/>
          </w:tcPr>
          <w:p w14:paraId="01F5C369">
            <w:pPr>
              <w:widowControl/>
              <w:spacing w:line="300" w:lineRule="auto"/>
              <w:textAlignment w:val="baseline"/>
              <w:rPr>
                <w:color w:val="000000" w:themeColor="text1"/>
                <w:kern w:val="0"/>
                <w:sz w:val="18"/>
                <w:szCs w:val="18"/>
                <w14:textFill>
                  <w14:solidFill>
                    <w14:schemeClr w14:val="tx1"/>
                  </w14:solidFill>
                </w14:textFill>
              </w:rPr>
            </w:pPr>
            <w:r>
              <w:rPr>
                <w:color w:val="000000"/>
                <w:kern w:val="0"/>
                <w:sz w:val="18"/>
                <w:szCs w:val="18"/>
              </w:rPr>
              <w:t>验证</w:t>
            </w:r>
            <w:r>
              <w:rPr>
                <w:rFonts w:hint="eastAsia"/>
                <w:color w:val="000000"/>
                <w:kern w:val="0"/>
                <w:sz w:val="18"/>
                <w:szCs w:val="18"/>
              </w:rPr>
              <w:t>测试设备的运行稳定性</w:t>
            </w:r>
          </w:p>
        </w:tc>
        <w:tc>
          <w:tcPr>
            <w:tcW w:w="2708" w:type="pct"/>
            <w:gridSpan w:val="2"/>
            <w:vAlign w:val="center"/>
          </w:tcPr>
          <w:p w14:paraId="4C56347D">
            <w:pPr>
              <w:widowControl/>
              <w:spacing w:line="300" w:lineRule="auto"/>
              <w:textAlignment w:val="baseline"/>
              <w:rPr>
                <w:color w:val="000000"/>
                <w:kern w:val="0"/>
                <w:sz w:val="18"/>
                <w:szCs w:val="18"/>
              </w:rPr>
            </w:pPr>
            <w:r>
              <w:rPr>
                <w:rFonts w:hint="eastAsia"/>
                <w:color w:val="000000"/>
                <w:kern w:val="0"/>
                <w:sz w:val="18"/>
                <w:szCs w:val="18"/>
              </w:rPr>
              <w:t>试运行</w:t>
            </w:r>
            <w:r>
              <w:rPr>
                <w:color w:val="000000"/>
                <w:kern w:val="0"/>
                <w:sz w:val="18"/>
                <w:szCs w:val="18"/>
              </w:rPr>
              <w:t>验证</w:t>
            </w:r>
            <w:r>
              <w:rPr>
                <w:rFonts w:hint="eastAsia"/>
                <w:color w:val="000000"/>
                <w:kern w:val="0"/>
                <w:sz w:val="18"/>
                <w:szCs w:val="18"/>
              </w:rPr>
              <w:t>测试设备运行稳定达标</w:t>
            </w:r>
          </w:p>
        </w:tc>
      </w:tr>
      <w:tr w14:paraId="2EF35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pct"/>
          </w:tcPr>
          <w:p w14:paraId="04C6602E">
            <w:pPr>
              <w:widowControl/>
              <w:spacing w:line="300" w:lineRule="auto"/>
              <w:jc w:val="center"/>
              <w:textAlignment w:val="baseline"/>
              <w:rPr>
                <w:color w:val="000000"/>
                <w:kern w:val="0"/>
                <w:sz w:val="20"/>
                <w:szCs w:val="21"/>
              </w:rPr>
            </w:pPr>
            <w:r>
              <w:rPr>
                <w:rFonts w:hint="eastAsia"/>
                <w:color w:val="000000"/>
                <w:kern w:val="0"/>
                <w:sz w:val="20"/>
                <w:szCs w:val="21"/>
              </w:rPr>
              <w:t>6</w:t>
            </w:r>
          </w:p>
        </w:tc>
        <w:tc>
          <w:tcPr>
            <w:tcW w:w="4655" w:type="pct"/>
            <w:gridSpan w:val="3"/>
            <w:vAlign w:val="center"/>
          </w:tcPr>
          <w:p w14:paraId="27C39184">
            <w:pPr>
              <w:widowControl/>
              <w:spacing w:line="300" w:lineRule="auto"/>
              <w:textAlignment w:val="baseline"/>
              <w:rPr>
                <w:color w:val="000000"/>
                <w:kern w:val="0"/>
                <w:sz w:val="18"/>
                <w:szCs w:val="18"/>
              </w:rPr>
            </w:pPr>
            <w:r>
              <w:rPr>
                <w:rFonts w:hint="eastAsia"/>
                <w:color w:val="000000"/>
                <w:kern w:val="0"/>
                <w:sz w:val="18"/>
                <w:szCs w:val="18"/>
              </w:rPr>
              <w:t>《供应商货物类项目完工报告》《项目建设单位货物类项目完工自验收报告》</w:t>
            </w:r>
          </w:p>
          <w:p w14:paraId="49647BEF">
            <w:pPr>
              <w:widowControl/>
              <w:spacing w:line="300" w:lineRule="auto"/>
              <w:textAlignment w:val="baseline"/>
              <w:rPr>
                <w:color w:val="000000"/>
                <w:kern w:val="0"/>
                <w:sz w:val="18"/>
                <w:szCs w:val="18"/>
              </w:rPr>
            </w:pPr>
            <w:r>
              <w:rPr>
                <w:rFonts w:hint="eastAsia"/>
                <w:color w:val="000000"/>
                <w:kern w:val="0"/>
                <w:sz w:val="18"/>
                <w:szCs w:val="18"/>
              </w:rPr>
              <w:t>《项目建设单位货物类项目完工自验收报告》《第三方检测报告》等与验收相关的材料由项目建设单位妥善保管存档。</w:t>
            </w:r>
          </w:p>
        </w:tc>
      </w:tr>
      <w:tr w14:paraId="3780B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Pr>
          <w:p w14:paraId="48030918">
            <w:pPr>
              <w:widowControl/>
              <w:spacing w:line="300" w:lineRule="auto"/>
              <w:jc w:val="left"/>
              <w:textAlignment w:val="baseline"/>
              <w:rPr>
                <w:color w:val="000000"/>
                <w:kern w:val="0"/>
                <w:sz w:val="18"/>
                <w:szCs w:val="18"/>
              </w:rPr>
            </w:pPr>
            <w:r>
              <w:rPr>
                <w:rFonts w:hint="eastAsia" w:ascii="黑体" w:hAnsi="黑体" w:eastAsia="黑体"/>
                <w:b/>
                <w:color w:val="000000"/>
                <w:kern w:val="0"/>
                <w:sz w:val="18"/>
                <w:szCs w:val="18"/>
              </w:rPr>
              <w:t>学校验收复核要求：</w:t>
            </w:r>
          </w:p>
        </w:tc>
      </w:tr>
      <w:tr w14:paraId="3347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pct"/>
          </w:tcPr>
          <w:p w14:paraId="611FCE55">
            <w:pPr>
              <w:widowControl/>
              <w:spacing w:line="300" w:lineRule="auto"/>
              <w:jc w:val="center"/>
              <w:textAlignment w:val="baseline"/>
              <w:rPr>
                <w:color w:val="000000"/>
                <w:kern w:val="0"/>
                <w:sz w:val="20"/>
                <w:szCs w:val="21"/>
              </w:rPr>
            </w:pPr>
            <w:r>
              <w:rPr>
                <w:rFonts w:hint="eastAsia"/>
                <w:color w:val="000000"/>
                <w:kern w:val="0"/>
                <w:sz w:val="20"/>
                <w:szCs w:val="21"/>
              </w:rPr>
              <w:t>1</w:t>
            </w:r>
          </w:p>
        </w:tc>
        <w:tc>
          <w:tcPr>
            <w:tcW w:w="4655" w:type="pct"/>
            <w:gridSpan w:val="3"/>
            <w:vAlign w:val="center"/>
          </w:tcPr>
          <w:p w14:paraId="1C3B8AC4">
            <w:pPr>
              <w:widowControl/>
              <w:spacing w:line="300" w:lineRule="auto"/>
              <w:textAlignment w:val="baseline"/>
              <w:rPr>
                <w:color w:val="000000"/>
                <w:kern w:val="0"/>
                <w:sz w:val="18"/>
                <w:szCs w:val="18"/>
              </w:rPr>
            </w:pPr>
            <w:r>
              <w:rPr>
                <w:rFonts w:hint="eastAsia"/>
                <w:color w:val="000000"/>
                <w:kern w:val="0"/>
                <w:sz w:val="18"/>
                <w:szCs w:val="18"/>
              </w:rPr>
              <w:t>项目建设单位填写《学校采购货物类项目验收复核申请表》</w:t>
            </w:r>
          </w:p>
        </w:tc>
      </w:tr>
      <w:tr w14:paraId="2A877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pct"/>
          </w:tcPr>
          <w:p w14:paraId="51549F7F">
            <w:pPr>
              <w:widowControl/>
              <w:spacing w:line="300" w:lineRule="auto"/>
              <w:jc w:val="center"/>
              <w:textAlignment w:val="baseline"/>
              <w:rPr>
                <w:color w:val="000000"/>
                <w:kern w:val="0"/>
                <w:sz w:val="20"/>
                <w:szCs w:val="21"/>
              </w:rPr>
            </w:pPr>
            <w:r>
              <w:rPr>
                <w:rFonts w:hint="eastAsia"/>
                <w:color w:val="000000"/>
                <w:kern w:val="0"/>
                <w:sz w:val="20"/>
                <w:szCs w:val="21"/>
              </w:rPr>
              <w:t>2</w:t>
            </w:r>
          </w:p>
        </w:tc>
        <w:tc>
          <w:tcPr>
            <w:tcW w:w="4655" w:type="pct"/>
            <w:gridSpan w:val="3"/>
            <w:vAlign w:val="center"/>
          </w:tcPr>
          <w:p w14:paraId="3677BC81">
            <w:pPr>
              <w:widowControl/>
              <w:spacing w:line="300" w:lineRule="auto"/>
              <w:textAlignment w:val="baseline"/>
              <w:rPr>
                <w:color w:val="000000"/>
                <w:kern w:val="0"/>
                <w:sz w:val="18"/>
                <w:szCs w:val="18"/>
              </w:rPr>
            </w:pPr>
            <w:r>
              <w:rPr>
                <w:rFonts w:hint="eastAsia"/>
                <w:color w:val="000000"/>
                <w:kern w:val="0"/>
                <w:sz w:val="18"/>
                <w:szCs w:val="18"/>
              </w:rPr>
              <w:t>提供《供应商货物类项目完工报告》</w:t>
            </w:r>
          </w:p>
        </w:tc>
      </w:tr>
      <w:tr w14:paraId="68EAB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pct"/>
          </w:tcPr>
          <w:p w14:paraId="297588D5">
            <w:pPr>
              <w:widowControl/>
              <w:spacing w:line="300" w:lineRule="auto"/>
              <w:jc w:val="center"/>
              <w:textAlignment w:val="baseline"/>
              <w:rPr>
                <w:color w:val="000000"/>
                <w:kern w:val="0"/>
                <w:sz w:val="20"/>
                <w:szCs w:val="21"/>
              </w:rPr>
            </w:pPr>
            <w:r>
              <w:rPr>
                <w:rFonts w:hint="eastAsia"/>
                <w:color w:val="000000"/>
                <w:kern w:val="0"/>
                <w:sz w:val="20"/>
                <w:szCs w:val="21"/>
              </w:rPr>
              <w:t>3</w:t>
            </w:r>
          </w:p>
        </w:tc>
        <w:tc>
          <w:tcPr>
            <w:tcW w:w="4655" w:type="pct"/>
            <w:gridSpan w:val="3"/>
            <w:vAlign w:val="center"/>
          </w:tcPr>
          <w:p w14:paraId="1D0F2427">
            <w:pPr>
              <w:widowControl/>
              <w:spacing w:line="300" w:lineRule="auto"/>
              <w:textAlignment w:val="baseline"/>
              <w:rPr>
                <w:color w:val="000000"/>
                <w:kern w:val="0"/>
                <w:sz w:val="18"/>
                <w:szCs w:val="18"/>
              </w:rPr>
            </w:pPr>
            <w:r>
              <w:rPr>
                <w:rFonts w:hint="eastAsia"/>
                <w:color w:val="000000"/>
                <w:kern w:val="0"/>
                <w:sz w:val="18"/>
                <w:szCs w:val="18"/>
              </w:rPr>
              <w:t>提供《项目建设单位货物类项目完工自验收报告》</w:t>
            </w:r>
          </w:p>
        </w:tc>
      </w:tr>
      <w:tr w14:paraId="55E3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 w:type="pct"/>
          </w:tcPr>
          <w:p w14:paraId="10A15913">
            <w:pPr>
              <w:widowControl/>
              <w:spacing w:line="300" w:lineRule="auto"/>
              <w:jc w:val="center"/>
              <w:textAlignment w:val="baseline"/>
              <w:rPr>
                <w:color w:val="000000"/>
                <w:kern w:val="0"/>
                <w:sz w:val="20"/>
                <w:szCs w:val="21"/>
              </w:rPr>
            </w:pPr>
            <w:r>
              <w:rPr>
                <w:rFonts w:hint="eastAsia"/>
                <w:color w:val="000000"/>
                <w:kern w:val="0"/>
                <w:sz w:val="20"/>
                <w:szCs w:val="21"/>
              </w:rPr>
              <w:t>4</w:t>
            </w:r>
          </w:p>
        </w:tc>
        <w:tc>
          <w:tcPr>
            <w:tcW w:w="4655" w:type="pct"/>
            <w:gridSpan w:val="3"/>
            <w:vAlign w:val="center"/>
          </w:tcPr>
          <w:p w14:paraId="18E2F529">
            <w:pPr>
              <w:widowControl/>
              <w:spacing w:line="300" w:lineRule="auto"/>
              <w:textAlignment w:val="baseline"/>
              <w:rPr>
                <w:color w:val="000000"/>
                <w:kern w:val="0"/>
                <w:sz w:val="18"/>
                <w:szCs w:val="18"/>
              </w:rPr>
            </w:pPr>
            <w:r>
              <w:rPr>
                <w:rFonts w:hint="eastAsia"/>
                <w:color w:val="000000"/>
                <w:kern w:val="0"/>
                <w:sz w:val="18"/>
                <w:szCs w:val="18"/>
              </w:rPr>
              <w:t>学校组织验收专家组现场复核供应商与项目建设单位货物到货完工验收完成情况</w:t>
            </w:r>
          </w:p>
        </w:tc>
      </w:tr>
      <w:tr w14:paraId="7F4CD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92" w:type="pct"/>
            <w:gridSpan w:val="2"/>
            <w:vAlign w:val="center"/>
          </w:tcPr>
          <w:p w14:paraId="2558522C">
            <w:pPr>
              <w:widowControl/>
              <w:spacing w:line="300" w:lineRule="auto"/>
              <w:textAlignment w:val="baseline"/>
              <w:rPr>
                <w:color w:val="000000"/>
                <w:kern w:val="0"/>
                <w:sz w:val="20"/>
                <w:szCs w:val="21"/>
              </w:rPr>
            </w:pPr>
            <w:r>
              <w:rPr>
                <w:color w:val="000000"/>
                <w:kern w:val="0"/>
                <w:sz w:val="20"/>
                <w:szCs w:val="21"/>
              </w:rPr>
              <w:t>验收时是否需要供应商提供样品</w:t>
            </w:r>
          </w:p>
        </w:tc>
        <w:tc>
          <w:tcPr>
            <w:tcW w:w="1479" w:type="pct"/>
            <w:vAlign w:val="center"/>
          </w:tcPr>
          <w:p w14:paraId="48552006">
            <w:pPr>
              <w:widowControl/>
              <w:spacing w:line="300" w:lineRule="auto"/>
              <w:textAlignment w:val="baseline"/>
              <w:rPr>
                <w:color w:val="000000"/>
                <w:kern w:val="0"/>
                <w:sz w:val="20"/>
                <w:szCs w:val="21"/>
              </w:rPr>
            </w:pPr>
            <w:r>
              <w:rPr>
                <w:color w:val="000000"/>
                <w:kern w:val="0"/>
                <w:sz w:val="20"/>
                <w:szCs w:val="21"/>
              </w:rPr>
              <w:t>是</w:t>
            </w:r>
            <w:r>
              <w:rPr>
                <w:rFonts w:hint="eastAsia" w:cs="宋体" w:asciiTheme="minorEastAsia" w:hAnsiTheme="minorEastAsia"/>
                <w:color w:val="000000"/>
                <w:kern w:val="0"/>
                <w:sz w:val="20"/>
                <w:szCs w:val="21"/>
              </w:rPr>
              <w:t>□</w:t>
            </w:r>
          </w:p>
        </w:tc>
        <w:tc>
          <w:tcPr>
            <w:tcW w:w="1229" w:type="pct"/>
            <w:vAlign w:val="center"/>
          </w:tcPr>
          <w:p w14:paraId="04BA6F4F">
            <w:pPr>
              <w:widowControl/>
              <w:spacing w:line="300" w:lineRule="auto"/>
              <w:textAlignment w:val="baseline"/>
              <w:rPr>
                <w:color w:val="000000"/>
                <w:kern w:val="0"/>
                <w:sz w:val="20"/>
                <w:szCs w:val="21"/>
              </w:rPr>
            </w:pPr>
            <w:r>
              <w:rPr>
                <w:color w:val="000000"/>
                <w:kern w:val="0"/>
                <w:sz w:val="20"/>
                <w:szCs w:val="21"/>
              </w:rPr>
              <w:t>否</w:t>
            </w:r>
            <w:r>
              <w:rPr>
                <w:rFonts w:ascii="Segoe UI Emoji" w:hAnsi="Segoe UI Emoji" w:cs="Segoe UI Emoji"/>
                <w:color w:val="000000"/>
                <w:kern w:val="0"/>
                <w:sz w:val="20"/>
                <w:szCs w:val="21"/>
              </w:rPr>
              <w:t>☑</w:t>
            </w:r>
          </w:p>
        </w:tc>
      </w:tr>
      <w:tr w14:paraId="4494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92" w:type="pct"/>
            <w:gridSpan w:val="2"/>
            <w:vAlign w:val="center"/>
          </w:tcPr>
          <w:p w14:paraId="41E5037F">
            <w:pPr>
              <w:widowControl/>
              <w:spacing w:line="300" w:lineRule="auto"/>
              <w:textAlignment w:val="baseline"/>
              <w:rPr>
                <w:color w:val="000000"/>
                <w:kern w:val="0"/>
                <w:sz w:val="20"/>
                <w:szCs w:val="21"/>
              </w:rPr>
            </w:pPr>
            <w:r>
              <w:rPr>
                <w:color w:val="000000"/>
                <w:kern w:val="0"/>
                <w:sz w:val="20"/>
                <w:szCs w:val="21"/>
              </w:rPr>
              <w:t>验收时是否需供应商提供必要的其他设备</w:t>
            </w:r>
          </w:p>
        </w:tc>
        <w:tc>
          <w:tcPr>
            <w:tcW w:w="1479" w:type="pct"/>
            <w:vAlign w:val="center"/>
          </w:tcPr>
          <w:p w14:paraId="09C3ED24">
            <w:pPr>
              <w:widowControl/>
              <w:spacing w:line="300" w:lineRule="auto"/>
              <w:textAlignment w:val="baseline"/>
              <w:rPr>
                <w:color w:val="000000"/>
                <w:kern w:val="0"/>
                <w:sz w:val="20"/>
                <w:szCs w:val="21"/>
              </w:rPr>
            </w:pPr>
            <w:r>
              <w:rPr>
                <w:color w:val="000000"/>
                <w:kern w:val="0"/>
                <w:sz w:val="20"/>
                <w:szCs w:val="21"/>
              </w:rPr>
              <w:t>是</w:t>
            </w:r>
            <w:r>
              <w:rPr>
                <w:rFonts w:hint="eastAsia" w:cs="宋体" w:asciiTheme="minorEastAsia" w:hAnsiTheme="minorEastAsia"/>
                <w:color w:val="000000"/>
                <w:kern w:val="0"/>
                <w:sz w:val="20"/>
                <w:szCs w:val="21"/>
              </w:rPr>
              <w:t>□</w:t>
            </w:r>
          </w:p>
        </w:tc>
        <w:tc>
          <w:tcPr>
            <w:tcW w:w="1229" w:type="pct"/>
            <w:vAlign w:val="center"/>
          </w:tcPr>
          <w:p w14:paraId="3C6D34ED">
            <w:pPr>
              <w:widowControl/>
              <w:spacing w:line="300" w:lineRule="auto"/>
              <w:textAlignment w:val="baseline"/>
              <w:rPr>
                <w:color w:val="000000"/>
                <w:kern w:val="0"/>
                <w:sz w:val="20"/>
                <w:szCs w:val="21"/>
              </w:rPr>
            </w:pPr>
            <w:r>
              <w:rPr>
                <w:color w:val="000000"/>
                <w:kern w:val="0"/>
                <w:sz w:val="20"/>
                <w:szCs w:val="21"/>
              </w:rPr>
              <w:t>否</w:t>
            </w:r>
            <w:r>
              <w:rPr>
                <w:rFonts w:ascii="Segoe UI Emoji" w:hAnsi="Segoe UI Emoji" w:cs="Segoe UI Emoji"/>
                <w:color w:val="000000"/>
                <w:kern w:val="0"/>
                <w:sz w:val="20"/>
                <w:szCs w:val="21"/>
              </w:rPr>
              <w:t>☑</w:t>
            </w:r>
          </w:p>
        </w:tc>
      </w:tr>
      <w:tr w14:paraId="677A3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000" w:type="pct"/>
            <w:gridSpan w:val="4"/>
            <w:vAlign w:val="center"/>
          </w:tcPr>
          <w:p w14:paraId="0678E873">
            <w:pPr>
              <w:widowControl/>
              <w:spacing w:line="300" w:lineRule="auto"/>
              <w:textAlignment w:val="baseline"/>
              <w:rPr>
                <w:color w:val="000000"/>
                <w:kern w:val="0"/>
                <w:sz w:val="20"/>
                <w:szCs w:val="21"/>
              </w:rPr>
            </w:pPr>
            <w:r>
              <w:rPr>
                <w:color w:val="000000"/>
                <w:kern w:val="0"/>
                <w:sz w:val="20"/>
                <w:szCs w:val="21"/>
              </w:rPr>
              <w:t>除现场验收外，需提供的其他验收要求</w:t>
            </w:r>
          </w:p>
        </w:tc>
      </w:tr>
      <w:tr w14:paraId="453E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292" w:type="pct"/>
            <w:gridSpan w:val="2"/>
            <w:vAlign w:val="center"/>
          </w:tcPr>
          <w:p w14:paraId="576FC13B">
            <w:pPr>
              <w:widowControl/>
              <w:spacing w:line="300" w:lineRule="auto"/>
              <w:textAlignment w:val="baseline"/>
              <w:rPr>
                <w:color w:val="000000"/>
                <w:kern w:val="0"/>
                <w:sz w:val="20"/>
                <w:szCs w:val="21"/>
              </w:rPr>
            </w:pPr>
            <w:r>
              <w:rPr>
                <w:color w:val="000000"/>
                <w:kern w:val="0"/>
                <w:sz w:val="20"/>
                <w:szCs w:val="21"/>
              </w:rPr>
              <w:t>除现场验收外，是</w:t>
            </w:r>
            <w:r>
              <w:rPr>
                <w:rFonts w:hint="eastAsia" w:cs="宋体" w:asciiTheme="minorEastAsia" w:hAnsiTheme="minorEastAsia"/>
                <w:color w:val="000000"/>
                <w:kern w:val="0"/>
                <w:sz w:val="20"/>
                <w:szCs w:val="21"/>
              </w:rPr>
              <w:t>□</w:t>
            </w:r>
            <w:r>
              <w:rPr>
                <w:color w:val="000000"/>
                <w:kern w:val="0"/>
                <w:sz w:val="20"/>
                <w:szCs w:val="21"/>
              </w:rPr>
              <w:t>否</w:t>
            </w:r>
            <w:r>
              <w:rPr>
                <w:rFonts w:ascii="Segoe UI Emoji" w:hAnsi="Segoe UI Emoji" w:cs="Segoe UI Emoji"/>
                <w:color w:val="000000"/>
                <w:kern w:val="0"/>
                <w:sz w:val="20"/>
                <w:szCs w:val="21"/>
              </w:rPr>
              <w:t>☑</w:t>
            </w:r>
            <w:r>
              <w:rPr>
                <w:color w:val="000000"/>
                <w:kern w:val="0"/>
                <w:sz w:val="20"/>
                <w:szCs w:val="21"/>
              </w:rPr>
              <w:t>需提供第三方检测报告</w:t>
            </w:r>
          </w:p>
          <w:p w14:paraId="7554E041">
            <w:pPr>
              <w:widowControl/>
              <w:spacing w:line="300" w:lineRule="auto"/>
              <w:textAlignment w:val="baseline"/>
              <w:rPr>
                <w:color w:val="000000"/>
                <w:kern w:val="0"/>
                <w:sz w:val="20"/>
                <w:szCs w:val="21"/>
              </w:rPr>
            </w:pPr>
          </w:p>
        </w:tc>
        <w:tc>
          <w:tcPr>
            <w:tcW w:w="2708" w:type="pct"/>
            <w:gridSpan w:val="2"/>
            <w:vAlign w:val="center"/>
          </w:tcPr>
          <w:p w14:paraId="542C0610">
            <w:pPr>
              <w:widowControl/>
              <w:spacing w:line="300" w:lineRule="auto"/>
              <w:textAlignment w:val="baseline"/>
              <w:rPr>
                <w:color w:val="000000"/>
                <w:kern w:val="0"/>
                <w:sz w:val="20"/>
                <w:szCs w:val="21"/>
              </w:rPr>
            </w:pPr>
            <w:r>
              <w:rPr>
                <w:color w:val="000000"/>
                <w:kern w:val="0"/>
                <w:sz w:val="20"/>
                <w:szCs w:val="21"/>
              </w:rPr>
              <w:t>对于检测机构的要求：国家正规检测机构，出具的检测报告由验收复核专家认可之后作为验收复核通过的主要依据。</w:t>
            </w:r>
          </w:p>
          <w:p w14:paraId="37F175BF">
            <w:pPr>
              <w:widowControl/>
              <w:spacing w:line="300" w:lineRule="auto"/>
              <w:textAlignment w:val="baseline"/>
              <w:rPr>
                <w:color w:val="000000"/>
                <w:kern w:val="0"/>
                <w:sz w:val="20"/>
                <w:szCs w:val="21"/>
              </w:rPr>
            </w:pPr>
            <w:r>
              <w:rPr>
                <w:color w:val="000000"/>
                <w:kern w:val="0"/>
                <w:sz w:val="20"/>
                <w:szCs w:val="21"/>
              </w:rPr>
              <w:t>对于检测执行标准的要求：各项检测项目标准以检测机构按照行业相关要求最新适用并执行的标准为准。</w:t>
            </w:r>
          </w:p>
        </w:tc>
      </w:tr>
    </w:tbl>
    <w:p w14:paraId="18A59C30">
      <w:pPr>
        <w:spacing w:line="300" w:lineRule="auto"/>
      </w:pPr>
    </w:p>
    <w:p w14:paraId="010FD599">
      <w:pPr>
        <w:widowControl/>
        <w:spacing w:line="300" w:lineRule="auto"/>
        <w:jc w:val="left"/>
      </w:pPr>
    </w:p>
    <w:sectPr>
      <w:footerReference r:id="rId3" w:type="default"/>
      <w:pgSz w:w="11907" w:h="16840"/>
      <w:pgMar w:top="851" w:right="851" w:bottom="1021" w:left="851" w:header="851" w:footer="624"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Arial">
    <w:panose1 w:val="020B0604020202020204"/>
    <w:charset w:val="00"/>
    <w:family w:val="auto"/>
    <w:pitch w:val="default"/>
    <w:sig w:usb0="E0002EFF" w:usb1="C000785B" w:usb2="00000009" w:usb3="00000000" w:csb0="400001FF" w:csb1="FFFF0000"/>
  </w:font>
  <w:font w:name="新宋体">
    <w:panose1 w:val="02010609030101010101"/>
    <w:charset w:val="86"/>
    <w:family w:val="auto"/>
    <w:pitch w:val="default"/>
    <w:sig w:usb0="00000203" w:usb1="288F0000" w:usb2="00000006" w:usb3="00000000" w:csb0="00040001" w:csb1="00000000"/>
  </w:font>
  <w:font w:name="Courier New">
    <w:panose1 w:val="02070309020205020404"/>
    <w:charset w:val="00"/>
    <w:family w:val="auto"/>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Wingdings">
    <w:panose1 w:val="05000000000000000000"/>
    <w:charset w:val="00"/>
    <w:family w:val="auto"/>
    <w:pitch w:val="default"/>
    <w:sig w:usb0="00000000" w:usb1="00000000" w:usb2="00000000" w:usb3="00000000" w:csb0="80000000" w:csb1="00000000"/>
  </w:font>
  <w:font w:name="仿宋_GB2312">
    <w:altName w:val="仿宋"/>
    <w:panose1 w:val="00000000000000000000"/>
    <w:charset w:val="00"/>
    <w:family w:val="auto"/>
    <w:pitch w:val="default"/>
    <w:sig w:usb0="00000000" w:usb1="00000000" w:usb2="00000000" w:usb3="00000000" w:csb0="00000000" w:csb1="00000000"/>
  </w:font>
  <w:font w:name="Arial Unicode MS">
    <w:altName w:val="Arial"/>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ì.">
    <w:altName w:val="Segoe Print"/>
    <w:panose1 w:val="00000000000000000000"/>
    <w:charset w:val="00"/>
    <w:family w:val="auto"/>
    <w:pitch w:val="default"/>
    <w:sig w:usb0="00000000" w:usb1="00000000" w:usb2="00000000" w:usb3="00000000" w:csb0="00000000" w:csb1="00000000"/>
  </w:font>
  <w:font w:name="Verdana">
    <w:panose1 w:val="020B0604030504040204"/>
    <w:charset w:val="00"/>
    <w:family w:val="auto"/>
    <w:pitch w:val="default"/>
    <w:sig w:usb0="A00006FF" w:usb1="4000205B" w:usb2="00000010" w:usb3="00000000" w:csb0="2000019F" w:csb1="00000000"/>
  </w:font>
  <w:font w:name="楷体_GB2312">
    <w:altName w:val="楷体"/>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0"/>
    <w:family w:val="auto"/>
    <w:pitch w:val="default"/>
    <w:sig w:usb0="00000000" w:usb1="00000000" w:usb2="00000000" w:usb3="00000000" w:csb0="80000000" w:csb1="00000000"/>
  </w:font>
  <w:font w:name="华文仿宋">
    <w:panose1 w:val="02010600040101010101"/>
    <w:charset w:val="86"/>
    <w:family w:val="auto"/>
    <w:pitch w:val="default"/>
    <w:sig w:usb0="00000287" w:usb1="080F0000" w:usb2="00000000" w:usb3="00000000" w:csb0="0004009F" w:csb1="DFD70000"/>
  </w:font>
  <w:font w:name="Segoe UI Emoji">
    <w:panose1 w:val="020B0502040204020203"/>
    <w:charset w:val="00"/>
    <w:family w:val="swiss"/>
    <w:pitch w:val="default"/>
    <w:sig w:usb0="00000001" w:usb1="02000000" w:usb2="08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D4CEE">
    <w:pPr>
      <w:pStyle w:val="26"/>
      <w:jc w:val="center"/>
    </w:pPr>
    <w:r>
      <w:rPr>
        <w:rFonts w:hint="eastAsia"/>
      </w:rPr>
      <w:t xml:space="preserve">— </w:t>
    </w:r>
    <w:r>
      <w:fldChar w:fldCharType="begin"/>
    </w:r>
    <w:r>
      <w:instrText xml:space="preserve">PAGE   \* MERGEFORMAT</w:instrText>
    </w:r>
    <w:r>
      <w:fldChar w:fldCharType="separate"/>
    </w:r>
    <w:r>
      <w:rPr>
        <w:lang w:val="zh-CN"/>
      </w:rPr>
      <w:t>12</w:t>
    </w:r>
    <w:r>
      <w:fldChar w:fldCharType="end"/>
    </w:r>
    <w:r>
      <w:t xml:space="preserve"> </w:t>
    </w:r>
    <w:r>
      <w:rPr>
        <w:rFonts w:hint="eastAsia"/>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D475B4"/>
    <w:multiLevelType w:val="multilevel"/>
    <w:tmpl w:val="1AD475B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DB134AD"/>
    <w:multiLevelType w:val="multilevel"/>
    <w:tmpl w:val="1DB134AD"/>
    <w:lvl w:ilvl="0" w:tentative="0">
      <w:start w:val="1"/>
      <w:numFmt w:val="decimal"/>
      <w:pStyle w:val="63"/>
      <w:lvlText w:val="%1."/>
      <w:lvlJc w:val="left"/>
      <w:pPr>
        <w:ind w:left="1206" w:hanging="420"/>
      </w:pPr>
    </w:lvl>
    <w:lvl w:ilvl="1" w:tentative="0">
      <w:start w:val="1"/>
      <w:numFmt w:val="lowerLetter"/>
      <w:lvlText w:val="%2)"/>
      <w:lvlJc w:val="left"/>
      <w:pPr>
        <w:ind w:left="1626" w:hanging="420"/>
      </w:pPr>
    </w:lvl>
    <w:lvl w:ilvl="2" w:tentative="0">
      <w:start w:val="1"/>
      <w:numFmt w:val="lowerRoman"/>
      <w:lvlText w:val="%3."/>
      <w:lvlJc w:val="right"/>
      <w:pPr>
        <w:ind w:left="2046" w:hanging="420"/>
      </w:pPr>
    </w:lvl>
    <w:lvl w:ilvl="3" w:tentative="0">
      <w:start w:val="1"/>
      <w:numFmt w:val="decimal"/>
      <w:lvlText w:val="%4."/>
      <w:lvlJc w:val="left"/>
      <w:pPr>
        <w:ind w:left="2466" w:hanging="420"/>
      </w:pPr>
    </w:lvl>
    <w:lvl w:ilvl="4" w:tentative="0">
      <w:start w:val="1"/>
      <w:numFmt w:val="lowerLetter"/>
      <w:lvlText w:val="%5)"/>
      <w:lvlJc w:val="left"/>
      <w:pPr>
        <w:ind w:left="2886" w:hanging="420"/>
      </w:pPr>
    </w:lvl>
    <w:lvl w:ilvl="5" w:tentative="0">
      <w:start w:val="1"/>
      <w:numFmt w:val="lowerRoman"/>
      <w:lvlText w:val="%6."/>
      <w:lvlJc w:val="right"/>
      <w:pPr>
        <w:ind w:left="3306" w:hanging="420"/>
      </w:pPr>
    </w:lvl>
    <w:lvl w:ilvl="6" w:tentative="0">
      <w:start w:val="1"/>
      <w:numFmt w:val="decimal"/>
      <w:lvlText w:val="%7."/>
      <w:lvlJc w:val="left"/>
      <w:pPr>
        <w:ind w:left="3726" w:hanging="420"/>
      </w:pPr>
    </w:lvl>
    <w:lvl w:ilvl="7" w:tentative="0">
      <w:start w:val="1"/>
      <w:numFmt w:val="lowerLetter"/>
      <w:lvlText w:val="%8)"/>
      <w:lvlJc w:val="left"/>
      <w:pPr>
        <w:ind w:left="4146" w:hanging="420"/>
      </w:pPr>
    </w:lvl>
    <w:lvl w:ilvl="8" w:tentative="0">
      <w:start w:val="1"/>
      <w:numFmt w:val="lowerRoman"/>
      <w:lvlText w:val="%9."/>
      <w:lvlJc w:val="right"/>
      <w:pPr>
        <w:ind w:left="4566" w:hanging="420"/>
      </w:pPr>
    </w:lvl>
  </w:abstractNum>
  <w:abstractNum w:abstractNumId="2">
    <w:nsid w:val="347C3843"/>
    <w:multiLevelType w:val="multilevel"/>
    <w:tmpl w:val="347C384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585B96D9"/>
    <w:multiLevelType w:val="singleLevel"/>
    <w:tmpl w:val="585B96D9"/>
    <w:lvl w:ilvl="0" w:tentative="0">
      <w:start w:val="1"/>
      <w:numFmt w:val="decimal"/>
      <w:pStyle w:val="9"/>
      <w:lvlText w:val="%1."/>
      <w:lvlJc w:val="left"/>
      <w:pPr>
        <w:tabs>
          <w:tab w:val="left" w:pos="780"/>
        </w:tabs>
        <w:ind w:left="780" w:hanging="360"/>
      </w:pPr>
      <w:rPr>
        <w:rFonts w:cs="Times New Roman"/>
      </w:rPr>
    </w:lvl>
  </w:abstractNum>
  <w:abstractNum w:abstractNumId="4">
    <w:nsid w:val="585B96EF"/>
    <w:multiLevelType w:val="singleLevel"/>
    <w:tmpl w:val="585B96EF"/>
    <w:lvl w:ilvl="0" w:tentative="0">
      <w:start w:val="1"/>
      <w:numFmt w:val="decimal"/>
      <w:pStyle w:val="11"/>
      <w:lvlText w:val="%1."/>
      <w:lvlJc w:val="left"/>
      <w:pPr>
        <w:tabs>
          <w:tab w:val="left" w:pos="360"/>
        </w:tabs>
        <w:ind w:left="360" w:hanging="360"/>
      </w:pPr>
      <w:rPr>
        <w:rFonts w:cs="Times New Roman"/>
      </w:rPr>
    </w:lvl>
  </w:abstractNum>
  <w:abstractNum w:abstractNumId="5">
    <w:nsid w:val="585B96FA"/>
    <w:multiLevelType w:val="singleLevel"/>
    <w:tmpl w:val="585B96FA"/>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6">
    <w:nsid w:val="585B9705"/>
    <w:multiLevelType w:val="singleLevel"/>
    <w:tmpl w:val="585B9705"/>
    <w:lvl w:ilvl="0" w:tentative="0">
      <w:start w:val="1"/>
      <w:numFmt w:val="bullet"/>
      <w:pStyle w:val="17"/>
      <w:lvlText w:val=""/>
      <w:lvlJc w:val="left"/>
      <w:pPr>
        <w:tabs>
          <w:tab w:val="left" w:pos="1200"/>
        </w:tabs>
        <w:ind w:left="1200" w:hanging="360"/>
      </w:pPr>
      <w:rPr>
        <w:rFonts w:hint="default" w:ascii="Wingdings" w:hAnsi="Wingdings"/>
      </w:rPr>
    </w:lvl>
  </w:abstractNum>
  <w:abstractNum w:abstractNumId="7">
    <w:nsid w:val="585B971B"/>
    <w:multiLevelType w:val="singleLevel"/>
    <w:tmpl w:val="585B971B"/>
    <w:lvl w:ilvl="0" w:tentative="0">
      <w:start w:val="1"/>
      <w:numFmt w:val="bullet"/>
      <w:pStyle w:val="20"/>
      <w:lvlText w:val=""/>
      <w:lvlJc w:val="left"/>
      <w:pPr>
        <w:tabs>
          <w:tab w:val="left" w:pos="780"/>
        </w:tabs>
        <w:ind w:left="780" w:hanging="360"/>
      </w:pPr>
      <w:rPr>
        <w:rFonts w:hint="default" w:ascii="Wingdings" w:hAnsi="Wingdings"/>
      </w:rPr>
    </w:lvl>
  </w:abstractNum>
  <w:num w:numId="1">
    <w:abstractNumId w:val="3"/>
  </w:num>
  <w:num w:numId="2">
    <w:abstractNumId w:val="4"/>
  </w:num>
  <w:num w:numId="3">
    <w:abstractNumId w:val="5"/>
  </w:num>
  <w:num w:numId="4">
    <w:abstractNumId w:val="6"/>
  </w:num>
  <w:num w:numId="5">
    <w:abstractNumId w:val="7"/>
  </w:num>
  <w:num w:numId="6">
    <w:abstractNumId w:val="1"/>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1FC"/>
    <w:rsid w:val="00001703"/>
    <w:rsid w:val="000045B7"/>
    <w:rsid w:val="00007A12"/>
    <w:rsid w:val="00007F38"/>
    <w:rsid w:val="00015D8C"/>
    <w:rsid w:val="000170BA"/>
    <w:rsid w:val="00017C9A"/>
    <w:rsid w:val="000210AC"/>
    <w:rsid w:val="00024EE6"/>
    <w:rsid w:val="00032CA7"/>
    <w:rsid w:val="000448F9"/>
    <w:rsid w:val="000511CD"/>
    <w:rsid w:val="00072D2E"/>
    <w:rsid w:val="000732CA"/>
    <w:rsid w:val="00090056"/>
    <w:rsid w:val="000A1808"/>
    <w:rsid w:val="000A209A"/>
    <w:rsid w:val="000B6231"/>
    <w:rsid w:val="000C29EE"/>
    <w:rsid w:val="000C588B"/>
    <w:rsid w:val="000D01D7"/>
    <w:rsid w:val="000D15A6"/>
    <w:rsid w:val="000D1AF4"/>
    <w:rsid w:val="000D2752"/>
    <w:rsid w:val="000D35FD"/>
    <w:rsid w:val="000D5912"/>
    <w:rsid w:val="000E7A7D"/>
    <w:rsid w:val="000F72EE"/>
    <w:rsid w:val="00105428"/>
    <w:rsid w:val="001054B8"/>
    <w:rsid w:val="00112F5A"/>
    <w:rsid w:val="0011632C"/>
    <w:rsid w:val="00117EEE"/>
    <w:rsid w:val="001226C1"/>
    <w:rsid w:val="00125408"/>
    <w:rsid w:val="0012727F"/>
    <w:rsid w:val="00131318"/>
    <w:rsid w:val="0013196C"/>
    <w:rsid w:val="00134627"/>
    <w:rsid w:val="00140AF0"/>
    <w:rsid w:val="0014429B"/>
    <w:rsid w:val="001507CE"/>
    <w:rsid w:val="001559E7"/>
    <w:rsid w:val="00157667"/>
    <w:rsid w:val="001609FC"/>
    <w:rsid w:val="0016113B"/>
    <w:rsid w:val="00162943"/>
    <w:rsid w:val="00162A76"/>
    <w:rsid w:val="00175294"/>
    <w:rsid w:val="00176534"/>
    <w:rsid w:val="00177F8D"/>
    <w:rsid w:val="0018461B"/>
    <w:rsid w:val="00186F1C"/>
    <w:rsid w:val="00190FFC"/>
    <w:rsid w:val="001923C6"/>
    <w:rsid w:val="00192B6A"/>
    <w:rsid w:val="001A43EA"/>
    <w:rsid w:val="001A52B8"/>
    <w:rsid w:val="001B03C0"/>
    <w:rsid w:val="001B43A5"/>
    <w:rsid w:val="001B712C"/>
    <w:rsid w:val="001C0880"/>
    <w:rsid w:val="001C22CB"/>
    <w:rsid w:val="001C41C3"/>
    <w:rsid w:val="001C4D61"/>
    <w:rsid w:val="001C7229"/>
    <w:rsid w:val="001C7A18"/>
    <w:rsid w:val="001C7C84"/>
    <w:rsid w:val="001D32FA"/>
    <w:rsid w:val="001D4B98"/>
    <w:rsid w:val="001D5AC2"/>
    <w:rsid w:val="001D747F"/>
    <w:rsid w:val="001E1A97"/>
    <w:rsid w:val="001E4D38"/>
    <w:rsid w:val="001F252A"/>
    <w:rsid w:val="001F345C"/>
    <w:rsid w:val="00203C18"/>
    <w:rsid w:val="00211EE8"/>
    <w:rsid w:val="00213E55"/>
    <w:rsid w:val="002149E5"/>
    <w:rsid w:val="002204EA"/>
    <w:rsid w:val="00221309"/>
    <w:rsid w:val="00225C75"/>
    <w:rsid w:val="00226474"/>
    <w:rsid w:val="00233515"/>
    <w:rsid w:val="00237253"/>
    <w:rsid w:val="00242494"/>
    <w:rsid w:val="0025744A"/>
    <w:rsid w:val="00260A2A"/>
    <w:rsid w:val="0026479B"/>
    <w:rsid w:val="00267485"/>
    <w:rsid w:val="00267C10"/>
    <w:rsid w:val="002800DE"/>
    <w:rsid w:val="002815C8"/>
    <w:rsid w:val="0029518F"/>
    <w:rsid w:val="002A0355"/>
    <w:rsid w:val="002A0F14"/>
    <w:rsid w:val="002A46D9"/>
    <w:rsid w:val="002A4902"/>
    <w:rsid w:val="002A5ABD"/>
    <w:rsid w:val="002A6571"/>
    <w:rsid w:val="002B3A1B"/>
    <w:rsid w:val="002B7B69"/>
    <w:rsid w:val="002C426E"/>
    <w:rsid w:val="002C7ABA"/>
    <w:rsid w:val="002D16B1"/>
    <w:rsid w:val="002D68DE"/>
    <w:rsid w:val="002E21A2"/>
    <w:rsid w:val="002E35EE"/>
    <w:rsid w:val="002E6E0D"/>
    <w:rsid w:val="002E7130"/>
    <w:rsid w:val="002F41D0"/>
    <w:rsid w:val="003027D7"/>
    <w:rsid w:val="00310E17"/>
    <w:rsid w:val="003113D4"/>
    <w:rsid w:val="0031173B"/>
    <w:rsid w:val="00316A62"/>
    <w:rsid w:val="00324F65"/>
    <w:rsid w:val="003301C7"/>
    <w:rsid w:val="0033551C"/>
    <w:rsid w:val="0033624E"/>
    <w:rsid w:val="003458D7"/>
    <w:rsid w:val="00345D8D"/>
    <w:rsid w:val="00350F6B"/>
    <w:rsid w:val="00351EF9"/>
    <w:rsid w:val="00353EC3"/>
    <w:rsid w:val="0036352F"/>
    <w:rsid w:val="003649AF"/>
    <w:rsid w:val="0036673C"/>
    <w:rsid w:val="00371736"/>
    <w:rsid w:val="00372A42"/>
    <w:rsid w:val="00374EA5"/>
    <w:rsid w:val="0038144B"/>
    <w:rsid w:val="00385758"/>
    <w:rsid w:val="00387754"/>
    <w:rsid w:val="00390B37"/>
    <w:rsid w:val="0039296C"/>
    <w:rsid w:val="003A1D39"/>
    <w:rsid w:val="003A2C89"/>
    <w:rsid w:val="003A3C40"/>
    <w:rsid w:val="003B1B61"/>
    <w:rsid w:val="003B2205"/>
    <w:rsid w:val="003C4CF7"/>
    <w:rsid w:val="003D06DB"/>
    <w:rsid w:val="003D1459"/>
    <w:rsid w:val="003D3818"/>
    <w:rsid w:val="003D4FAD"/>
    <w:rsid w:val="003D50B7"/>
    <w:rsid w:val="003E33F3"/>
    <w:rsid w:val="003E4113"/>
    <w:rsid w:val="003E4995"/>
    <w:rsid w:val="003E4FDA"/>
    <w:rsid w:val="003E6F8B"/>
    <w:rsid w:val="00411B30"/>
    <w:rsid w:val="00426CB3"/>
    <w:rsid w:val="004304F2"/>
    <w:rsid w:val="00432172"/>
    <w:rsid w:val="004464FD"/>
    <w:rsid w:val="00453832"/>
    <w:rsid w:val="00454CE0"/>
    <w:rsid w:val="00456B0A"/>
    <w:rsid w:val="004674C4"/>
    <w:rsid w:val="00470E8B"/>
    <w:rsid w:val="004719B3"/>
    <w:rsid w:val="004723E9"/>
    <w:rsid w:val="00476C95"/>
    <w:rsid w:val="00482401"/>
    <w:rsid w:val="00484C9C"/>
    <w:rsid w:val="00486C5C"/>
    <w:rsid w:val="004951D7"/>
    <w:rsid w:val="0049750C"/>
    <w:rsid w:val="004A43F0"/>
    <w:rsid w:val="004A5A44"/>
    <w:rsid w:val="004A64E2"/>
    <w:rsid w:val="004A6C9C"/>
    <w:rsid w:val="004B388A"/>
    <w:rsid w:val="004B3DFE"/>
    <w:rsid w:val="004D0B24"/>
    <w:rsid w:val="004D3544"/>
    <w:rsid w:val="004D6492"/>
    <w:rsid w:val="004E1405"/>
    <w:rsid w:val="004E36C2"/>
    <w:rsid w:val="004E4B14"/>
    <w:rsid w:val="00501176"/>
    <w:rsid w:val="00507026"/>
    <w:rsid w:val="0051081D"/>
    <w:rsid w:val="00510891"/>
    <w:rsid w:val="00513BD4"/>
    <w:rsid w:val="00514E7F"/>
    <w:rsid w:val="005250EF"/>
    <w:rsid w:val="0052535A"/>
    <w:rsid w:val="00525903"/>
    <w:rsid w:val="00527A7A"/>
    <w:rsid w:val="0053111A"/>
    <w:rsid w:val="0053677C"/>
    <w:rsid w:val="00544430"/>
    <w:rsid w:val="00552E3D"/>
    <w:rsid w:val="00555B89"/>
    <w:rsid w:val="005607AD"/>
    <w:rsid w:val="00561A1E"/>
    <w:rsid w:val="00562C62"/>
    <w:rsid w:val="005633CE"/>
    <w:rsid w:val="00571ADE"/>
    <w:rsid w:val="005737C4"/>
    <w:rsid w:val="0057535C"/>
    <w:rsid w:val="00577CC1"/>
    <w:rsid w:val="005853E9"/>
    <w:rsid w:val="0059304A"/>
    <w:rsid w:val="00593EDA"/>
    <w:rsid w:val="005951EF"/>
    <w:rsid w:val="00596DDB"/>
    <w:rsid w:val="005B62C9"/>
    <w:rsid w:val="005C3DA0"/>
    <w:rsid w:val="005C7C99"/>
    <w:rsid w:val="005D0C48"/>
    <w:rsid w:val="005D11F0"/>
    <w:rsid w:val="005E1E3B"/>
    <w:rsid w:val="005E6A0A"/>
    <w:rsid w:val="005E7DD1"/>
    <w:rsid w:val="005F1571"/>
    <w:rsid w:val="005F176D"/>
    <w:rsid w:val="005F401F"/>
    <w:rsid w:val="005F6262"/>
    <w:rsid w:val="0060300C"/>
    <w:rsid w:val="00603DB3"/>
    <w:rsid w:val="006062D8"/>
    <w:rsid w:val="00611202"/>
    <w:rsid w:val="00621FD9"/>
    <w:rsid w:val="006237BE"/>
    <w:rsid w:val="00636F27"/>
    <w:rsid w:val="00640733"/>
    <w:rsid w:val="006449F6"/>
    <w:rsid w:val="00671480"/>
    <w:rsid w:val="006734A8"/>
    <w:rsid w:val="006878E9"/>
    <w:rsid w:val="00696B65"/>
    <w:rsid w:val="006B0FB4"/>
    <w:rsid w:val="006B1295"/>
    <w:rsid w:val="006B21E1"/>
    <w:rsid w:val="006C2918"/>
    <w:rsid w:val="006C572B"/>
    <w:rsid w:val="006C782C"/>
    <w:rsid w:val="006D095D"/>
    <w:rsid w:val="006E444D"/>
    <w:rsid w:val="006E73C1"/>
    <w:rsid w:val="006F1CDC"/>
    <w:rsid w:val="006F2285"/>
    <w:rsid w:val="00703AC6"/>
    <w:rsid w:val="007058EC"/>
    <w:rsid w:val="00705918"/>
    <w:rsid w:val="00710AA5"/>
    <w:rsid w:val="00715A05"/>
    <w:rsid w:val="00715B3F"/>
    <w:rsid w:val="007176A7"/>
    <w:rsid w:val="00720901"/>
    <w:rsid w:val="0072635D"/>
    <w:rsid w:val="007471C3"/>
    <w:rsid w:val="007554BB"/>
    <w:rsid w:val="00755D1D"/>
    <w:rsid w:val="00760856"/>
    <w:rsid w:val="0076501A"/>
    <w:rsid w:val="007839AE"/>
    <w:rsid w:val="00785146"/>
    <w:rsid w:val="00791779"/>
    <w:rsid w:val="007934BC"/>
    <w:rsid w:val="00794B4B"/>
    <w:rsid w:val="007A3726"/>
    <w:rsid w:val="007A5DE1"/>
    <w:rsid w:val="007B0A46"/>
    <w:rsid w:val="007B15EA"/>
    <w:rsid w:val="007C0C34"/>
    <w:rsid w:val="007C4488"/>
    <w:rsid w:val="007D3D06"/>
    <w:rsid w:val="007F4BD9"/>
    <w:rsid w:val="00800937"/>
    <w:rsid w:val="00800E12"/>
    <w:rsid w:val="00801053"/>
    <w:rsid w:val="00802AB7"/>
    <w:rsid w:val="0080610F"/>
    <w:rsid w:val="0080656B"/>
    <w:rsid w:val="008153D5"/>
    <w:rsid w:val="00815AF6"/>
    <w:rsid w:val="00821684"/>
    <w:rsid w:val="00823CA9"/>
    <w:rsid w:val="008300F9"/>
    <w:rsid w:val="0083020E"/>
    <w:rsid w:val="00831B7D"/>
    <w:rsid w:val="008350A0"/>
    <w:rsid w:val="008403A0"/>
    <w:rsid w:val="0084652E"/>
    <w:rsid w:val="00851224"/>
    <w:rsid w:val="00851327"/>
    <w:rsid w:val="00860346"/>
    <w:rsid w:val="008660E4"/>
    <w:rsid w:val="00870113"/>
    <w:rsid w:val="00873F09"/>
    <w:rsid w:val="0089621F"/>
    <w:rsid w:val="008A35EB"/>
    <w:rsid w:val="008A522F"/>
    <w:rsid w:val="008B22E2"/>
    <w:rsid w:val="008C0BE7"/>
    <w:rsid w:val="008D094B"/>
    <w:rsid w:val="008D6E1E"/>
    <w:rsid w:val="008E7588"/>
    <w:rsid w:val="008F1CA9"/>
    <w:rsid w:val="008F2ED3"/>
    <w:rsid w:val="00902581"/>
    <w:rsid w:val="00910DAD"/>
    <w:rsid w:val="00912013"/>
    <w:rsid w:val="00912D5F"/>
    <w:rsid w:val="009138B1"/>
    <w:rsid w:val="009222E3"/>
    <w:rsid w:val="00925E61"/>
    <w:rsid w:val="009322A1"/>
    <w:rsid w:val="009322FE"/>
    <w:rsid w:val="00933773"/>
    <w:rsid w:val="00934F8E"/>
    <w:rsid w:val="00946EF5"/>
    <w:rsid w:val="009524E4"/>
    <w:rsid w:val="0095287E"/>
    <w:rsid w:val="00955BE6"/>
    <w:rsid w:val="00961BC6"/>
    <w:rsid w:val="0096445C"/>
    <w:rsid w:val="0096770F"/>
    <w:rsid w:val="00973927"/>
    <w:rsid w:val="0098590A"/>
    <w:rsid w:val="0099177F"/>
    <w:rsid w:val="00991809"/>
    <w:rsid w:val="00993722"/>
    <w:rsid w:val="00994D75"/>
    <w:rsid w:val="00995789"/>
    <w:rsid w:val="00996084"/>
    <w:rsid w:val="009A1E68"/>
    <w:rsid w:val="009B2EF0"/>
    <w:rsid w:val="009B3007"/>
    <w:rsid w:val="009C408B"/>
    <w:rsid w:val="009C42BE"/>
    <w:rsid w:val="009D23BE"/>
    <w:rsid w:val="009D3518"/>
    <w:rsid w:val="009D4E98"/>
    <w:rsid w:val="009E2E86"/>
    <w:rsid w:val="009F4F6E"/>
    <w:rsid w:val="009F51A3"/>
    <w:rsid w:val="009F6C44"/>
    <w:rsid w:val="009F6CAB"/>
    <w:rsid w:val="009F6D84"/>
    <w:rsid w:val="009F7A2C"/>
    <w:rsid w:val="00A012A1"/>
    <w:rsid w:val="00A047F0"/>
    <w:rsid w:val="00A10E3D"/>
    <w:rsid w:val="00A12AAD"/>
    <w:rsid w:val="00A13D89"/>
    <w:rsid w:val="00A161FC"/>
    <w:rsid w:val="00A179E6"/>
    <w:rsid w:val="00A21FB3"/>
    <w:rsid w:val="00A36C33"/>
    <w:rsid w:val="00A47E1D"/>
    <w:rsid w:val="00A61746"/>
    <w:rsid w:val="00A71013"/>
    <w:rsid w:val="00A765E9"/>
    <w:rsid w:val="00A774FF"/>
    <w:rsid w:val="00A858F2"/>
    <w:rsid w:val="00A865ED"/>
    <w:rsid w:val="00A86C0C"/>
    <w:rsid w:val="00A963C1"/>
    <w:rsid w:val="00AA2568"/>
    <w:rsid w:val="00AB48E9"/>
    <w:rsid w:val="00AB69F3"/>
    <w:rsid w:val="00AC005D"/>
    <w:rsid w:val="00AC2252"/>
    <w:rsid w:val="00AC3D31"/>
    <w:rsid w:val="00AC47CB"/>
    <w:rsid w:val="00AC6F68"/>
    <w:rsid w:val="00AC6F95"/>
    <w:rsid w:val="00AC7895"/>
    <w:rsid w:val="00AD0A73"/>
    <w:rsid w:val="00AD6D1E"/>
    <w:rsid w:val="00AE0CFF"/>
    <w:rsid w:val="00AE19CC"/>
    <w:rsid w:val="00AE1AFA"/>
    <w:rsid w:val="00AE67A6"/>
    <w:rsid w:val="00AF1A57"/>
    <w:rsid w:val="00AF243A"/>
    <w:rsid w:val="00AF3882"/>
    <w:rsid w:val="00AF5849"/>
    <w:rsid w:val="00AF7468"/>
    <w:rsid w:val="00B00A5E"/>
    <w:rsid w:val="00B00DFD"/>
    <w:rsid w:val="00B015CE"/>
    <w:rsid w:val="00B01B60"/>
    <w:rsid w:val="00B01D48"/>
    <w:rsid w:val="00B02750"/>
    <w:rsid w:val="00B10204"/>
    <w:rsid w:val="00B13E69"/>
    <w:rsid w:val="00B151BE"/>
    <w:rsid w:val="00B22AF1"/>
    <w:rsid w:val="00B23AFE"/>
    <w:rsid w:val="00B268C3"/>
    <w:rsid w:val="00B31045"/>
    <w:rsid w:val="00B317B1"/>
    <w:rsid w:val="00B43698"/>
    <w:rsid w:val="00B4481B"/>
    <w:rsid w:val="00B45C3E"/>
    <w:rsid w:val="00B46515"/>
    <w:rsid w:val="00B47D50"/>
    <w:rsid w:val="00B61687"/>
    <w:rsid w:val="00B67BE8"/>
    <w:rsid w:val="00B72BD6"/>
    <w:rsid w:val="00B74F2D"/>
    <w:rsid w:val="00B91989"/>
    <w:rsid w:val="00B9366B"/>
    <w:rsid w:val="00B94A57"/>
    <w:rsid w:val="00BA359E"/>
    <w:rsid w:val="00BA365F"/>
    <w:rsid w:val="00BB2053"/>
    <w:rsid w:val="00BB469B"/>
    <w:rsid w:val="00BB7A38"/>
    <w:rsid w:val="00BC3D86"/>
    <w:rsid w:val="00BC46A8"/>
    <w:rsid w:val="00BC6135"/>
    <w:rsid w:val="00BC7870"/>
    <w:rsid w:val="00BD0727"/>
    <w:rsid w:val="00BD3A24"/>
    <w:rsid w:val="00BE12E8"/>
    <w:rsid w:val="00BE1AC5"/>
    <w:rsid w:val="00BE36CC"/>
    <w:rsid w:val="00BE5444"/>
    <w:rsid w:val="00BF19C3"/>
    <w:rsid w:val="00BF45A8"/>
    <w:rsid w:val="00BF4719"/>
    <w:rsid w:val="00BF4BA8"/>
    <w:rsid w:val="00C00152"/>
    <w:rsid w:val="00C1098B"/>
    <w:rsid w:val="00C15054"/>
    <w:rsid w:val="00C16C1F"/>
    <w:rsid w:val="00C23C31"/>
    <w:rsid w:val="00C3100F"/>
    <w:rsid w:val="00C36A51"/>
    <w:rsid w:val="00C371A6"/>
    <w:rsid w:val="00C4371A"/>
    <w:rsid w:val="00C51D00"/>
    <w:rsid w:val="00C531C5"/>
    <w:rsid w:val="00C60A46"/>
    <w:rsid w:val="00C63818"/>
    <w:rsid w:val="00C747B9"/>
    <w:rsid w:val="00C76006"/>
    <w:rsid w:val="00C76EA4"/>
    <w:rsid w:val="00C774F7"/>
    <w:rsid w:val="00C77C46"/>
    <w:rsid w:val="00C81EF6"/>
    <w:rsid w:val="00C82348"/>
    <w:rsid w:val="00C842D6"/>
    <w:rsid w:val="00C95F30"/>
    <w:rsid w:val="00C97AFD"/>
    <w:rsid w:val="00CA3709"/>
    <w:rsid w:val="00CB107F"/>
    <w:rsid w:val="00CB129B"/>
    <w:rsid w:val="00CB195F"/>
    <w:rsid w:val="00CB42E5"/>
    <w:rsid w:val="00CC0B0B"/>
    <w:rsid w:val="00CC6C92"/>
    <w:rsid w:val="00CD153F"/>
    <w:rsid w:val="00CD2230"/>
    <w:rsid w:val="00CD50E0"/>
    <w:rsid w:val="00CE4581"/>
    <w:rsid w:val="00CF3C1F"/>
    <w:rsid w:val="00CF3CA0"/>
    <w:rsid w:val="00CF52E1"/>
    <w:rsid w:val="00D023EC"/>
    <w:rsid w:val="00D04B4C"/>
    <w:rsid w:val="00D06B98"/>
    <w:rsid w:val="00D109CD"/>
    <w:rsid w:val="00D17C68"/>
    <w:rsid w:val="00D20120"/>
    <w:rsid w:val="00D25251"/>
    <w:rsid w:val="00D324D9"/>
    <w:rsid w:val="00D36B8A"/>
    <w:rsid w:val="00D41104"/>
    <w:rsid w:val="00D41788"/>
    <w:rsid w:val="00D4225A"/>
    <w:rsid w:val="00D4496E"/>
    <w:rsid w:val="00D45ED1"/>
    <w:rsid w:val="00D5231C"/>
    <w:rsid w:val="00D53A8F"/>
    <w:rsid w:val="00D56E82"/>
    <w:rsid w:val="00D87A81"/>
    <w:rsid w:val="00D94396"/>
    <w:rsid w:val="00D97FEA"/>
    <w:rsid w:val="00DA6D4E"/>
    <w:rsid w:val="00DB6ED1"/>
    <w:rsid w:val="00DC1928"/>
    <w:rsid w:val="00DC5B0F"/>
    <w:rsid w:val="00DD23C8"/>
    <w:rsid w:val="00DD266E"/>
    <w:rsid w:val="00DE04B8"/>
    <w:rsid w:val="00DE43DE"/>
    <w:rsid w:val="00DF1EA0"/>
    <w:rsid w:val="00DF21D8"/>
    <w:rsid w:val="00DF5062"/>
    <w:rsid w:val="00DF697E"/>
    <w:rsid w:val="00E029CC"/>
    <w:rsid w:val="00E02FC1"/>
    <w:rsid w:val="00E0581E"/>
    <w:rsid w:val="00E1130A"/>
    <w:rsid w:val="00E115E5"/>
    <w:rsid w:val="00E2149E"/>
    <w:rsid w:val="00E22081"/>
    <w:rsid w:val="00E22DD4"/>
    <w:rsid w:val="00E2646E"/>
    <w:rsid w:val="00E3061F"/>
    <w:rsid w:val="00E3493F"/>
    <w:rsid w:val="00E35C74"/>
    <w:rsid w:val="00E4264C"/>
    <w:rsid w:val="00E456CE"/>
    <w:rsid w:val="00E522E1"/>
    <w:rsid w:val="00E574D3"/>
    <w:rsid w:val="00E57A75"/>
    <w:rsid w:val="00E60731"/>
    <w:rsid w:val="00E64184"/>
    <w:rsid w:val="00E73399"/>
    <w:rsid w:val="00E748EC"/>
    <w:rsid w:val="00E74CB1"/>
    <w:rsid w:val="00E7573D"/>
    <w:rsid w:val="00E809AC"/>
    <w:rsid w:val="00E821CF"/>
    <w:rsid w:val="00E82A07"/>
    <w:rsid w:val="00E85911"/>
    <w:rsid w:val="00E931F1"/>
    <w:rsid w:val="00E97B60"/>
    <w:rsid w:val="00EA3075"/>
    <w:rsid w:val="00EA32E7"/>
    <w:rsid w:val="00EB0A55"/>
    <w:rsid w:val="00EB1E5C"/>
    <w:rsid w:val="00EB4B06"/>
    <w:rsid w:val="00ED1DE9"/>
    <w:rsid w:val="00EE0157"/>
    <w:rsid w:val="00EE27E6"/>
    <w:rsid w:val="00EE4399"/>
    <w:rsid w:val="00F0368B"/>
    <w:rsid w:val="00F072C1"/>
    <w:rsid w:val="00F07693"/>
    <w:rsid w:val="00F10369"/>
    <w:rsid w:val="00F17DEA"/>
    <w:rsid w:val="00F20530"/>
    <w:rsid w:val="00F24120"/>
    <w:rsid w:val="00F35137"/>
    <w:rsid w:val="00F36946"/>
    <w:rsid w:val="00F43286"/>
    <w:rsid w:val="00F51F91"/>
    <w:rsid w:val="00F561E9"/>
    <w:rsid w:val="00F57CF8"/>
    <w:rsid w:val="00F57DCD"/>
    <w:rsid w:val="00F6318B"/>
    <w:rsid w:val="00F704E3"/>
    <w:rsid w:val="00F76ED2"/>
    <w:rsid w:val="00F87332"/>
    <w:rsid w:val="00F95A5B"/>
    <w:rsid w:val="00F962FE"/>
    <w:rsid w:val="00F9789E"/>
    <w:rsid w:val="00FA0000"/>
    <w:rsid w:val="00FA1C7D"/>
    <w:rsid w:val="00FA3DCE"/>
    <w:rsid w:val="00FB00E1"/>
    <w:rsid w:val="00FC08D1"/>
    <w:rsid w:val="00FC1111"/>
    <w:rsid w:val="00FC3BB8"/>
    <w:rsid w:val="00FC4AC1"/>
    <w:rsid w:val="00FC61C8"/>
    <w:rsid w:val="00FC6382"/>
    <w:rsid w:val="00FD2C62"/>
    <w:rsid w:val="00FD464D"/>
    <w:rsid w:val="00FE1B41"/>
    <w:rsid w:val="00FF21F2"/>
    <w:rsid w:val="00FF2B84"/>
    <w:rsid w:val="00FF339E"/>
    <w:rsid w:val="00FF47AD"/>
    <w:rsid w:val="00FF698C"/>
    <w:rsid w:val="1BC72B84"/>
    <w:rsid w:val="1E7D7372"/>
    <w:rsid w:val="4FAF6015"/>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iPriority="9" w:name="heading 6"/>
    <w:lsdException w:qFormat="1" w:unhideWhenUsed="0" w:uiPriority="99" w:semiHidden="0" w:name="heading 7"/>
    <w:lsdException w:qFormat="1" w:unhideWhenUsed="0" w:uiPriority="99" w:semiHidden="0"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semiHidden="0" w:name="annotation text"/>
    <w:lsdException w:qFormat="1" w:uiPriority="99" w:semiHidden="0" w:name="header"/>
    <w:lsdException w:qFormat="1" w:unhideWhenUsed="0" w:uiPriority="99" w:semiHidden="0" w:name="footer"/>
    <w:lsdException w:qFormat="1" w:unhideWhenUsed="0" w:uiPriority="99"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qFormat="1" w:unhideWhenUsed="0" w:uiPriority="99" w:semiHidden="0" w:name="table of authorities"/>
    <w:lsdException w:uiPriority="99" w:name="macro"/>
    <w:lsdException w:uiPriority="99" w:name="toa heading"/>
    <w:lsdException w:uiPriority="99" w:name="List"/>
    <w:lsdException w:qFormat="1" w:unhideWhenUsed="0" w:uiPriority="99" w:semiHidden="0" w:name="List Bullet"/>
    <w:lsdException w:qFormat="1" w:unhideWhenUsed="0" w:uiPriority="99" w:semiHidden="0" w:name="List Number"/>
    <w:lsdException w:uiPriority="99" w:name="List 2"/>
    <w:lsdException w:uiPriority="99" w:name="List 3"/>
    <w:lsdException w:uiPriority="99" w:name="List 4"/>
    <w:lsdException w:uiPriority="99" w:name="List 5"/>
    <w:lsdException w:qFormat="1" w:unhideWhenUsed="0" w:uiPriority="99" w:semiHidden="0" w:name="List Bullet 2"/>
    <w:lsdException w:qFormat="1" w:unhideWhenUsed="0" w:uiPriority="99" w:semiHidden="0" w:name="List Bullet 3"/>
    <w:lsdException w:uiPriority="99" w:name="List Bullet 4"/>
    <w:lsdException w:qFormat="1" w:unhideWhenUsed="0" w:uiPriority="99" w:semiHidden="0" w:name="List Bullet 5"/>
    <w:lsdException w:qFormat="1" w:unhideWhenUsed="0" w:uiPriority="99" w:semiHidden="0"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99" w:semiHidden="0" w:name="Body Text First Indent"/>
    <w:lsdException w:uiPriority="99" w:name="Body Text First Indent 2"/>
    <w:lsdException w:uiPriority="99" w:name="Note Heading"/>
    <w:lsdException w:uiPriority="99"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46"/>
    <w:autoRedefine/>
    <w:qFormat/>
    <w:uiPriority w:val="99"/>
    <w:pPr>
      <w:keepNext/>
      <w:keepLines/>
      <w:jc w:val="center"/>
      <w:outlineLvl w:val="0"/>
    </w:pPr>
    <w:rPr>
      <w:rFonts w:eastAsiaTheme="minorEastAsia"/>
      <w:kern w:val="44"/>
      <w:szCs w:val="21"/>
    </w:rPr>
  </w:style>
  <w:style w:type="paragraph" w:styleId="3">
    <w:name w:val="heading 2"/>
    <w:basedOn w:val="1"/>
    <w:next w:val="1"/>
    <w:link w:val="47"/>
    <w:autoRedefine/>
    <w:qFormat/>
    <w:uiPriority w:val="99"/>
    <w:pPr>
      <w:keepNext/>
      <w:keepLines/>
      <w:ind w:firstLine="2844" w:firstLineChars="1349"/>
      <w:jc w:val="center"/>
      <w:outlineLvl w:val="1"/>
    </w:pPr>
    <w:rPr>
      <w:rFonts w:ascii="宋体" w:hAnsi="宋体"/>
      <w:b/>
      <w:kern w:val="0"/>
      <w:sz w:val="24"/>
      <w:szCs w:val="24"/>
    </w:rPr>
  </w:style>
  <w:style w:type="paragraph" w:styleId="4">
    <w:name w:val="heading 3"/>
    <w:basedOn w:val="1"/>
    <w:next w:val="1"/>
    <w:link w:val="48"/>
    <w:autoRedefine/>
    <w:qFormat/>
    <w:uiPriority w:val="99"/>
    <w:pPr>
      <w:keepNext/>
      <w:widowControl/>
      <w:spacing w:before="120" w:line="240" w:lineRule="atLeast"/>
      <w:ind w:left="567" w:hanging="567"/>
      <w:outlineLvl w:val="2"/>
    </w:pPr>
    <w:rPr>
      <w:rFonts w:ascii="宋体" w:hAnsi="宋体"/>
      <w:b/>
      <w:bCs/>
      <w:kern w:val="0"/>
      <w:szCs w:val="21"/>
    </w:rPr>
  </w:style>
  <w:style w:type="paragraph" w:styleId="5">
    <w:name w:val="heading 4"/>
    <w:basedOn w:val="1"/>
    <w:next w:val="1"/>
    <w:link w:val="49"/>
    <w:autoRedefine/>
    <w:qFormat/>
    <w:uiPriority w:val="99"/>
    <w:pPr>
      <w:keepNext/>
      <w:keepLines/>
      <w:spacing w:before="40" w:after="50"/>
      <w:jc w:val="left"/>
      <w:outlineLvl w:val="3"/>
    </w:pPr>
    <w:rPr>
      <w:rFonts w:ascii="华文中宋" w:hAnsi="华文中宋" w:eastAsia="华文中宋"/>
      <w:b/>
      <w:bCs/>
      <w:sz w:val="24"/>
      <w:szCs w:val="28"/>
    </w:rPr>
  </w:style>
  <w:style w:type="paragraph" w:styleId="6">
    <w:name w:val="heading 5"/>
    <w:basedOn w:val="1"/>
    <w:next w:val="1"/>
    <w:link w:val="50"/>
    <w:autoRedefine/>
    <w:qFormat/>
    <w:uiPriority w:val="99"/>
    <w:pPr>
      <w:keepNext/>
      <w:keepLines/>
      <w:spacing w:before="120" w:after="120"/>
      <w:ind w:firstLine="424" w:firstLineChars="192"/>
      <w:outlineLvl w:val="4"/>
    </w:pPr>
    <w:rPr>
      <w:rFonts w:ascii="Arial" w:hAnsi="Arial" w:eastAsia="新宋体"/>
      <w:b/>
      <w:bCs/>
      <w:kern w:val="0"/>
      <w:sz w:val="22"/>
    </w:rPr>
  </w:style>
  <w:style w:type="paragraph" w:styleId="7">
    <w:name w:val="heading 7"/>
    <w:basedOn w:val="1"/>
    <w:next w:val="1"/>
    <w:link w:val="51"/>
    <w:qFormat/>
    <w:uiPriority w:val="99"/>
    <w:pPr>
      <w:keepNext/>
      <w:keepLines/>
      <w:spacing w:before="240" w:after="64" w:line="320" w:lineRule="auto"/>
      <w:outlineLvl w:val="6"/>
    </w:pPr>
    <w:rPr>
      <w:rFonts w:ascii="Calibri" w:hAnsi="Calibri"/>
      <w:b/>
      <w:bCs/>
      <w:sz w:val="24"/>
      <w:szCs w:val="24"/>
    </w:rPr>
  </w:style>
  <w:style w:type="paragraph" w:styleId="8">
    <w:name w:val="heading 8"/>
    <w:basedOn w:val="1"/>
    <w:next w:val="1"/>
    <w:link w:val="52"/>
    <w:qFormat/>
    <w:uiPriority w:val="99"/>
    <w:pPr>
      <w:keepNext/>
      <w:keepLines/>
      <w:spacing w:before="240" w:after="64" w:line="320" w:lineRule="auto"/>
      <w:outlineLvl w:val="7"/>
    </w:pPr>
    <w:rPr>
      <w:rFonts w:ascii="Calibri" w:hAnsi="Calibri"/>
      <w:sz w:val="24"/>
      <w:szCs w:val="24"/>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9">
    <w:name w:val="List Number 2"/>
    <w:basedOn w:val="1"/>
    <w:qFormat/>
    <w:uiPriority w:val="99"/>
    <w:pPr>
      <w:numPr>
        <w:ilvl w:val="0"/>
        <w:numId w:val="1"/>
      </w:numPr>
    </w:pPr>
    <w:rPr>
      <w:rFonts w:ascii="Calibri" w:hAnsi="Calibri"/>
      <w:szCs w:val="24"/>
    </w:rPr>
  </w:style>
  <w:style w:type="paragraph" w:styleId="10">
    <w:name w:val="table of authorities"/>
    <w:basedOn w:val="1"/>
    <w:next w:val="1"/>
    <w:qFormat/>
    <w:uiPriority w:val="99"/>
    <w:pPr>
      <w:ind w:left="420" w:leftChars="200"/>
    </w:pPr>
    <w:rPr>
      <w:szCs w:val="24"/>
    </w:rPr>
  </w:style>
  <w:style w:type="paragraph" w:styleId="11">
    <w:name w:val="List Number"/>
    <w:basedOn w:val="1"/>
    <w:qFormat/>
    <w:uiPriority w:val="99"/>
    <w:pPr>
      <w:numPr>
        <w:ilvl w:val="0"/>
        <w:numId w:val="2"/>
      </w:numPr>
    </w:pPr>
    <w:rPr>
      <w:rFonts w:ascii="Calibri" w:hAnsi="Calibri"/>
      <w:szCs w:val="24"/>
    </w:rPr>
  </w:style>
  <w:style w:type="paragraph" w:styleId="12">
    <w:name w:val="Normal Indent"/>
    <w:basedOn w:val="1"/>
    <w:link w:val="68"/>
    <w:qFormat/>
    <w:uiPriority w:val="99"/>
    <w:pPr>
      <w:ind w:firstLine="420" w:firstLineChars="200"/>
    </w:pPr>
    <w:rPr>
      <w:kern w:val="0"/>
      <w:sz w:val="20"/>
    </w:rPr>
  </w:style>
  <w:style w:type="paragraph" w:styleId="13">
    <w:name w:val="List Bullet"/>
    <w:basedOn w:val="1"/>
    <w:qFormat/>
    <w:uiPriority w:val="99"/>
    <w:pPr>
      <w:numPr>
        <w:ilvl w:val="0"/>
        <w:numId w:val="3"/>
      </w:numPr>
    </w:pPr>
    <w:rPr>
      <w:rFonts w:ascii="Calibri" w:hAnsi="Calibri"/>
      <w:szCs w:val="24"/>
    </w:rPr>
  </w:style>
  <w:style w:type="paragraph" w:styleId="14">
    <w:name w:val="Document Map"/>
    <w:basedOn w:val="1"/>
    <w:link w:val="69"/>
    <w:semiHidden/>
    <w:qFormat/>
    <w:uiPriority w:val="99"/>
    <w:rPr>
      <w:rFonts w:ascii="宋体"/>
      <w:kern w:val="0"/>
      <w:sz w:val="18"/>
      <w:szCs w:val="18"/>
    </w:rPr>
  </w:style>
  <w:style w:type="paragraph" w:styleId="15">
    <w:name w:val="annotation text"/>
    <w:basedOn w:val="1"/>
    <w:link w:val="70"/>
    <w:qFormat/>
    <w:uiPriority w:val="99"/>
    <w:pPr>
      <w:jc w:val="left"/>
    </w:pPr>
    <w:rPr>
      <w:kern w:val="0"/>
      <w:sz w:val="20"/>
      <w:szCs w:val="24"/>
    </w:rPr>
  </w:style>
  <w:style w:type="paragraph" w:styleId="16">
    <w:name w:val="Body Text 3"/>
    <w:basedOn w:val="1"/>
    <w:link w:val="71"/>
    <w:qFormat/>
    <w:uiPriority w:val="99"/>
    <w:pPr>
      <w:widowControl/>
      <w:spacing w:after="120"/>
      <w:jc w:val="left"/>
    </w:pPr>
    <w:rPr>
      <w:kern w:val="0"/>
      <w:sz w:val="16"/>
      <w:szCs w:val="16"/>
      <w:lang w:eastAsia="en-US"/>
    </w:rPr>
  </w:style>
  <w:style w:type="paragraph" w:styleId="17">
    <w:name w:val="List Bullet 3"/>
    <w:basedOn w:val="1"/>
    <w:qFormat/>
    <w:uiPriority w:val="99"/>
    <w:pPr>
      <w:numPr>
        <w:ilvl w:val="0"/>
        <w:numId w:val="4"/>
      </w:numPr>
    </w:pPr>
    <w:rPr>
      <w:rFonts w:ascii="Calibri" w:hAnsi="Calibri"/>
      <w:szCs w:val="24"/>
    </w:rPr>
  </w:style>
  <w:style w:type="paragraph" w:styleId="18">
    <w:name w:val="Body Text"/>
    <w:basedOn w:val="1"/>
    <w:link w:val="72"/>
    <w:qFormat/>
    <w:uiPriority w:val="99"/>
    <w:pPr>
      <w:adjustRightInd w:val="0"/>
      <w:spacing w:line="315" w:lineRule="atLeast"/>
      <w:jc w:val="left"/>
    </w:pPr>
    <w:rPr>
      <w:rFonts w:ascii="仿宋_GB2312" w:eastAsia="仿宋_GB2312"/>
      <w:kern w:val="0"/>
      <w:sz w:val="28"/>
    </w:rPr>
  </w:style>
  <w:style w:type="paragraph" w:styleId="19">
    <w:name w:val="Body Text Indent"/>
    <w:basedOn w:val="1"/>
    <w:link w:val="73"/>
    <w:qFormat/>
    <w:uiPriority w:val="99"/>
    <w:pPr>
      <w:spacing w:after="120"/>
      <w:ind w:left="420" w:leftChars="200"/>
    </w:pPr>
    <w:rPr>
      <w:kern w:val="0"/>
      <w:sz w:val="20"/>
      <w:szCs w:val="24"/>
    </w:rPr>
  </w:style>
  <w:style w:type="paragraph" w:styleId="20">
    <w:name w:val="List Bullet 2"/>
    <w:basedOn w:val="1"/>
    <w:qFormat/>
    <w:uiPriority w:val="99"/>
    <w:pPr>
      <w:numPr>
        <w:ilvl w:val="0"/>
        <w:numId w:val="5"/>
      </w:numPr>
    </w:pPr>
    <w:rPr>
      <w:rFonts w:ascii="Calibri" w:hAnsi="Calibri"/>
      <w:szCs w:val="24"/>
    </w:rPr>
  </w:style>
  <w:style w:type="paragraph" w:styleId="21">
    <w:name w:val="toc 3"/>
    <w:basedOn w:val="1"/>
    <w:next w:val="1"/>
    <w:autoRedefine/>
    <w:qFormat/>
    <w:uiPriority w:val="99"/>
    <w:pPr>
      <w:ind w:left="840" w:leftChars="400"/>
    </w:pPr>
    <w:rPr>
      <w:szCs w:val="24"/>
    </w:rPr>
  </w:style>
  <w:style w:type="paragraph" w:styleId="22">
    <w:name w:val="Plain Text"/>
    <w:basedOn w:val="1"/>
    <w:link w:val="53"/>
    <w:qFormat/>
    <w:uiPriority w:val="99"/>
    <w:rPr>
      <w:rFonts w:ascii="宋体" w:hAnsi="Courier New" w:cstheme="minorBidi"/>
      <w:szCs w:val="22"/>
    </w:rPr>
  </w:style>
  <w:style w:type="paragraph" w:styleId="23">
    <w:name w:val="List Bullet 5"/>
    <w:basedOn w:val="1"/>
    <w:link w:val="74"/>
    <w:qFormat/>
    <w:uiPriority w:val="99"/>
    <w:pPr>
      <w:tabs>
        <w:tab w:val="left" w:pos="1255"/>
        <w:tab w:val="left" w:pos="2040"/>
      </w:tabs>
      <w:ind w:left="1255" w:hanging="975"/>
    </w:pPr>
    <w:rPr>
      <w:rFonts w:ascii="Calibri" w:hAnsi="Calibri"/>
    </w:rPr>
  </w:style>
  <w:style w:type="paragraph" w:styleId="24">
    <w:name w:val="Date"/>
    <w:basedOn w:val="1"/>
    <w:next w:val="1"/>
    <w:link w:val="75"/>
    <w:qFormat/>
    <w:uiPriority w:val="99"/>
    <w:pPr>
      <w:ind w:left="100" w:leftChars="2500"/>
    </w:pPr>
    <w:rPr>
      <w:kern w:val="0"/>
      <w:sz w:val="20"/>
      <w:szCs w:val="24"/>
    </w:rPr>
  </w:style>
  <w:style w:type="paragraph" w:styleId="25">
    <w:name w:val="Body Text Indent 2"/>
    <w:basedOn w:val="1"/>
    <w:link w:val="76"/>
    <w:qFormat/>
    <w:uiPriority w:val="99"/>
    <w:pPr>
      <w:spacing w:after="120" w:line="480" w:lineRule="auto"/>
      <w:ind w:left="420" w:leftChars="200"/>
    </w:pPr>
    <w:rPr>
      <w:kern w:val="0"/>
      <w:sz w:val="20"/>
      <w:szCs w:val="24"/>
    </w:rPr>
  </w:style>
  <w:style w:type="paragraph" w:styleId="26">
    <w:name w:val="Balloon Text"/>
    <w:basedOn w:val="1"/>
    <w:link w:val="54"/>
    <w:unhideWhenUsed/>
    <w:qFormat/>
    <w:uiPriority w:val="99"/>
    <w:rPr>
      <w:sz w:val="18"/>
      <w:szCs w:val="18"/>
    </w:rPr>
  </w:style>
  <w:style w:type="paragraph" w:styleId="27">
    <w:name w:val="footer"/>
    <w:basedOn w:val="1"/>
    <w:link w:val="55"/>
    <w:qFormat/>
    <w:uiPriority w:val="99"/>
    <w:pPr>
      <w:tabs>
        <w:tab w:val="center" w:pos="4153"/>
        <w:tab w:val="right" w:pos="8306"/>
      </w:tabs>
      <w:snapToGrid w:val="0"/>
      <w:jc w:val="left"/>
    </w:pPr>
    <w:rPr>
      <w:rFonts w:asciiTheme="minorHAnsi" w:hAnsiTheme="minorHAnsi" w:eastAsiaTheme="minorEastAsia" w:cstheme="minorBidi"/>
      <w:sz w:val="18"/>
      <w:szCs w:val="22"/>
    </w:rPr>
  </w:style>
  <w:style w:type="paragraph" w:styleId="28">
    <w:name w:val="header"/>
    <w:basedOn w:val="1"/>
    <w:link w:val="56"/>
    <w:unhideWhenUsed/>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uiPriority w:val="99"/>
    <w:rPr>
      <w:szCs w:val="24"/>
    </w:rPr>
  </w:style>
  <w:style w:type="paragraph" w:styleId="30">
    <w:name w:val="toc 4"/>
    <w:basedOn w:val="1"/>
    <w:next w:val="1"/>
    <w:qFormat/>
    <w:uiPriority w:val="99"/>
    <w:pPr>
      <w:ind w:left="630"/>
      <w:jc w:val="left"/>
    </w:pPr>
    <w:rPr>
      <w:rFonts w:ascii="Calibri" w:hAnsi="Calibri"/>
      <w:sz w:val="18"/>
      <w:szCs w:val="18"/>
    </w:rPr>
  </w:style>
  <w:style w:type="paragraph" w:styleId="31">
    <w:name w:val="index heading"/>
    <w:basedOn w:val="1"/>
    <w:next w:val="32"/>
    <w:qFormat/>
    <w:uiPriority w:val="99"/>
    <w:rPr>
      <w:sz w:val="28"/>
    </w:rPr>
  </w:style>
  <w:style w:type="paragraph" w:styleId="32">
    <w:name w:val="index 1"/>
    <w:basedOn w:val="1"/>
    <w:next w:val="1"/>
    <w:autoRedefine/>
    <w:semiHidden/>
    <w:unhideWhenUsed/>
    <w:qFormat/>
    <w:uiPriority w:val="99"/>
  </w:style>
  <w:style w:type="paragraph" w:styleId="33">
    <w:name w:val="Body Text Indent 3"/>
    <w:basedOn w:val="1"/>
    <w:link w:val="77"/>
    <w:qFormat/>
    <w:uiPriority w:val="99"/>
    <w:pPr>
      <w:spacing w:line="400" w:lineRule="exact"/>
      <w:ind w:left="1169" w:leftChars="172" w:hanging="808" w:hangingChars="385"/>
    </w:pPr>
    <w:rPr>
      <w:rFonts w:ascii="宋体" w:hAnsi="宋体"/>
      <w:kern w:val="0"/>
      <w:sz w:val="20"/>
      <w:szCs w:val="21"/>
    </w:rPr>
  </w:style>
  <w:style w:type="paragraph" w:styleId="34">
    <w:name w:val="toc 2"/>
    <w:basedOn w:val="1"/>
    <w:next w:val="1"/>
    <w:autoRedefine/>
    <w:qFormat/>
    <w:uiPriority w:val="99"/>
    <w:pPr>
      <w:tabs>
        <w:tab w:val="right" w:leader="hyphen" w:pos="8647"/>
      </w:tabs>
      <w:spacing w:line="360" w:lineRule="auto"/>
      <w:ind w:left="150" w:leftChars="150"/>
      <w:jc w:val="left"/>
    </w:pPr>
    <w:rPr>
      <w:szCs w:val="24"/>
    </w:rPr>
  </w:style>
  <w:style w:type="paragraph" w:styleId="35">
    <w:name w:val="HTML Preformatted"/>
    <w:basedOn w:val="1"/>
    <w:link w:val="78"/>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36">
    <w:name w:val="Normal (Web)"/>
    <w:basedOn w:val="1"/>
    <w:uiPriority w:val="99"/>
    <w:pPr>
      <w:widowControl/>
      <w:spacing w:before="100" w:beforeAutospacing="1" w:after="100" w:afterAutospacing="1"/>
      <w:jc w:val="left"/>
    </w:pPr>
    <w:rPr>
      <w:rFonts w:ascii="宋体" w:hAnsi="宋体" w:cs="宋体"/>
      <w:kern w:val="0"/>
      <w:sz w:val="24"/>
      <w:szCs w:val="24"/>
    </w:rPr>
  </w:style>
  <w:style w:type="paragraph" w:styleId="37">
    <w:name w:val="Title"/>
    <w:basedOn w:val="1"/>
    <w:link w:val="57"/>
    <w:qFormat/>
    <w:uiPriority w:val="99"/>
    <w:pPr>
      <w:spacing w:before="240" w:after="60"/>
      <w:jc w:val="center"/>
      <w:outlineLvl w:val="0"/>
    </w:pPr>
    <w:rPr>
      <w:rFonts w:ascii="Arial" w:hAnsi="Arial" w:cs="Arial"/>
      <w:b/>
      <w:bCs/>
      <w:sz w:val="32"/>
      <w:szCs w:val="32"/>
    </w:rPr>
  </w:style>
  <w:style w:type="paragraph" w:styleId="38">
    <w:name w:val="annotation subject"/>
    <w:basedOn w:val="15"/>
    <w:next w:val="15"/>
    <w:link w:val="79"/>
    <w:qFormat/>
    <w:uiPriority w:val="99"/>
    <w:rPr>
      <w:b/>
      <w:bCs/>
    </w:rPr>
  </w:style>
  <w:style w:type="paragraph" w:styleId="39">
    <w:name w:val="Body Text First Indent"/>
    <w:basedOn w:val="18"/>
    <w:link w:val="80"/>
    <w:qFormat/>
    <w:uiPriority w:val="99"/>
    <w:pPr>
      <w:adjustRightInd/>
      <w:spacing w:after="120" w:line="240" w:lineRule="auto"/>
      <w:ind w:firstLine="420" w:firstLineChars="100"/>
      <w:jc w:val="both"/>
    </w:pPr>
    <w:rPr>
      <w:rFonts w:ascii="Calibri" w:hAnsi="Calibri" w:eastAsia="宋体"/>
      <w:kern w:val="2"/>
      <w:sz w:val="21"/>
      <w:szCs w:val="24"/>
    </w:rPr>
  </w:style>
  <w:style w:type="table" w:styleId="41">
    <w:name w:val="Table Grid"/>
    <w:basedOn w:val="40"/>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qFormat/>
    <w:uiPriority w:val="22"/>
    <w:rPr>
      <w:rFonts w:cs="Times New Roman"/>
      <w:b/>
    </w:rPr>
  </w:style>
  <w:style w:type="character" w:styleId="44">
    <w:name w:val="FollowedHyperlink"/>
    <w:basedOn w:val="42"/>
    <w:semiHidden/>
    <w:unhideWhenUsed/>
    <w:uiPriority w:val="99"/>
    <w:rPr>
      <w:color w:val="800080" w:themeColor="followedHyperlink"/>
      <w:u w:val="single"/>
      <w14:textFill>
        <w14:solidFill>
          <w14:schemeClr w14:val="folHlink"/>
        </w14:solidFill>
      </w14:textFill>
    </w:rPr>
  </w:style>
  <w:style w:type="character" w:styleId="45">
    <w:name w:val="Hyperlink"/>
    <w:qFormat/>
    <w:uiPriority w:val="99"/>
    <w:rPr>
      <w:rFonts w:cs="Times New Roman"/>
      <w:color w:val="0000FF"/>
      <w:u w:val="single"/>
    </w:rPr>
  </w:style>
  <w:style w:type="character" w:customStyle="1" w:styleId="46">
    <w:name w:val="标题 1 Char"/>
    <w:basedOn w:val="42"/>
    <w:link w:val="2"/>
    <w:qFormat/>
    <w:uiPriority w:val="99"/>
    <w:rPr>
      <w:rFonts w:ascii="Times New Roman" w:hAnsi="Times New Roman" w:cs="Times New Roman"/>
      <w:kern w:val="44"/>
      <w:sz w:val="21"/>
      <w:szCs w:val="21"/>
    </w:rPr>
  </w:style>
  <w:style w:type="character" w:customStyle="1" w:styleId="47">
    <w:name w:val="标题 2 Char"/>
    <w:basedOn w:val="42"/>
    <w:link w:val="3"/>
    <w:qFormat/>
    <w:uiPriority w:val="99"/>
    <w:rPr>
      <w:rFonts w:ascii="宋体" w:hAnsi="宋体" w:eastAsia="宋体" w:cs="Times New Roman"/>
      <w:b/>
      <w:sz w:val="24"/>
      <w:szCs w:val="24"/>
    </w:rPr>
  </w:style>
  <w:style w:type="character" w:customStyle="1" w:styleId="48">
    <w:name w:val="标题 3 Char"/>
    <w:basedOn w:val="42"/>
    <w:link w:val="4"/>
    <w:qFormat/>
    <w:uiPriority w:val="99"/>
    <w:rPr>
      <w:rFonts w:ascii="宋体" w:hAnsi="宋体" w:eastAsia="宋体" w:cs="Times New Roman"/>
      <w:b/>
      <w:bCs/>
      <w:sz w:val="21"/>
      <w:szCs w:val="21"/>
    </w:rPr>
  </w:style>
  <w:style w:type="character" w:customStyle="1" w:styleId="49">
    <w:name w:val="标题 4 Char"/>
    <w:basedOn w:val="42"/>
    <w:link w:val="5"/>
    <w:qFormat/>
    <w:uiPriority w:val="99"/>
    <w:rPr>
      <w:rFonts w:ascii="华文中宋" w:hAnsi="华文中宋" w:eastAsia="华文中宋" w:cs="Times New Roman"/>
      <w:b/>
      <w:bCs/>
      <w:kern w:val="2"/>
      <w:sz w:val="24"/>
      <w:szCs w:val="28"/>
    </w:rPr>
  </w:style>
  <w:style w:type="character" w:customStyle="1" w:styleId="50">
    <w:name w:val="标题 5 Char"/>
    <w:basedOn w:val="42"/>
    <w:link w:val="6"/>
    <w:qFormat/>
    <w:uiPriority w:val="99"/>
    <w:rPr>
      <w:rFonts w:ascii="Arial" w:hAnsi="Arial" w:eastAsia="新宋体" w:cs="Times New Roman"/>
      <w:b/>
      <w:bCs/>
      <w:sz w:val="22"/>
    </w:rPr>
  </w:style>
  <w:style w:type="character" w:customStyle="1" w:styleId="51">
    <w:name w:val="标题 7 Char"/>
    <w:basedOn w:val="42"/>
    <w:link w:val="7"/>
    <w:qFormat/>
    <w:uiPriority w:val="99"/>
    <w:rPr>
      <w:rFonts w:ascii="Calibri" w:hAnsi="Calibri" w:eastAsia="宋体" w:cs="Times New Roman"/>
      <w:b/>
      <w:bCs/>
      <w:kern w:val="2"/>
      <w:sz w:val="24"/>
      <w:szCs w:val="24"/>
    </w:rPr>
  </w:style>
  <w:style w:type="character" w:customStyle="1" w:styleId="52">
    <w:name w:val="标题 8 Char"/>
    <w:basedOn w:val="42"/>
    <w:link w:val="8"/>
    <w:qFormat/>
    <w:uiPriority w:val="99"/>
    <w:rPr>
      <w:rFonts w:ascii="Calibri" w:hAnsi="Calibri" w:eastAsia="宋体" w:cs="Times New Roman"/>
      <w:kern w:val="2"/>
      <w:sz w:val="24"/>
      <w:szCs w:val="24"/>
    </w:rPr>
  </w:style>
  <w:style w:type="character" w:customStyle="1" w:styleId="53">
    <w:name w:val="纯文本 Char1"/>
    <w:link w:val="22"/>
    <w:qFormat/>
    <w:uiPriority w:val="99"/>
    <w:rPr>
      <w:rFonts w:ascii="宋体" w:hAnsi="Courier New" w:eastAsia="宋体"/>
    </w:rPr>
  </w:style>
  <w:style w:type="character" w:customStyle="1" w:styleId="54">
    <w:name w:val="批注框文本 Char"/>
    <w:basedOn w:val="42"/>
    <w:link w:val="26"/>
    <w:qFormat/>
    <w:uiPriority w:val="99"/>
    <w:rPr>
      <w:rFonts w:ascii="Times New Roman" w:hAnsi="Times New Roman" w:eastAsia="宋体" w:cs="Times New Roman"/>
      <w:sz w:val="18"/>
      <w:szCs w:val="18"/>
    </w:rPr>
  </w:style>
  <w:style w:type="character" w:customStyle="1" w:styleId="55">
    <w:name w:val="页脚 Char1"/>
    <w:link w:val="27"/>
    <w:qFormat/>
    <w:uiPriority w:val="99"/>
    <w:rPr>
      <w:sz w:val="18"/>
    </w:rPr>
  </w:style>
  <w:style w:type="character" w:customStyle="1" w:styleId="56">
    <w:name w:val="页眉 Char"/>
    <w:basedOn w:val="42"/>
    <w:link w:val="28"/>
    <w:qFormat/>
    <w:uiPriority w:val="99"/>
    <w:rPr>
      <w:rFonts w:ascii="Times New Roman" w:hAnsi="Times New Roman" w:eastAsia="宋体" w:cs="Times New Roman"/>
      <w:sz w:val="18"/>
      <w:szCs w:val="18"/>
    </w:rPr>
  </w:style>
  <w:style w:type="character" w:customStyle="1" w:styleId="57">
    <w:name w:val="标题 Char1"/>
    <w:link w:val="37"/>
    <w:qFormat/>
    <w:uiPriority w:val="99"/>
    <w:rPr>
      <w:rFonts w:ascii="Arial" w:hAnsi="Arial" w:eastAsia="宋体" w:cs="Arial"/>
      <w:b/>
      <w:bCs/>
      <w:sz w:val="32"/>
      <w:szCs w:val="32"/>
    </w:rPr>
  </w:style>
  <w:style w:type="character" w:customStyle="1" w:styleId="58">
    <w:name w:val="页脚 Char"/>
    <w:basedOn w:val="42"/>
    <w:semiHidden/>
    <w:qFormat/>
    <w:uiPriority w:val="99"/>
    <w:rPr>
      <w:rFonts w:ascii="Times New Roman" w:hAnsi="Times New Roman" w:eastAsia="宋体" w:cs="Times New Roman"/>
      <w:sz w:val="18"/>
      <w:szCs w:val="18"/>
    </w:rPr>
  </w:style>
  <w:style w:type="character" w:customStyle="1" w:styleId="59">
    <w:name w:val="标题 Char"/>
    <w:basedOn w:val="42"/>
    <w:qFormat/>
    <w:uiPriority w:val="10"/>
    <w:rPr>
      <w:rFonts w:eastAsia="宋体" w:asciiTheme="majorHAnsi" w:hAnsiTheme="majorHAnsi" w:cstheme="majorBidi"/>
      <w:b/>
      <w:bCs/>
      <w:sz w:val="32"/>
      <w:szCs w:val="32"/>
    </w:rPr>
  </w:style>
  <w:style w:type="character" w:customStyle="1" w:styleId="60">
    <w:name w:val="纯文本 Char"/>
    <w:basedOn w:val="42"/>
    <w:qFormat/>
    <w:uiPriority w:val="99"/>
    <w:rPr>
      <w:rFonts w:ascii="宋体" w:hAnsi="Courier New" w:eastAsia="宋体" w:cs="Courier New"/>
      <w:szCs w:val="21"/>
    </w:rPr>
  </w:style>
  <w:style w:type="paragraph" w:styleId="61">
    <w:name w:val="List Paragraph"/>
    <w:basedOn w:val="1"/>
    <w:qFormat/>
    <w:uiPriority w:val="99"/>
    <w:pPr>
      <w:ind w:firstLine="420" w:firstLineChars="200"/>
    </w:pPr>
  </w:style>
  <w:style w:type="paragraph" w:customStyle="1" w:styleId="62">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63">
    <w:name w:val="列出段落1"/>
    <w:basedOn w:val="1"/>
    <w:link w:val="64"/>
    <w:qFormat/>
    <w:uiPriority w:val="99"/>
    <w:pPr>
      <w:numPr>
        <w:ilvl w:val="0"/>
        <w:numId w:val="6"/>
      </w:numPr>
      <w:tabs>
        <w:tab w:val="left" w:pos="-14"/>
      </w:tabs>
      <w:spacing w:line="360" w:lineRule="auto"/>
      <w:ind w:right="210" w:rightChars="100"/>
      <w:contextualSpacing/>
    </w:pPr>
    <w:rPr>
      <w:rFonts w:ascii="Calibri" w:hAnsi="Calibri" w:cs="黑体"/>
      <w:szCs w:val="24"/>
    </w:rPr>
  </w:style>
  <w:style w:type="character" w:customStyle="1" w:styleId="64">
    <w:name w:val="List Paragraph Char"/>
    <w:link w:val="63"/>
    <w:qFormat/>
    <w:locked/>
    <w:uiPriority w:val="99"/>
    <w:rPr>
      <w:rFonts w:ascii="Calibri" w:hAnsi="Calibri" w:eastAsia="宋体" w:cs="黑体"/>
      <w:kern w:val="2"/>
      <w:sz w:val="21"/>
      <w:szCs w:val="24"/>
    </w:rPr>
  </w:style>
  <w:style w:type="paragraph" w:customStyle="1" w:styleId="65">
    <w:name w:val="列表段落1"/>
    <w:basedOn w:val="1"/>
    <w:qFormat/>
    <w:uiPriority w:val="0"/>
    <w:pPr>
      <w:ind w:firstLine="420" w:firstLineChars="200"/>
    </w:pPr>
    <w:rPr>
      <w:szCs w:val="24"/>
    </w:rPr>
  </w:style>
  <w:style w:type="character" w:customStyle="1" w:styleId="66">
    <w:name w:val="p0[858D7CFB-ED40-4347-BF05-701D383B685F]"/>
    <w:link w:val="67"/>
    <w:qFormat/>
    <w:locked/>
    <w:uiPriority w:val="99"/>
    <w:rPr>
      <w:sz w:val="21"/>
    </w:rPr>
  </w:style>
  <w:style w:type="paragraph" w:customStyle="1" w:styleId="67">
    <w:name w:val="p0"/>
    <w:basedOn w:val="1"/>
    <w:link w:val="66"/>
    <w:qFormat/>
    <w:uiPriority w:val="99"/>
    <w:pPr>
      <w:widowControl/>
      <w:ind w:firstLine="420"/>
    </w:pPr>
    <w:rPr>
      <w:rFonts w:asciiTheme="minorHAnsi" w:hAnsiTheme="minorHAnsi" w:eastAsiaTheme="minorEastAsia" w:cstheme="minorBidi"/>
      <w:kern w:val="0"/>
    </w:rPr>
  </w:style>
  <w:style w:type="character" w:customStyle="1" w:styleId="68">
    <w:name w:val="正文缩进 Char"/>
    <w:link w:val="12"/>
    <w:qFormat/>
    <w:locked/>
    <w:uiPriority w:val="99"/>
    <w:rPr>
      <w:rFonts w:ascii="Times New Roman" w:hAnsi="Times New Roman" w:eastAsia="宋体" w:cs="Times New Roman"/>
    </w:rPr>
  </w:style>
  <w:style w:type="character" w:customStyle="1" w:styleId="69">
    <w:name w:val="文档结构图 Char"/>
    <w:basedOn w:val="42"/>
    <w:link w:val="14"/>
    <w:semiHidden/>
    <w:qFormat/>
    <w:uiPriority w:val="99"/>
    <w:rPr>
      <w:rFonts w:ascii="宋体" w:hAnsi="Times New Roman" w:eastAsia="宋体" w:cs="Times New Roman"/>
      <w:sz w:val="18"/>
      <w:szCs w:val="18"/>
    </w:rPr>
  </w:style>
  <w:style w:type="character" w:customStyle="1" w:styleId="70">
    <w:name w:val="批注文字 Char"/>
    <w:basedOn w:val="42"/>
    <w:link w:val="15"/>
    <w:qFormat/>
    <w:uiPriority w:val="99"/>
    <w:rPr>
      <w:rFonts w:ascii="Times New Roman" w:hAnsi="Times New Roman" w:eastAsia="宋体" w:cs="Times New Roman"/>
      <w:szCs w:val="24"/>
    </w:rPr>
  </w:style>
  <w:style w:type="character" w:customStyle="1" w:styleId="71">
    <w:name w:val="正文文本 3 Char"/>
    <w:basedOn w:val="42"/>
    <w:link w:val="16"/>
    <w:qFormat/>
    <w:uiPriority w:val="99"/>
    <w:rPr>
      <w:rFonts w:ascii="Times New Roman" w:hAnsi="Times New Roman" w:eastAsia="宋体" w:cs="Times New Roman"/>
      <w:sz w:val="16"/>
      <w:szCs w:val="16"/>
      <w:lang w:eastAsia="en-US"/>
    </w:rPr>
  </w:style>
  <w:style w:type="character" w:customStyle="1" w:styleId="72">
    <w:name w:val="正文文本 Char"/>
    <w:basedOn w:val="42"/>
    <w:link w:val="18"/>
    <w:qFormat/>
    <w:uiPriority w:val="99"/>
    <w:rPr>
      <w:rFonts w:ascii="仿宋_GB2312" w:hAnsi="Times New Roman" w:eastAsia="仿宋_GB2312" w:cs="Times New Roman"/>
      <w:sz w:val="28"/>
    </w:rPr>
  </w:style>
  <w:style w:type="character" w:customStyle="1" w:styleId="73">
    <w:name w:val="正文文本缩进 Char"/>
    <w:basedOn w:val="42"/>
    <w:link w:val="19"/>
    <w:qFormat/>
    <w:uiPriority w:val="99"/>
    <w:rPr>
      <w:rFonts w:ascii="Times New Roman" w:hAnsi="Times New Roman" w:eastAsia="宋体" w:cs="Times New Roman"/>
      <w:szCs w:val="24"/>
    </w:rPr>
  </w:style>
  <w:style w:type="character" w:customStyle="1" w:styleId="74">
    <w:name w:val="列表项目符号 5 Char"/>
    <w:link w:val="23"/>
    <w:qFormat/>
    <w:locked/>
    <w:uiPriority w:val="99"/>
    <w:rPr>
      <w:rFonts w:ascii="Calibri" w:hAnsi="Calibri" w:eastAsia="宋体" w:cs="Times New Roman"/>
      <w:kern w:val="2"/>
      <w:sz w:val="21"/>
    </w:rPr>
  </w:style>
  <w:style w:type="character" w:customStyle="1" w:styleId="75">
    <w:name w:val="日期 Char"/>
    <w:basedOn w:val="42"/>
    <w:link w:val="24"/>
    <w:qFormat/>
    <w:uiPriority w:val="99"/>
    <w:rPr>
      <w:rFonts w:ascii="Times New Roman" w:hAnsi="Times New Roman" w:eastAsia="宋体" w:cs="Times New Roman"/>
      <w:szCs w:val="24"/>
    </w:rPr>
  </w:style>
  <w:style w:type="character" w:customStyle="1" w:styleId="76">
    <w:name w:val="正文文本缩进 2 Char"/>
    <w:basedOn w:val="42"/>
    <w:link w:val="25"/>
    <w:uiPriority w:val="99"/>
    <w:rPr>
      <w:rFonts w:ascii="Times New Roman" w:hAnsi="Times New Roman" w:eastAsia="宋体" w:cs="Times New Roman"/>
      <w:szCs w:val="24"/>
    </w:rPr>
  </w:style>
  <w:style w:type="character" w:customStyle="1" w:styleId="77">
    <w:name w:val="正文文本缩进 3 Char"/>
    <w:basedOn w:val="42"/>
    <w:link w:val="33"/>
    <w:qFormat/>
    <w:uiPriority w:val="99"/>
    <w:rPr>
      <w:rFonts w:ascii="宋体" w:hAnsi="宋体" w:eastAsia="宋体" w:cs="Times New Roman"/>
      <w:szCs w:val="21"/>
    </w:rPr>
  </w:style>
  <w:style w:type="character" w:customStyle="1" w:styleId="78">
    <w:name w:val="HTML 预设格式 Char"/>
    <w:basedOn w:val="42"/>
    <w:link w:val="35"/>
    <w:qFormat/>
    <w:uiPriority w:val="99"/>
    <w:rPr>
      <w:rFonts w:ascii="宋体" w:hAnsi="宋体" w:eastAsia="宋体" w:cs="Times New Roman"/>
      <w:sz w:val="24"/>
      <w:szCs w:val="24"/>
    </w:rPr>
  </w:style>
  <w:style w:type="character" w:customStyle="1" w:styleId="79">
    <w:name w:val="批注主题 Char"/>
    <w:basedOn w:val="70"/>
    <w:link w:val="38"/>
    <w:uiPriority w:val="99"/>
    <w:rPr>
      <w:rFonts w:ascii="Times New Roman" w:hAnsi="Times New Roman" w:eastAsia="宋体" w:cs="Times New Roman"/>
      <w:b/>
      <w:bCs/>
      <w:szCs w:val="24"/>
    </w:rPr>
  </w:style>
  <w:style w:type="character" w:customStyle="1" w:styleId="80">
    <w:name w:val="正文首行缩进 Char"/>
    <w:basedOn w:val="72"/>
    <w:link w:val="39"/>
    <w:qFormat/>
    <w:uiPriority w:val="99"/>
    <w:rPr>
      <w:rFonts w:ascii="Calibri" w:hAnsi="Calibri" w:eastAsia="宋体" w:cs="Times New Roman"/>
      <w:kern w:val="2"/>
      <w:sz w:val="21"/>
      <w:szCs w:val="24"/>
    </w:rPr>
  </w:style>
  <w:style w:type="character" w:customStyle="1" w:styleId="81">
    <w:name w:val="Plain Text Char"/>
    <w:qFormat/>
    <w:locked/>
    <w:uiPriority w:val="99"/>
    <w:rPr>
      <w:rFonts w:ascii="宋体" w:hAnsi="Courier New"/>
    </w:rPr>
  </w:style>
  <w:style w:type="character" w:customStyle="1" w:styleId="82">
    <w:name w:val="lf3"/>
    <w:qFormat/>
    <w:uiPriority w:val="99"/>
    <w:rPr>
      <w:rFonts w:cs="Times New Roman"/>
    </w:rPr>
  </w:style>
  <w:style w:type="character" w:customStyle="1" w:styleId="83">
    <w:name w:val="批注引用1"/>
    <w:qFormat/>
    <w:uiPriority w:val="99"/>
    <w:rPr>
      <w:sz w:val="21"/>
    </w:rPr>
  </w:style>
  <w:style w:type="paragraph" w:customStyle="1" w:styleId="84">
    <w:name w:val="a2"/>
    <w:basedOn w:val="1"/>
    <w:uiPriority w:val="99"/>
    <w:pPr>
      <w:widowControl/>
      <w:spacing w:before="100" w:beforeAutospacing="1" w:after="100" w:afterAutospacing="1"/>
      <w:jc w:val="left"/>
    </w:pPr>
    <w:rPr>
      <w:rFonts w:ascii="Arial Unicode MS" w:hAnsi="Arial Unicode MS"/>
      <w:kern w:val="0"/>
      <w:sz w:val="24"/>
      <w:szCs w:val="24"/>
    </w:rPr>
  </w:style>
  <w:style w:type="paragraph" w:customStyle="1" w:styleId="85">
    <w:name w:val="普通(网站)1"/>
    <w:basedOn w:val="1"/>
    <w:qFormat/>
    <w:uiPriority w:val="99"/>
    <w:pPr>
      <w:widowControl/>
      <w:spacing w:before="100" w:beforeAutospacing="1" w:after="100" w:afterAutospacing="1"/>
      <w:jc w:val="left"/>
    </w:pPr>
    <w:rPr>
      <w:rFonts w:ascii="宋体" w:hAnsi="宋体" w:cs="宋体"/>
      <w:kern w:val="0"/>
      <w:sz w:val="24"/>
      <w:szCs w:val="24"/>
    </w:rPr>
  </w:style>
  <w:style w:type="character" w:customStyle="1" w:styleId="86">
    <w:name w:val="自定义正文 Char"/>
    <w:link w:val="87"/>
    <w:locked/>
    <w:uiPriority w:val="99"/>
    <w:rPr>
      <w:sz w:val="24"/>
    </w:rPr>
  </w:style>
  <w:style w:type="paragraph" w:customStyle="1" w:styleId="87">
    <w:name w:val="自定义正文"/>
    <w:basedOn w:val="1"/>
    <w:link w:val="86"/>
    <w:qFormat/>
    <w:uiPriority w:val="99"/>
    <w:pPr>
      <w:spacing w:afterLines="50" w:line="360" w:lineRule="auto"/>
      <w:ind w:firstLine="200" w:firstLineChars="200"/>
      <w:jc w:val="left"/>
    </w:pPr>
    <w:rPr>
      <w:rFonts w:asciiTheme="minorHAnsi" w:hAnsiTheme="minorHAnsi" w:eastAsiaTheme="minorEastAsia" w:cstheme="minorBidi"/>
      <w:kern w:val="0"/>
      <w:sz w:val="24"/>
    </w:rPr>
  </w:style>
  <w:style w:type="character" w:customStyle="1" w:styleId="88">
    <w:name w:val="标准正文格式 Char Char"/>
    <w:link w:val="89"/>
    <w:locked/>
    <w:uiPriority w:val="99"/>
    <w:rPr>
      <w:rFonts w:ascii="宋体" w:eastAsia="仿宋_GB2312"/>
      <w:color w:val="000000"/>
      <w:sz w:val="24"/>
    </w:rPr>
  </w:style>
  <w:style w:type="paragraph" w:customStyle="1" w:styleId="89">
    <w:name w:val="标准正文格式"/>
    <w:basedOn w:val="1"/>
    <w:link w:val="88"/>
    <w:qFormat/>
    <w:uiPriority w:val="99"/>
    <w:pPr>
      <w:widowControl/>
      <w:adjustRightInd w:val="0"/>
      <w:spacing w:before="60" w:after="120" w:line="360" w:lineRule="auto"/>
      <w:ind w:firstLine="200" w:firstLineChars="200"/>
      <w:textAlignment w:val="baseline"/>
    </w:pPr>
    <w:rPr>
      <w:rFonts w:ascii="宋体" w:eastAsia="仿宋_GB2312" w:hAnsiTheme="minorHAnsi" w:cstheme="minorBidi"/>
      <w:color w:val="000000"/>
      <w:kern w:val="0"/>
      <w:sz w:val="24"/>
    </w:rPr>
  </w:style>
  <w:style w:type="paragraph" w:customStyle="1" w:styleId="90">
    <w:name w:val="正文缩进1"/>
    <w:basedOn w:val="1"/>
    <w:next w:val="21"/>
    <w:qFormat/>
    <w:uiPriority w:val="99"/>
    <w:pPr>
      <w:autoSpaceDE w:val="0"/>
      <w:autoSpaceDN w:val="0"/>
      <w:adjustRightInd w:val="0"/>
      <w:snapToGrid w:val="0"/>
      <w:spacing w:after="120" w:line="360" w:lineRule="auto"/>
      <w:ind w:left="420" w:leftChars="200" w:firstLine="480" w:firstLineChars="200"/>
    </w:pPr>
    <w:rPr>
      <w:sz w:val="24"/>
    </w:rPr>
  </w:style>
  <w:style w:type="paragraph" w:customStyle="1" w:styleId="91">
    <w:name w:val="!自定义正文Alt+C"/>
    <w:basedOn w:val="1"/>
    <w:uiPriority w:val="99"/>
    <w:pPr>
      <w:spacing w:before="80" w:after="160" w:line="320" w:lineRule="atLeast"/>
      <w:ind w:firstLine="200" w:firstLineChars="200"/>
      <w:textAlignment w:val="baseline"/>
    </w:pPr>
    <w:rPr>
      <w:szCs w:val="21"/>
    </w:rPr>
  </w:style>
  <w:style w:type="character" w:customStyle="1" w:styleId="92">
    <w:name w:val="Char Char30"/>
    <w:qFormat/>
    <w:uiPriority w:val="99"/>
    <w:rPr>
      <w:rFonts w:eastAsia="宋体"/>
      <w:b/>
      <w:spacing w:val="-2"/>
      <w:sz w:val="24"/>
      <w:lang w:val="en-US" w:eastAsia="zh-CN"/>
    </w:rPr>
  </w:style>
  <w:style w:type="paragraph" w:customStyle="1" w:styleId="93">
    <w:name w:val="Char1 Char Char Char"/>
    <w:basedOn w:val="1"/>
    <w:uiPriority w:val="99"/>
    <w:rPr>
      <w:rFonts w:ascii="Tahoma" w:hAnsi="Tahoma"/>
      <w:sz w:val="24"/>
    </w:rPr>
  </w:style>
  <w:style w:type="character" w:customStyle="1" w:styleId="94">
    <w:name w:val="Char Char301"/>
    <w:qFormat/>
    <w:uiPriority w:val="99"/>
    <w:rPr>
      <w:rFonts w:ascii="宋体" w:hAnsi="宋体" w:eastAsia="宋体"/>
      <w:b/>
      <w:spacing w:val="-2"/>
      <w:sz w:val="24"/>
      <w:lang w:val="en-US" w:eastAsia="zh-CN"/>
    </w:rPr>
  </w:style>
  <w:style w:type="paragraph" w:customStyle="1" w:styleId="95">
    <w:name w:val="ordinary-output"/>
    <w:basedOn w:val="1"/>
    <w:uiPriority w:val="99"/>
    <w:pPr>
      <w:widowControl/>
      <w:spacing w:before="100" w:beforeAutospacing="1" w:after="100" w:afterAutospacing="1"/>
      <w:jc w:val="left"/>
    </w:pPr>
    <w:rPr>
      <w:rFonts w:ascii="宋体" w:hAnsi="宋体" w:cs="宋体"/>
      <w:kern w:val="0"/>
      <w:sz w:val="24"/>
      <w:szCs w:val="24"/>
    </w:rPr>
  </w:style>
  <w:style w:type="character" w:customStyle="1" w:styleId="96">
    <w:name w:val="章节标题 Char"/>
    <w:uiPriority w:val="99"/>
    <w:rPr>
      <w:rFonts w:eastAsia="宋体"/>
      <w:b/>
      <w:kern w:val="44"/>
      <w:sz w:val="44"/>
      <w:lang w:val="en-US" w:eastAsia="zh-CN"/>
    </w:rPr>
  </w:style>
  <w:style w:type="character" w:customStyle="1" w:styleId="97">
    <w:name w:val="at_1"/>
    <w:uiPriority w:val="99"/>
    <w:rPr>
      <w:rFonts w:cs="Times New Roman"/>
    </w:rPr>
  </w:style>
  <w:style w:type="character" w:customStyle="1" w:styleId="98">
    <w:name w:val="Variable"/>
    <w:uiPriority w:val="99"/>
    <w:rPr>
      <w:i/>
    </w:rPr>
  </w:style>
  <w:style w:type="paragraph" w:customStyle="1" w:styleId="99">
    <w:name w:val="font11"/>
    <w:basedOn w:val="1"/>
    <w:uiPriority w:val="99"/>
    <w:pPr>
      <w:widowControl/>
      <w:spacing w:before="100" w:beforeAutospacing="1" w:after="100" w:afterAutospacing="1"/>
      <w:jc w:val="left"/>
    </w:pPr>
    <w:rPr>
      <w:rFonts w:ascii="宋体" w:hAnsi="宋体" w:cs="宋体"/>
      <w:kern w:val="0"/>
      <w:sz w:val="18"/>
      <w:szCs w:val="18"/>
    </w:rPr>
  </w:style>
  <w:style w:type="paragraph" w:customStyle="1" w:styleId="100">
    <w:name w:val="xl127"/>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center"/>
    </w:pPr>
    <w:rPr>
      <w:rFonts w:ascii="宋体" w:hAnsi="宋体" w:cs="宋体"/>
      <w:color w:val="000000"/>
      <w:kern w:val="0"/>
      <w:sz w:val="18"/>
      <w:szCs w:val="18"/>
    </w:rPr>
  </w:style>
  <w:style w:type="paragraph" w:customStyle="1" w:styleId="101">
    <w:name w:val="xl126"/>
    <w:basedOn w:val="1"/>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center"/>
    </w:pPr>
    <w:rPr>
      <w:rFonts w:ascii="宋体" w:hAnsi="宋体" w:cs="宋体"/>
      <w:b/>
      <w:bCs/>
      <w:color w:val="000000"/>
      <w:kern w:val="0"/>
      <w:sz w:val="18"/>
      <w:szCs w:val="18"/>
    </w:rPr>
  </w:style>
  <w:style w:type="paragraph" w:customStyle="1" w:styleId="102">
    <w:name w:val="font9"/>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customStyle="1" w:styleId="103">
    <w:name w:val="xl89"/>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Arial" w:hAnsi="Arial" w:cs="Arial"/>
      <w:kern w:val="0"/>
      <w:sz w:val="18"/>
      <w:szCs w:val="18"/>
    </w:rPr>
  </w:style>
  <w:style w:type="paragraph" w:customStyle="1" w:styleId="104">
    <w:name w:val="默认段落字体 Para Char Char Char Char"/>
    <w:basedOn w:val="1"/>
    <w:qFormat/>
    <w:uiPriority w:val="99"/>
    <w:rPr>
      <w:szCs w:val="24"/>
    </w:rPr>
  </w:style>
  <w:style w:type="paragraph" w:customStyle="1" w:styleId="105">
    <w:name w:val="_Style 6"/>
    <w:basedOn w:val="1"/>
    <w:uiPriority w:val="99"/>
    <w:rPr>
      <w:szCs w:val="24"/>
    </w:rPr>
  </w:style>
  <w:style w:type="paragraph" w:customStyle="1" w:styleId="106">
    <w:name w:val="xl102"/>
    <w:basedOn w:val="1"/>
    <w:uiPriority w:val="99"/>
    <w:pPr>
      <w:widowControl/>
      <w:pBdr>
        <w:top w:val="single" w:color="auto" w:sz="4" w:space="0"/>
        <w:left w:val="single" w:color="auto" w:sz="4" w:space="0"/>
        <w:bottom w:val="single" w:color="auto" w:sz="4" w:space="0"/>
      </w:pBdr>
      <w:shd w:val="clear" w:color="000000" w:fill="B8CCE4"/>
      <w:spacing w:before="100" w:beforeAutospacing="1" w:after="100" w:afterAutospacing="1"/>
      <w:jc w:val="left"/>
    </w:pPr>
    <w:rPr>
      <w:rFonts w:ascii="Arial" w:hAnsi="Arial" w:cs="Arial"/>
      <w:b/>
      <w:bCs/>
      <w:kern w:val="0"/>
      <w:sz w:val="18"/>
      <w:szCs w:val="18"/>
    </w:rPr>
  </w:style>
  <w:style w:type="paragraph" w:customStyle="1" w:styleId="107">
    <w:name w:val="Char"/>
    <w:basedOn w:val="1"/>
    <w:qFormat/>
    <w:uiPriority w:val="99"/>
    <w:pPr>
      <w:spacing w:beforeLines="50" w:afterLines="100"/>
      <w:jc w:val="center"/>
    </w:pPr>
    <w:rPr>
      <w:szCs w:val="24"/>
    </w:rPr>
  </w:style>
  <w:style w:type="paragraph" w:customStyle="1" w:styleId="108">
    <w:name w:val="xl119"/>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18"/>
      <w:szCs w:val="18"/>
    </w:rPr>
  </w:style>
  <w:style w:type="paragraph" w:customStyle="1" w:styleId="109">
    <w:name w:val="Char Char Char Char Char Char Char Char Char Char Char Char Char Char Char Char Char Char Char Char1"/>
    <w:basedOn w:val="1"/>
    <w:qFormat/>
    <w:uiPriority w:val="99"/>
    <w:rPr>
      <w:szCs w:val="21"/>
    </w:rPr>
  </w:style>
  <w:style w:type="paragraph" w:customStyle="1" w:styleId="110">
    <w:name w:val="xl114"/>
    <w:basedOn w:val="1"/>
    <w:uiPriority w:val="99"/>
    <w:pPr>
      <w:widowControl/>
      <w:pBdr>
        <w:top w:val="single" w:color="auto" w:sz="4" w:space="0"/>
        <w:left w:val="single" w:color="auto" w:sz="4" w:space="0"/>
        <w:bottom w:val="single" w:color="auto" w:sz="4" w:space="0"/>
        <w:right w:val="single" w:color="auto" w:sz="4" w:space="0"/>
      </w:pBdr>
      <w:shd w:val="clear" w:color="000000" w:fill="C4D79B"/>
      <w:spacing w:before="100" w:beforeAutospacing="1" w:after="100" w:afterAutospacing="1"/>
      <w:jc w:val="center"/>
    </w:pPr>
    <w:rPr>
      <w:rFonts w:ascii="Arial" w:hAnsi="Arial" w:cs="Arial"/>
      <w:b/>
      <w:bCs/>
      <w:kern w:val="0"/>
      <w:sz w:val="18"/>
      <w:szCs w:val="18"/>
    </w:rPr>
  </w:style>
  <w:style w:type="paragraph" w:customStyle="1" w:styleId="111">
    <w:name w:val="xl106"/>
    <w:basedOn w:val="1"/>
    <w:uiPriority w:val="99"/>
    <w:pPr>
      <w:widowControl/>
      <w:pBdr>
        <w:top w:val="single" w:color="auto" w:sz="4" w:space="0"/>
        <w:bottom w:val="single" w:color="auto" w:sz="4" w:space="0"/>
      </w:pBdr>
      <w:shd w:val="clear" w:color="000000" w:fill="B8CCE4"/>
      <w:spacing w:before="100" w:beforeAutospacing="1" w:after="100" w:afterAutospacing="1"/>
      <w:jc w:val="left"/>
    </w:pPr>
    <w:rPr>
      <w:rFonts w:ascii="Arial" w:hAnsi="Arial" w:cs="Arial"/>
      <w:kern w:val="0"/>
      <w:sz w:val="18"/>
      <w:szCs w:val="18"/>
    </w:rPr>
  </w:style>
  <w:style w:type="paragraph" w:customStyle="1" w:styleId="112">
    <w:name w:val="xl101"/>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left"/>
    </w:pPr>
    <w:rPr>
      <w:rFonts w:ascii="Arial" w:hAnsi="Arial" w:cs="Arial"/>
      <w:kern w:val="0"/>
      <w:sz w:val="18"/>
      <w:szCs w:val="18"/>
    </w:rPr>
  </w:style>
  <w:style w:type="paragraph" w:customStyle="1" w:styleId="113">
    <w:name w:val="Char1"/>
    <w:basedOn w:val="1"/>
    <w:uiPriority w:val="99"/>
    <w:pPr>
      <w:spacing w:beforeLines="50" w:afterLines="100"/>
      <w:jc w:val="center"/>
    </w:pPr>
    <w:rPr>
      <w:szCs w:val="24"/>
    </w:rPr>
  </w:style>
  <w:style w:type="paragraph" w:customStyle="1" w:styleId="114">
    <w:name w:val="xl11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115">
    <w:name w:val="msolistparagraph"/>
    <w:basedOn w:val="1"/>
    <w:uiPriority w:val="99"/>
    <w:pPr>
      <w:ind w:firstLine="420" w:firstLineChars="200"/>
    </w:pPr>
    <w:rPr>
      <w:rFonts w:ascii="Calibri" w:hAnsi="Calibri"/>
      <w:szCs w:val="22"/>
    </w:rPr>
  </w:style>
  <w:style w:type="paragraph" w:customStyle="1" w:styleId="116">
    <w:name w:val="font10"/>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customStyle="1" w:styleId="117">
    <w:name w:val="标题 2节"/>
    <w:basedOn w:val="3"/>
    <w:qFormat/>
    <w:uiPriority w:val="99"/>
    <w:pPr>
      <w:keepNext w:val="0"/>
      <w:keepLines w:val="0"/>
      <w:tabs>
        <w:tab w:val="left" w:pos="1080"/>
      </w:tabs>
      <w:spacing w:beforeLines="25" w:afterLines="20"/>
      <w:ind w:left="120" w:leftChars="50"/>
      <w:jc w:val="both"/>
    </w:pPr>
    <w:rPr>
      <w:rFonts w:cs="宋体"/>
      <w:b w:val="0"/>
      <w:bCs/>
    </w:rPr>
  </w:style>
  <w:style w:type="paragraph" w:customStyle="1" w:styleId="118">
    <w:name w:val="Char Char Char Char"/>
    <w:basedOn w:val="1"/>
    <w:qFormat/>
    <w:uiPriority w:val="99"/>
    <w:rPr>
      <w:szCs w:val="24"/>
    </w:rPr>
  </w:style>
  <w:style w:type="paragraph" w:customStyle="1" w:styleId="119">
    <w:name w:val="font8"/>
    <w:basedOn w:val="1"/>
    <w:uiPriority w:val="99"/>
    <w:pPr>
      <w:widowControl/>
      <w:spacing w:before="100" w:beforeAutospacing="1" w:after="100" w:afterAutospacing="1"/>
      <w:jc w:val="left"/>
    </w:pPr>
    <w:rPr>
      <w:rFonts w:ascii="宋体" w:hAnsi="宋体" w:cs="宋体"/>
      <w:b/>
      <w:bCs/>
      <w:kern w:val="0"/>
      <w:sz w:val="18"/>
      <w:szCs w:val="18"/>
    </w:rPr>
  </w:style>
  <w:style w:type="paragraph" w:customStyle="1" w:styleId="120">
    <w:name w:val="font15"/>
    <w:basedOn w:val="1"/>
    <w:qFormat/>
    <w:uiPriority w:val="99"/>
    <w:pPr>
      <w:widowControl/>
      <w:spacing w:before="100" w:beforeAutospacing="1" w:after="100" w:afterAutospacing="1"/>
      <w:jc w:val="left"/>
    </w:pPr>
    <w:rPr>
      <w:rFonts w:ascii="宋体" w:hAnsi="宋体" w:cs="宋体"/>
      <w:color w:val="000000"/>
      <w:kern w:val="0"/>
      <w:sz w:val="18"/>
      <w:szCs w:val="18"/>
    </w:rPr>
  </w:style>
  <w:style w:type="paragraph" w:customStyle="1" w:styleId="121">
    <w:name w:val="样式8"/>
    <w:basedOn w:val="1"/>
    <w:uiPriority w:val="99"/>
    <w:pPr>
      <w:keepNext/>
      <w:keepLines/>
      <w:spacing w:before="260" w:after="260"/>
      <w:jc w:val="center"/>
      <w:outlineLvl w:val="1"/>
    </w:pPr>
    <w:rPr>
      <w:rFonts w:ascii="Arial" w:hAnsi="Arial" w:eastAsia="黑体"/>
      <w:b/>
      <w:bCs/>
      <w:sz w:val="72"/>
      <w:szCs w:val="32"/>
    </w:rPr>
  </w:style>
  <w:style w:type="paragraph" w:customStyle="1" w:styleId="122">
    <w:name w:val="xl116"/>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23">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24">
    <w:name w:val="xl110"/>
    <w:basedOn w:val="1"/>
    <w:qFormat/>
    <w:uiPriority w:val="99"/>
    <w:pPr>
      <w:widowControl/>
      <w:pBdr>
        <w:top w:val="single" w:color="auto" w:sz="4" w:space="0"/>
        <w:bottom w:val="single" w:color="auto" w:sz="4" w:space="0"/>
        <w:right w:val="single" w:color="auto" w:sz="4" w:space="0"/>
      </w:pBdr>
      <w:shd w:val="clear" w:color="000000" w:fill="B8CCE4"/>
      <w:spacing w:before="100" w:beforeAutospacing="1" w:after="100" w:afterAutospacing="1"/>
      <w:jc w:val="left"/>
    </w:pPr>
    <w:rPr>
      <w:rFonts w:ascii="Arial" w:hAnsi="Arial" w:cs="Arial"/>
      <w:kern w:val="0"/>
      <w:sz w:val="18"/>
      <w:szCs w:val="18"/>
    </w:rPr>
  </w:style>
  <w:style w:type="paragraph" w:customStyle="1" w:styleId="125">
    <w:name w:val="xl108"/>
    <w:basedOn w:val="1"/>
    <w:uiPriority w:val="99"/>
    <w:pPr>
      <w:widowControl/>
      <w:shd w:val="clear" w:color="000000" w:fill="B8CCE4"/>
      <w:spacing w:before="100" w:beforeAutospacing="1" w:after="100" w:afterAutospacing="1"/>
      <w:jc w:val="center"/>
    </w:pPr>
    <w:rPr>
      <w:rFonts w:ascii="宋体" w:hAnsi="宋体" w:cs="宋体"/>
      <w:kern w:val="0"/>
      <w:sz w:val="24"/>
      <w:szCs w:val="24"/>
    </w:rPr>
  </w:style>
  <w:style w:type="paragraph" w:customStyle="1" w:styleId="126">
    <w:name w:val="xl129"/>
    <w:basedOn w:val="1"/>
    <w:qFormat/>
    <w:uiPriority w:val="99"/>
    <w:pPr>
      <w:widowControl/>
      <w:pBdr>
        <w:top w:val="single" w:color="auto" w:sz="4" w:space="0"/>
        <w:left w:val="single" w:color="auto" w:sz="4" w:space="0"/>
        <w:bottom w:val="single" w:color="auto" w:sz="4" w:space="0"/>
        <w:right w:val="single" w:color="auto" w:sz="4" w:space="0"/>
      </w:pBdr>
      <w:shd w:val="clear" w:color="000000" w:fill="C4D79B"/>
      <w:spacing w:before="100" w:beforeAutospacing="1" w:after="100" w:afterAutospacing="1"/>
      <w:jc w:val="center"/>
    </w:pPr>
    <w:rPr>
      <w:rFonts w:ascii="Arial" w:hAnsi="Arial" w:cs="Arial"/>
      <w:b/>
      <w:bCs/>
      <w:kern w:val="0"/>
      <w:sz w:val="18"/>
      <w:szCs w:val="18"/>
    </w:rPr>
  </w:style>
  <w:style w:type="paragraph" w:customStyle="1" w:styleId="127">
    <w:name w:val="xl104"/>
    <w:basedOn w:val="1"/>
    <w:qFormat/>
    <w:uiPriority w:val="99"/>
    <w:pPr>
      <w:widowControl/>
      <w:pBdr>
        <w:top w:val="single" w:color="auto" w:sz="4" w:space="0"/>
        <w:bottom w:val="single" w:color="auto" w:sz="4" w:space="0"/>
        <w:right w:val="single" w:color="auto" w:sz="4" w:space="0"/>
      </w:pBdr>
      <w:shd w:val="clear" w:color="000000" w:fill="B8CCE4"/>
      <w:spacing w:before="100" w:beforeAutospacing="1" w:after="100" w:afterAutospacing="1"/>
      <w:jc w:val="left"/>
    </w:pPr>
    <w:rPr>
      <w:rFonts w:ascii="Arial" w:hAnsi="Arial" w:cs="Arial"/>
      <w:b/>
      <w:bCs/>
      <w:kern w:val="0"/>
      <w:sz w:val="18"/>
      <w:szCs w:val="18"/>
    </w:rPr>
  </w:style>
  <w:style w:type="paragraph" w:customStyle="1" w:styleId="128">
    <w:name w:val="xl115"/>
    <w:basedOn w:val="1"/>
    <w:uiPriority w:val="99"/>
    <w:pPr>
      <w:widowControl/>
      <w:pBdr>
        <w:top w:val="single" w:color="auto" w:sz="4" w:space="0"/>
        <w:left w:val="single" w:color="auto" w:sz="4" w:space="0"/>
        <w:bottom w:val="single" w:color="auto" w:sz="4" w:space="0"/>
        <w:right w:val="single" w:color="auto" w:sz="4" w:space="0"/>
      </w:pBdr>
      <w:shd w:val="clear" w:color="000000" w:fill="C4D79B"/>
      <w:spacing w:before="100" w:beforeAutospacing="1" w:after="100" w:afterAutospacing="1"/>
      <w:jc w:val="center"/>
    </w:pPr>
    <w:rPr>
      <w:rFonts w:ascii="Arial" w:hAnsi="Arial" w:cs="Arial"/>
      <w:b/>
      <w:bCs/>
      <w:kern w:val="0"/>
      <w:sz w:val="18"/>
      <w:szCs w:val="18"/>
    </w:rPr>
  </w:style>
  <w:style w:type="paragraph" w:customStyle="1" w:styleId="129">
    <w:name w:val="纯文本1"/>
    <w:basedOn w:val="1"/>
    <w:qFormat/>
    <w:uiPriority w:val="99"/>
    <w:rPr>
      <w:rFonts w:ascii="宋体" w:hAnsi="Courier New"/>
    </w:rPr>
  </w:style>
  <w:style w:type="paragraph" w:customStyle="1" w:styleId="130">
    <w:name w:val="Char Char1"/>
    <w:basedOn w:val="1"/>
    <w:qFormat/>
    <w:uiPriority w:val="99"/>
    <w:rPr>
      <w:szCs w:val="24"/>
    </w:rPr>
  </w:style>
  <w:style w:type="paragraph" w:customStyle="1" w:styleId="131">
    <w:name w:val="0"/>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32">
    <w:name w:val="xl124"/>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left"/>
    </w:pPr>
    <w:rPr>
      <w:rFonts w:ascii="宋体" w:hAnsi="宋体" w:cs="宋体"/>
      <w:b/>
      <w:bCs/>
      <w:color w:val="000000"/>
      <w:kern w:val="0"/>
      <w:sz w:val="18"/>
      <w:szCs w:val="18"/>
    </w:rPr>
  </w:style>
  <w:style w:type="paragraph" w:customStyle="1" w:styleId="133">
    <w:name w:val="17"/>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34">
    <w:name w:val="Char Char Char1 Char"/>
    <w:basedOn w:val="3"/>
    <w:next w:val="1"/>
    <w:uiPriority w:val="99"/>
    <w:pPr>
      <w:snapToGrid w:val="0"/>
      <w:spacing w:before="120" w:after="120"/>
    </w:pPr>
    <w:rPr>
      <w:rFonts w:ascii="Arial" w:hAnsi="Arial" w:eastAsia="黑体"/>
      <w:kern w:val="2"/>
      <w:sz w:val="32"/>
    </w:rPr>
  </w:style>
  <w:style w:type="paragraph" w:customStyle="1" w:styleId="135">
    <w:name w:val="font7"/>
    <w:basedOn w:val="1"/>
    <w:uiPriority w:val="99"/>
    <w:pPr>
      <w:widowControl/>
      <w:spacing w:before="100" w:beforeAutospacing="1" w:after="100" w:afterAutospacing="1"/>
      <w:jc w:val="left"/>
    </w:pPr>
    <w:rPr>
      <w:rFonts w:ascii="宋体" w:hAnsi="宋体" w:cs="宋体"/>
      <w:color w:val="000000"/>
      <w:kern w:val="0"/>
      <w:sz w:val="18"/>
      <w:szCs w:val="18"/>
    </w:rPr>
  </w:style>
  <w:style w:type="paragraph" w:customStyle="1" w:styleId="136">
    <w:name w:val="Default"/>
    <w:qFormat/>
    <w:uiPriority w:val="99"/>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137">
    <w:name w:val="font16"/>
    <w:basedOn w:val="1"/>
    <w:qFormat/>
    <w:uiPriority w:val="99"/>
    <w:pPr>
      <w:widowControl/>
      <w:spacing w:before="100" w:beforeAutospacing="1" w:after="100" w:afterAutospacing="1"/>
      <w:jc w:val="left"/>
    </w:pPr>
    <w:rPr>
      <w:rFonts w:ascii="宋体" w:hAnsi="宋体" w:cs="宋体"/>
      <w:color w:val="000000"/>
      <w:kern w:val="0"/>
      <w:sz w:val="18"/>
      <w:szCs w:val="18"/>
    </w:rPr>
  </w:style>
  <w:style w:type="paragraph" w:customStyle="1" w:styleId="138">
    <w:name w:val="xl8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18"/>
      <w:szCs w:val="18"/>
    </w:rPr>
  </w:style>
  <w:style w:type="paragraph" w:customStyle="1" w:styleId="139">
    <w:name w:val="xl105"/>
    <w:basedOn w:val="1"/>
    <w:qFormat/>
    <w:uiPriority w:val="99"/>
    <w:pPr>
      <w:widowControl/>
      <w:pBdr>
        <w:top w:val="single" w:color="auto" w:sz="4" w:space="0"/>
        <w:left w:val="single" w:color="auto" w:sz="4" w:space="0"/>
        <w:bottom w:val="single" w:color="auto" w:sz="4" w:space="0"/>
      </w:pBdr>
      <w:shd w:val="clear" w:color="000000" w:fill="B8CCE4"/>
      <w:spacing w:before="100" w:beforeAutospacing="1" w:after="100" w:afterAutospacing="1"/>
      <w:jc w:val="left"/>
    </w:pPr>
    <w:rPr>
      <w:rFonts w:ascii="Arial" w:hAnsi="Arial" w:cs="Arial"/>
      <w:kern w:val="0"/>
      <w:sz w:val="18"/>
      <w:szCs w:val="18"/>
    </w:rPr>
  </w:style>
  <w:style w:type="paragraph" w:customStyle="1" w:styleId="140">
    <w:name w:val="xl91"/>
    <w:basedOn w:val="1"/>
    <w:qFormat/>
    <w:uiPriority w:val="99"/>
    <w:pPr>
      <w:widowControl/>
      <w:shd w:val="clear" w:color="000000" w:fill="FFFFFF"/>
      <w:spacing w:before="100" w:beforeAutospacing="1" w:after="100" w:afterAutospacing="1"/>
      <w:jc w:val="center"/>
    </w:pPr>
    <w:rPr>
      <w:rFonts w:ascii="Arial" w:hAnsi="Arial" w:cs="Arial"/>
      <w:kern w:val="0"/>
      <w:sz w:val="18"/>
      <w:szCs w:val="18"/>
    </w:rPr>
  </w:style>
  <w:style w:type="paragraph" w:customStyle="1" w:styleId="141">
    <w:name w:val="font14"/>
    <w:basedOn w:val="1"/>
    <w:qFormat/>
    <w:uiPriority w:val="99"/>
    <w:pPr>
      <w:widowControl/>
      <w:spacing w:before="100" w:beforeAutospacing="1" w:after="100" w:afterAutospacing="1"/>
      <w:jc w:val="left"/>
    </w:pPr>
    <w:rPr>
      <w:rFonts w:ascii="Tahoma" w:hAnsi="Tahoma" w:cs="Tahoma"/>
      <w:color w:val="000000"/>
      <w:kern w:val="0"/>
      <w:sz w:val="18"/>
      <w:szCs w:val="18"/>
    </w:rPr>
  </w:style>
  <w:style w:type="paragraph" w:customStyle="1" w:styleId="142">
    <w:name w:val="xl112"/>
    <w:basedOn w:val="1"/>
    <w:qFormat/>
    <w:uiPriority w:val="99"/>
    <w:pPr>
      <w:widowControl/>
      <w:pBdr>
        <w:top w:val="single" w:color="auto" w:sz="4" w:space="0"/>
        <w:left w:val="single" w:color="auto" w:sz="4" w:space="0"/>
        <w:bottom w:val="single" w:color="auto" w:sz="4" w:space="0"/>
      </w:pBdr>
      <w:shd w:val="clear" w:color="000000" w:fill="B8CCE4"/>
      <w:spacing w:before="100" w:beforeAutospacing="1" w:after="100" w:afterAutospacing="1"/>
      <w:jc w:val="center"/>
    </w:pPr>
    <w:rPr>
      <w:rFonts w:ascii="宋体" w:hAnsi="宋体" w:cs="宋体"/>
      <w:b/>
      <w:bCs/>
      <w:kern w:val="0"/>
      <w:sz w:val="18"/>
      <w:szCs w:val="18"/>
    </w:rPr>
  </w:style>
  <w:style w:type="paragraph" w:customStyle="1" w:styleId="143">
    <w:name w:val="font6"/>
    <w:basedOn w:val="1"/>
    <w:qFormat/>
    <w:uiPriority w:val="99"/>
    <w:pPr>
      <w:widowControl/>
      <w:spacing w:before="100" w:beforeAutospacing="1" w:after="100" w:afterAutospacing="1"/>
      <w:jc w:val="left"/>
    </w:pPr>
    <w:rPr>
      <w:rFonts w:ascii="Arial" w:hAnsi="Arial" w:cs="Arial"/>
      <w:kern w:val="0"/>
      <w:sz w:val="18"/>
      <w:szCs w:val="18"/>
    </w:rPr>
  </w:style>
  <w:style w:type="paragraph" w:customStyle="1" w:styleId="144">
    <w:name w:val="Address"/>
    <w:basedOn w:val="1"/>
    <w:next w:val="1"/>
    <w:qFormat/>
    <w:uiPriority w:val="99"/>
    <w:pPr>
      <w:autoSpaceDE w:val="0"/>
      <w:autoSpaceDN w:val="0"/>
      <w:adjustRightInd w:val="0"/>
      <w:jc w:val="left"/>
    </w:pPr>
    <w:rPr>
      <w:i/>
      <w:kern w:val="0"/>
      <w:sz w:val="24"/>
    </w:rPr>
  </w:style>
  <w:style w:type="paragraph" w:customStyle="1" w:styleId="145">
    <w:name w:val="xl109"/>
    <w:basedOn w:val="1"/>
    <w:qFormat/>
    <w:uiPriority w:val="99"/>
    <w:pPr>
      <w:widowControl/>
      <w:pBdr>
        <w:top w:val="single" w:color="auto" w:sz="4" w:space="0"/>
        <w:bottom w:val="single" w:color="auto" w:sz="4" w:space="0"/>
      </w:pBdr>
      <w:shd w:val="clear" w:color="000000" w:fill="B8CCE4"/>
      <w:spacing w:before="100" w:beforeAutospacing="1" w:after="100" w:afterAutospacing="1"/>
      <w:jc w:val="left"/>
    </w:pPr>
    <w:rPr>
      <w:rFonts w:ascii="Arial" w:hAnsi="Arial" w:cs="Arial"/>
      <w:kern w:val="0"/>
      <w:sz w:val="18"/>
      <w:szCs w:val="18"/>
    </w:rPr>
  </w:style>
  <w:style w:type="paragraph" w:customStyle="1" w:styleId="146">
    <w:name w:val="xl107"/>
    <w:basedOn w:val="1"/>
    <w:qFormat/>
    <w:uiPriority w:val="99"/>
    <w:pPr>
      <w:widowControl/>
      <w:pBdr>
        <w:top w:val="single" w:color="auto" w:sz="4" w:space="0"/>
        <w:bottom w:val="single" w:color="auto" w:sz="4" w:space="0"/>
        <w:right w:val="single" w:color="auto" w:sz="4" w:space="0"/>
      </w:pBdr>
      <w:shd w:val="clear" w:color="000000" w:fill="B8CCE4"/>
      <w:spacing w:before="100" w:beforeAutospacing="1" w:after="100" w:afterAutospacing="1"/>
      <w:jc w:val="left"/>
    </w:pPr>
    <w:rPr>
      <w:rFonts w:ascii="Arial" w:hAnsi="Arial" w:cs="Arial"/>
      <w:kern w:val="0"/>
      <w:sz w:val="18"/>
      <w:szCs w:val="18"/>
    </w:rPr>
  </w:style>
  <w:style w:type="paragraph" w:customStyle="1" w:styleId="147">
    <w:name w:val="xl94"/>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Arial" w:hAnsi="Arial" w:cs="Arial"/>
      <w:kern w:val="0"/>
      <w:sz w:val="18"/>
      <w:szCs w:val="18"/>
    </w:rPr>
  </w:style>
  <w:style w:type="paragraph" w:customStyle="1" w:styleId="148">
    <w:name w:val="xl111"/>
    <w:basedOn w:val="1"/>
    <w:qFormat/>
    <w:uiPriority w:val="99"/>
    <w:pPr>
      <w:widowControl/>
      <w:pBdr>
        <w:top w:val="single" w:color="auto" w:sz="4" w:space="0"/>
        <w:left w:val="single" w:color="auto" w:sz="4" w:space="0"/>
        <w:bottom w:val="single" w:color="auto" w:sz="4" w:space="0"/>
      </w:pBdr>
      <w:shd w:val="clear" w:color="000000" w:fill="B8CCE4"/>
      <w:spacing w:before="100" w:beforeAutospacing="1" w:after="100" w:afterAutospacing="1"/>
      <w:jc w:val="center"/>
    </w:pPr>
    <w:rPr>
      <w:rFonts w:ascii="宋体" w:hAnsi="宋体" w:cs="宋体"/>
      <w:b/>
      <w:bCs/>
      <w:kern w:val="0"/>
      <w:sz w:val="18"/>
      <w:szCs w:val="18"/>
    </w:rPr>
  </w:style>
  <w:style w:type="paragraph" w:customStyle="1" w:styleId="149">
    <w:name w:val="xl125"/>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left"/>
    </w:pPr>
    <w:rPr>
      <w:rFonts w:ascii="宋体" w:hAnsi="宋体" w:cs="宋体"/>
      <w:b/>
      <w:bCs/>
      <w:color w:val="000000"/>
      <w:kern w:val="0"/>
      <w:sz w:val="18"/>
      <w:szCs w:val="18"/>
    </w:rPr>
  </w:style>
  <w:style w:type="paragraph" w:customStyle="1" w:styleId="150">
    <w:name w:val="xl93"/>
    <w:basedOn w:val="1"/>
    <w:qFormat/>
    <w:uiPriority w:val="99"/>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151">
    <w:name w:val="xl97"/>
    <w:basedOn w:val="1"/>
    <w:qFormat/>
    <w:uiPriority w:val="99"/>
    <w:pPr>
      <w:widowControl/>
      <w:shd w:val="clear" w:color="000000" w:fill="FFFFFF"/>
      <w:spacing w:before="100" w:beforeAutospacing="1" w:after="100" w:afterAutospacing="1"/>
      <w:jc w:val="right"/>
    </w:pPr>
    <w:rPr>
      <w:rFonts w:ascii="Arial" w:hAnsi="Arial" w:cs="Arial"/>
      <w:kern w:val="0"/>
      <w:sz w:val="18"/>
      <w:szCs w:val="18"/>
    </w:rPr>
  </w:style>
  <w:style w:type="paragraph" w:customStyle="1" w:styleId="152">
    <w:name w:val="xl121"/>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left"/>
    </w:pPr>
    <w:rPr>
      <w:rFonts w:ascii="Arial" w:hAnsi="Arial" w:cs="Arial"/>
      <w:b/>
      <w:bCs/>
      <w:color w:val="000000"/>
      <w:kern w:val="0"/>
      <w:sz w:val="18"/>
      <w:szCs w:val="18"/>
    </w:rPr>
  </w:style>
  <w:style w:type="paragraph" w:customStyle="1" w:styleId="153">
    <w:name w:val="font12"/>
    <w:basedOn w:val="1"/>
    <w:qFormat/>
    <w:uiPriority w:val="99"/>
    <w:pPr>
      <w:widowControl/>
      <w:spacing w:before="100" w:beforeAutospacing="1" w:after="100" w:afterAutospacing="1"/>
      <w:jc w:val="left"/>
    </w:pPr>
    <w:rPr>
      <w:rFonts w:ascii="宋体" w:hAnsi="宋体" w:cs="宋体"/>
      <w:color w:val="000000"/>
      <w:kern w:val="0"/>
      <w:sz w:val="22"/>
      <w:szCs w:val="22"/>
    </w:rPr>
  </w:style>
  <w:style w:type="paragraph" w:customStyle="1" w:styleId="154">
    <w:name w:val="xl95"/>
    <w:basedOn w:val="1"/>
    <w:qFormat/>
    <w:uiPriority w:val="99"/>
    <w:pPr>
      <w:widowControl/>
      <w:shd w:val="clear" w:color="000000" w:fill="FFFFFF"/>
      <w:spacing w:before="100" w:beforeAutospacing="1" w:after="100" w:afterAutospacing="1"/>
      <w:jc w:val="left"/>
    </w:pPr>
    <w:rPr>
      <w:rFonts w:ascii="Arial" w:hAnsi="Arial" w:cs="Arial"/>
      <w:kern w:val="0"/>
      <w:sz w:val="18"/>
      <w:szCs w:val="18"/>
    </w:rPr>
  </w:style>
  <w:style w:type="paragraph" w:customStyle="1" w:styleId="155">
    <w:name w:val="xl100"/>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right"/>
    </w:pPr>
    <w:rPr>
      <w:rFonts w:ascii="Arial" w:hAnsi="Arial" w:cs="Arial"/>
      <w:kern w:val="0"/>
      <w:sz w:val="18"/>
      <w:szCs w:val="18"/>
    </w:rPr>
  </w:style>
  <w:style w:type="paragraph" w:customStyle="1" w:styleId="156">
    <w:name w:val="Char Char14"/>
    <w:basedOn w:val="1"/>
    <w:qFormat/>
    <w:uiPriority w:val="99"/>
    <w:pPr>
      <w:widowControl/>
      <w:spacing w:after="160" w:line="240" w:lineRule="exact"/>
      <w:jc w:val="left"/>
    </w:pPr>
    <w:rPr>
      <w:rFonts w:ascii="Arial" w:hAnsi="Arial" w:cs="Verdana"/>
      <w:b/>
      <w:kern w:val="0"/>
      <w:sz w:val="24"/>
      <w:szCs w:val="24"/>
      <w:lang w:eastAsia="en-US"/>
    </w:rPr>
  </w:style>
  <w:style w:type="paragraph" w:customStyle="1" w:styleId="157">
    <w:name w:val="xl122"/>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left"/>
    </w:pPr>
    <w:rPr>
      <w:rFonts w:ascii="Arial" w:hAnsi="Arial" w:cs="Arial"/>
      <w:color w:val="000000"/>
      <w:kern w:val="0"/>
      <w:sz w:val="18"/>
      <w:szCs w:val="18"/>
    </w:rPr>
  </w:style>
  <w:style w:type="paragraph" w:customStyle="1" w:styleId="158">
    <w:name w:val="xl9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w:hAnsi="Arial" w:cs="Arial"/>
      <w:kern w:val="0"/>
      <w:sz w:val="18"/>
      <w:szCs w:val="18"/>
    </w:rPr>
  </w:style>
  <w:style w:type="paragraph" w:customStyle="1" w:styleId="159">
    <w:name w:val="xl113"/>
    <w:basedOn w:val="1"/>
    <w:qFormat/>
    <w:uiPriority w:val="99"/>
    <w:pPr>
      <w:widowControl/>
      <w:pBdr>
        <w:top w:val="single" w:color="auto" w:sz="4" w:space="0"/>
        <w:left w:val="single" w:color="auto" w:sz="4" w:space="0"/>
        <w:bottom w:val="single" w:color="auto" w:sz="4" w:space="0"/>
        <w:right w:val="single" w:color="auto" w:sz="4" w:space="0"/>
      </w:pBdr>
      <w:shd w:val="clear" w:color="000000" w:fill="C4D79B"/>
      <w:spacing w:before="100" w:beforeAutospacing="1" w:after="100" w:afterAutospacing="1"/>
      <w:jc w:val="center"/>
    </w:pPr>
    <w:rPr>
      <w:rFonts w:ascii="Arial" w:hAnsi="Arial" w:cs="Arial"/>
      <w:b/>
      <w:bCs/>
      <w:kern w:val="0"/>
      <w:sz w:val="18"/>
      <w:szCs w:val="18"/>
    </w:rPr>
  </w:style>
  <w:style w:type="paragraph" w:customStyle="1" w:styleId="160">
    <w:name w:val="xl103"/>
    <w:basedOn w:val="1"/>
    <w:qFormat/>
    <w:uiPriority w:val="99"/>
    <w:pPr>
      <w:widowControl/>
      <w:pBdr>
        <w:top w:val="single" w:color="auto" w:sz="4" w:space="0"/>
        <w:bottom w:val="single" w:color="auto" w:sz="4" w:space="0"/>
      </w:pBdr>
      <w:shd w:val="clear" w:color="000000" w:fill="B8CCE4"/>
      <w:spacing w:before="100" w:beforeAutospacing="1" w:after="100" w:afterAutospacing="1"/>
      <w:jc w:val="left"/>
    </w:pPr>
    <w:rPr>
      <w:rFonts w:ascii="Arial" w:hAnsi="Arial" w:cs="Arial"/>
      <w:b/>
      <w:bCs/>
      <w:kern w:val="0"/>
      <w:sz w:val="18"/>
      <w:szCs w:val="18"/>
    </w:rPr>
  </w:style>
  <w:style w:type="paragraph" w:customStyle="1" w:styleId="161">
    <w:name w:val="xl92"/>
    <w:basedOn w:val="1"/>
    <w:qFormat/>
    <w:uiPriority w:val="99"/>
    <w:pPr>
      <w:widowControl/>
      <w:shd w:val="clear" w:color="000000" w:fill="FFFFFF"/>
      <w:spacing w:before="100" w:beforeAutospacing="1" w:after="100" w:afterAutospacing="1"/>
      <w:jc w:val="center"/>
    </w:pPr>
    <w:rPr>
      <w:rFonts w:ascii="Arial" w:hAnsi="Arial" w:cs="Arial"/>
      <w:kern w:val="0"/>
      <w:sz w:val="18"/>
      <w:szCs w:val="18"/>
    </w:rPr>
  </w:style>
  <w:style w:type="paragraph" w:customStyle="1" w:styleId="162">
    <w:name w:val="xl96"/>
    <w:basedOn w:val="1"/>
    <w:qFormat/>
    <w:uiPriority w:val="99"/>
    <w:pPr>
      <w:widowControl/>
      <w:shd w:val="clear" w:color="000000" w:fill="FFFFFF"/>
      <w:spacing w:before="100" w:beforeAutospacing="1" w:after="100" w:afterAutospacing="1"/>
      <w:jc w:val="center"/>
    </w:pPr>
    <w:rPr>
      <w:rFonts w:ascii="Arial" w:hAnsi="Arial" w:cs="Arial"/>
      <w:kern w:val="0"/>
      <w:sz w:val="18"/>
      <w:szCs w:val="18"/>
    </w:rPr>
  </w:style>
  <w:style w:type="paragraph" w:customStyle="1" w:styleId="163">
    <w:name w:val="font13"/>
    <w:basedOn w:val="1"/>
    <w:qFormat/>
    <w:uiPriority w:val="99"/>
    <w:pPr>
      <w:widowControl/>
      <w:spacing w:before="100" w:beforeAutospacing="1" w:after="100" w:afterAutospacing="1"/>
      <w:jc w:val="left"/>
    </w:pPr>
    <w:rPr>
      <w:rFonts w:ascii="Tahoma" w:hAnsi="Tahoma" w:cs="Tahoma"/>
      <w:b/>
      <w:bCs/>
      <w:color w:val="000000"/>
      <w:kern w:val="0"/>
      <w:sz w:val="18"/>
      <w:szCs w:val="18"/>
    </w:rPr>
  </w:style>
  <w:style w:type="paragraph" w:customStyle="1" w:styleId="164">
    <w:name w:val="TOC 标题1"/>
    <w:basedOn w:val="2"/>
    <w:next w:val="1"/>
    <w:qFormat/>
    <w:uiPriority w:val="99"/>
    <w:pPr>
      <w:widowControl/>
      <w:spacing w:before="480" w:line="276" w:lineRule="auto"/>
      <w:jc w:val="left"/>
      <w:outlineLvl w:val="9"/>
    </w:pPr>
    <w:rPr>
      <w:rFonts w:ascii="Cambria" w:hAnsi="Cambria"/>
      <w:color w:val="365F91"/>
      <w:kern w:val="0"/>
      <w:sz w:val="28"/>
      <w:szCs w:val="28"/>
    </w:rPr>
  </w:style>
  <w:style w:type="paragraph" w:customStyle="1" w:styleId="165">
    <w:name w:val="xl120"/>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right"/>
    </w:pPr>
    <w:rPr>
      <w:rFonts w:ascii="Arial" w:hAnsi="Arial" w:cs="Arial"/>
      <w:kern w:val="0"/>
      <w:sz w:val="18"/>
      <w:szCs w:val="18"/>
    </w:rPr>
  </w:style>
  <w:style w:type="paragraph" w:customStyle="1" w:styleId="166">
    <w:name w:val="xl130"/>
    <w:basedOn w:val="1"/>
    <w:qFormat/>
    <w:uiPriority w:val="99"/>
    <w:pPr>
      <w:widowControl/>
      <w:pBdr>
        <w:top w:val="single" w:color="auto" w:sz="4" w:space="0"/>
        <w:left w:val="single" w:color="auto" w:sz="4" w:space="0"/>
        <w:bottom w:val="single" w:color="auto" w:sz="4" w:space="0"/>
        <w:right w:val="single" w:color="auto" w:sz="4" w:space="0"/>
      </w:pBdr>
      <w:shd w:val="clear" w:color="000000" w:fill="C4D79B"/>
      <w:spacing w:before="100" w:beforeAutospacing="1" w:after="100" w:afterAutospacing="1"/>
      <w:jc w:val="center"/>
    </w:pPr>
    <w:rPr>
      <w:rFonts w:ascii="Arial" w:hAnsi="Arial" w:cs="Arial"/>
      <w:b/>
      <w:bCs/>
      <w:kern w:val="0"/>
      <w:sz w:val="18"/>
      <w:szCs w:val="18"/>
    </w:rPr>
  </w:style>
  <w:style w:type="paragraph" w:customStyle="1" w:styleId="167">
    <w:name w:val="xl128"/>
    <w:basedOn w:val="1"/>
    <w:qFormat/>
    <w:uiPriority w:val="99"/>
    <w:pPr>
      <w:widowControl/>
      <w:pBdr>
        <w:top w:val="single" w:color="auto" w:sz="4" w:space="0"/>
        <w:left w:val="single" w:color="auto" w:sz="4" w:space="0"/>
        <w:bottom w:val="single" w:color="auto" w:sz="4" w:space="0"/>
        <w:right w:val="single" w:color="auto" w:sz="4" w:space="0"/>
      </w:pBdr>
      <w:shd w:val="clear" w:color="000000" w:fill="C4D79B"/>
      <w:spacing w:before="100" w:beforeAutospacing="1" w:after="100" w:afterAutospacing="1"/>
      <w:jc w:val="center"/>
    </w:pPr>
    <w:rPr>
      <w:rFonts w:ascii="Arial" w:hAnsi="Arial" w:cs="Arial"/>
      <w:b/>
      <w:bCs/>
      <w:kern w:val="0"/>
      <w:sz w:val="18"/>
      <w:szCs w:val="18"/>
    </w:rPr>
  </w:style>
  <w:style w:type="paragraph" w:customStyle="1" w:styleId="168">
    <w:name w:val="xl123"/>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left"/>
    </w:pPr>
    <w:rPr>
      <w:rFonts w:ascii="Arial" w:hAnsi="Arial" w:cs="Arial"/>
      <w:b/>
      <w:bCs/>
      <w:color w:val="000000"/>
      <w:kern w:val="0"/>
      <w:sz w:val="18"/>
      <w:szCs w:val="18"/>
    </w:rPr>
  </w:style>
  <w:style w:type="paragraph" w:customStyle="1" w:styleId="169">
    <w:name w:val="xl98"/>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right"/>
    </w:pPr>
    <w:rPr>
      <w:rFonts w:ascii="Arial" w:hAnsi="Arial" w:cs="Arial"/>
      <w:kern w:val="0"/>
      <w:sz w:val="18"/>
      <w:szCs w:val="18"/>
    </w:rPr>
  </w:style>
  <w:style w:type="paragraph" w:customStyle="1" w:styleId="170">
    <w:name w:val="xl11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18"/>
      <w:szCs w:val="18"/>
    </w:rPr>
  </w:style>
  <w:style w:type="paragraph" w:customStyle="1" w:styleId="171">
    <w:name w:val="font17"/>
    <w:basedOn w:val="1"/>
    <w:qFormat/>
    <w:uiPriority w:val="99"/>
    <w:pPr>
      <w:widowControl/>
      <w:spacing w:before="100" w:beforeAutospacing="1" w:after="100" w:afterAutospacing="1"/>
      <w:jc w:val="left"/>
    </w:pPr>
    <w:rPr>
      <w:rFonts w:ascii="宋体" w:hAnsi="宋体" w:cs="宋体"/>
      <w:color w:val="000000"/>
      <w:kern w:val="0"/>
      <w:sz w:val="18"/>
      <w:szCs w:val="18"/>
    </w:rPr>
  </w:style>
  <w:style w:type="paragraph" w:customStyle="1" w:styleId="172">
    <w:name w:val="xl99"/>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center"/>
    </w:pPr>
    <w:rPr>
      <w:rFonts w:ascii="Arial" w:hAnsi="Arial" w:cs="Arial"/>
      <w:b/>
      <w:bCs/>
      <w:kern w:val="0"/>
      <w:sz w:val="18"/>
      <w:szCs w:val="18"/>
    </w:rPr>
  </w:style>
  <w:style w:type="paragraph" w:customStyle="1" w:styleId="173">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18"/>
      <w:szCs w:val="18"/>
    </w:rPr>
  </w:style>
  <w:style w:type="character" w:customStyle="1" w:styleId="174">
    <w:name w:val="aa1"/>
    <w:qFormat/>
    <w:uiPriority w:val="99"/>
    <w:rPr>
      <w:rFonts w:ascii="宋体" w:hAnsi="宋体" w:eastAsia="宋体"/>
      <w:sz w:val="18"/>
    </w:rPr>
  </w:style>
  <w:style w:type="character" w:customStyle="1" w:styleId="175">
    <w:name w:val="Text Char Char"/>
    <w:link w:val="176"/>
    <w:qFormat/>
    <w:locked/>
    <w:uiPriority w:val="99"/>
    <w:rPr>
      <w:rFonts w:ascii="宋体" w:eastAsia="宋体"/>
      <w:sz w:val="24"/>
      <w:lang w:eastAsia="en-US"/>
    </w:rPr>
  </w:style>
  <w:style w:type="paragraph" w:customStyle="1" w:styleId="176">
    <w:name w:val="Text"/>
    <w:basedOn w:val="1"/>
    <w:link w:val="175"/>
    <w:qFormat/>
    <w:uiPriority w:val="99"/>
    <w:pPr>
      <w:widowControl/>
      <w:spacing w:before="120"/>
    </w:pPr>
    <w:rPr>
      <w:rFonts w:ascii="宋体" w:hAnsiTheme="minorHAnsi" w:cstheme="minorBidi"/>
      <w:kern w:val="0"/>
      <w:sz w:val="24"/>
      <w:lang w:eastAsia="en-US"/>
    </w:rPr>
  </w:style>
  <w:style w:type="character" w:customStyle="1" w:styleId="177">
    <w:name w:val="apple-converted-space"/>
    <w:qFormat/>
    <w:uiPriority w:val="99"/>
  </w:style>
  <w:style w:type="paragraph" w:customStyle="1" w:styleId="178">
    <w:name w:val="A."/>
    <w:basedOn w:val="1"/>
    <w:qFormat/>
    <w:uiPriority w:val="99"/>
    <w:pPr>
      <w:widowControl/>
      <w:tabs>
        <w:tab w:val="left" w:pos="1134"/>
        <w:tab w:val="left" w:pos="1200"/>
      </w:tabs>
      <w:spacing w:before="240" w:line="240" w:lineRule="atLeast"/>
      <w:ind w:left="1134" w:hanging="567"/>
    </w:pPr>
    <w:rPr>
      <w:sz w:val="24"/>
    </w:rPr>
  </w:style>
  <w:style w:type="paragraph" w:customStyle="1" w:styleId="179">
    <w:name w:val="_Style 7"/>
    <w:basedOn w:val="1"/>
    <w:qFormat/>
    <w:uiPriority w:val="99"/>
    <w:pPr>
      <w:ind w:firstLine="420" w:firstLineChars="200"/>
    </w:pPr>
    <w:rPr>
      <w:rFonts w:ascii="宋体" w:hAnsi="宋体"/>
      <w:color w:val="333333"/>
      <w:sz w:val="24"/>
      <w:szCs w:val="24"/>
    </w:rPr>
  </w:style>
  <w:style w:type="paragraph" w:customStyle="1" w:styleId="180">
    <w:name w:val="_Style 5"/>
    <w:basedOn w:val="1"/>
    <w:qFormat/>
    <w:uiPriority w:val="99"/>
    <w:pPr>
      <w:ind w:left="720"/>
      <w:contextualSpacing/>
    </w:pPr>
    <w:rPr>
      <w:rFonts w:ascii="Calibri" w:hAnsi="Calibri"/>
      <w:szCs w:val="24"/>
    </w:rPr>
  </w:style>
  <w:style w:type="character" w:customStyle="1" w:styleId="181">
    <w:name w:val="c lh15"/>
    <w:qFormat/>
    <w:uiPriority w:val="99"/>
    <w:rPr>
      <w:rFonts w:cs="Times New Roman"/>
    </w:rPr>
  </w:style>
  <w:style w:type="paragraph" w:customStyle="1" w:styleId="182">
    <w:name w:val="_Style 91"/>
    <w:basedOn w:val="1"/>
    <w:qFormat/>
    <w:uiPriority w:val="99"/>
    <w:pPr>
      <w:ind w:firstLine="420" w:firstLineChars="200"/>
    </w:pPr>
    <w:rPr>
      <w:rFonts w:ascii="Calibri" w:hAnsi="Calibri"/>
    </w:rPr>
  </w:style>
  <w:style w:type="paragraph" w:customStyle="1" w:styleId="183">
    <w:name w:val="正文（首行缩进）"/>
    <w:basedOn w:val="1"/>
    <w:qFormat/>
    <w:uiPriority w:val="99"/>
    <w:pPr>
      <w:spacing w:afterLines="50"/>
      <w:ind w:firstLine="480" w:firstLineChars="200"/>
    </w:pPr>
    <w:rPr>
      <w:rFonts w:ascii="宋体" w:hAnsi="Calibri"/>
      <w:sz w:val="24"/>
      <w:szCs w:val="24"/>
    </w:rPr>
  </w:style>
  <w:style w:type="paragraph" w:customStyle="1" w:styleId="184">
    <w:name w:val="+正文"/>
    <w:basedOn w:val="1"/>
    <w:qFormat/>
    <w:uiPriority w:val="99"/>
    <w:pPr>
      <w:spacing w:line="360" w:lineRule="auto"/>
      <w:ind w:firstLine="200" w:firstLineChars="200"/>
    </w:pPr>
    <w:rPr>
      <w:rFonts w:ascii="Calibri" w:hAnsi="Calibri"/>
      <w:sz w:val="24"/>
      <w:szCs w:val="28"/>
    </w:rPr>
  </w:style>
  <w:style w:type="paragraph" w:customStyle="1" w:styleId="185">
    <w:name w:val="List Paragraph1"/>
    <w:basedOn w:val="1"/>
    <w:qFormat/>
    <w:uiPriority w:val="99"/>
    <w:pPr>
      <w:ind w:firstLine="420" w:firstLineChars="200"/>
    </w:pPr>
    <w:rPr>
      <w:rFonts w:ascii="Calibri" w:hAnsi="Calibri"/>
      <w:szCs w:val="24"/>
    </w:rPr>
  </w:style>
  <w:style w:type="character" w:customStyle="1" w:styleId="186">
    <w:name w:val="Char Char13"/>
    <w:qFormat/>
    <w:uiPriority w:val="99"/>
    <w:rPr>
      <w:rFonts w:ascii="黑体" w:eastAsia="黑体" w:cs="Times New Roman"/>
      <w:sz w:val="52"/>
      <w:lang w:val="en-US" w:eastAsia="zh-CN" w:bidi="ar-SA"/>
    </w:rPr>
  </w:style>
  <w:style w:type="character" w:customStyle="1" w:styleId="187">
    <w:name w:val="Char Char12"/>
    <w:qFormat/>
    <w:uiPriority w:val="99"/>
    <w:rPr>
      <w:rFonts w:ascii="Arial" w:hAnsi="Arial" w:eastAsia="黑体" w:cs="Times New Roman"/>
      <w:b/>
      <w:bCs/>
      <w:kern w:val="2"/>
      <w:sz w:val="32"/>
      <w:szCs w:val="32"/>
      <w:lang w:val="en-US" w:eastAsia="zh-CN" w:bidi="ar-SA"/>
    </w:rPr>
  </w:style>
  <w:style w:type="character" w:customStyle="1" w:styleId="188">
    <w:name w:val="Char Char11"/>
    <w:qFormat/>
    <w:uiPriority w:val="99"/>
    <w:rPr>
      <w:rFonts w:eastAsia="宋体" w:cs="Times New Roman"/>
      <w:b/>
      <w:sz w:val="32"/>
      <w:lang w:val="en-US" w:eastAsia="zh-CN" w:bidi="ar-SA"/>
    </w:rPr>
  </w:style>
  <w:style w:type="character" w:customStyle="1" w:styleId="189">
    <w:name w:val="Char Char10"/>
    <w:qFormat/>
    <w:uiPriority w:val="99"/>
    <w:rPr>
      <w:rFonts w:ascii="Arial" w:hAnsi="Arial" w:eastAsia="黑体" w:cs="Times New Roman"/>
      <w:b/>
      <w:bCs/>
      <w:kern w:val="2"/>
      <w:sz w:val="28"/>
      <w:szCs w:val="28"/>
      <w:lang w:val="en-US" w:eastAsia="zh-CN" w:bidi="ar-SA"/>
    </w:rPr>
  </w:style>
  <w:style w:type="character" w:customStyle="1" w:styleId="190">
    <w:name w:val="样式 标题 2 + 楷体_GB2312 小三 蓝色 行距: 1.5 倍行距 Char"/>
    <w:link w:val="191"/>
    <w:qFormat/>
    <w:locked/>
    <w:uiPriority w:val="99"/>
    <w:rPr>
      <w:rFonts w:ascii="楷体_GB2312" w:hAnsi="宋体" w:eastAsia="楷体_GB2312" w:cs="宋体"/>
      <w:b/>
      <w:bCs/>
      <w:color w:val="0000FF"/>
      <w:kern w:val="2"/>
      <w:sz w:val="28"/>
    </w:rPr>
  </w:style>
  <w:style w:type="paragraph" w:customStyle="1" w:styleId="191">
    <w:name w:val="样式 标题 2 + 楷体_GB2312 小三 蓝色 行距: 1.5 倍行距"/>
    <w:basedOn w:val="3"/>
    <w:link w:val="190"/>
    <w:qFormat/>
    <w:uiPriority w:val="99"/>
    <w:pPr>
      <w:jc w:val="both"/>
    </w:pPr>
    <w:rPr>
      <w:rFonts w:ascii="楷体_GB2312" w:eastAsia="楷体_GB2312" w:cs="宋体"/>
      <w:bCs/>
      <w:color w:val="0000FF"/>
      <w:kern w:val="2"/>
      <w:sz w:val="28"/>
      <w:szCs w:val="20"/>
    </w:rPr>
  </w:style>
  <w:style w:type="character" w:customStyle="1" w:styleId="192">
    <w:name w:val="样式 标题 1 + 宋体 小三 Char"/>
    <w:link w:val="193"/>
    <w:qFormat/>
    <w:locked/>
    <w:uiPriority w:val="99"/>
    <w:rPr>
      <w:rFonts w:ascii="宋体" w:hAnsi="宋体" w:eastAsia="楷体_GB2312" w:cs="Times New Roman"/>
      <w:b/>
      <w:bCs/>
      <w:kern w:val="44"/>
      <w:sz w:val="28"/>
      <w:szCs w:val="28"/>
    </w:rPr>
  </w:style>
  <w:style w:type="paragraph" w:customStyle="1" w:styleId="193">
    <w:name w:val="样式 标题 1 + 宋体 小三"/>
    <w:basedOn w:val="2"/>
    <w:link w:val="192"/>
    <w:qFormat/>
    <w:uiPriority w:val="99"/>
    <w:pPr>
      <w:spacing w:line="520" w:lineRule="exact"/>
      <w:ind w:left="200" w:leftChars="200"/>
    </w:pPr>
    <w:rPr>
      <w:rFonts w:ascii="宋体" w:hAnsi="宋体" w:eastAsia="楷体_GB2312"/>
      <w:b/>
      <w:bCs/>
      <w:sz w:val="28"/>
      <w:szCs w:val="28"/>
    </w:rPr>
  </w:style>
  <w:style w:type="character" w:customStyle="1" w:styleId="194">
    <w:name w:val="Char Char6"/>
    <w:qFormat/>
    <w:uiPriority w:val="99"/>
    <w:rPr>
      <w:rFonts w:eastAsia="宋体" w:cs="Times New Roman"/>
      <w:b/>
      <w:bCs/>
      <w:kern w:val="44"/>
      <w:sz w:val="28"/>
      <w:szCs w:val="28"/>
      <w:lang w:val="en-US" w:eastAsia="zh-CN" w:bidi="ar-SA"/>
    </w:rPr>
  </w:style>
  <w:style w:type="character" w:customStyle="1" w:styleId="195">
    <w:name w:val="样式 标题 1 + 宋体 三号 Char"/>
    <w:link w:val="196"/>
    <w:qFormat/>
    <w:locked/>
    <w:uiPriority w:val="99"/>
    <w:rPr>
      <w:rFonts w:ascii="宋体" w:hAnsi="宋体" w:eastAsia="宋体" w:cs="Times New Roman"/>
      <w:b/>
      <w:bCs/>
      <w:kern w:val="44"/>
      <w:sz w:val="28"/>
      <w:szCs w:val="28"/>
    </w:rPr>
  </w:style>
  <w:style w:type="paragraph" w:customStyle="1" w:styleId="196">
    <w:name w:val="样式 标题 1 + 宋体 三号"/>
    <w:basedOn w:val="2"/>
    <w:link w:val="195"/>
    <w:qFormat/>
    <w:uiPriority w:val="99"/>
    <w:pPr>
      <w:spacing w:before="340" w:after="330" w:line="578" w:lineRule="auto"/>
      <w:ind w:left="200" w:leftChars="200"/>
    </w:pPr>
    <w:rPr>
      <w:rFonts w:ascii="宋体" w:hAnsi="宋体" w:eastAsia="宋体"/>
      <w:b/>
      <w:bCs/>
      <w:sz w:val="28"/>
      <w:szCs w:val="28"/>
    </w:rPr>
  </w:style>
  <w:style w:type="character" w:customStyle="1" w:styleId="197">
    <w:name w:val="样式 标题 3 + 楷体_GB2312 蓝色 Char"/>
    <w:link w:val="198"/>
    <w:qFormat/>
    <w:locked/>
    <w:uiPriority w:val="99"/>
    <w:rPr>
      <w:rFonts w:ascii="楷体_GB2312" w:hAnsi="楷体_GB2312" w:eastAsia="楷体_GB2312" w:cs="Times New Roman"/>
      <w:b/>
      <w:bCs/>
      <w:color w:val="0000FF"/>
      <w:kern w:val="2"/>
      <w:sz w:val="32"/>
      <w:szCs w:val="32"/>
    </w:rPr>
  </w:style>
  <w:style w:type="paragraph" w:customStyle="1" w:styleId="198">
    <w:name w:val="样式 标题 3 + 楷体_GB2312 蓝色"/>
    <w:basedOn w:val="4"/>
    <w:link w:val="197"/>
    <w:qFormat/>
    <w:uiPriority w:val="99"/>
    <w:pPr>
      <w:spacing w:before="0" w:line="360" w:lineRule="auto"/>
      <w:ind w:left="200" w:leftChars="200"/>
    </w:pPr>
    <w:rPr>
      <w:rFonts w:ascii="楷体_GB2312" w:hAnsi="楷体_GB2312" w:eastAsia="楷体_GB2312"/>
      <w:color w:val="0000FF"/>
      <w:kern w:val="2"/>
      <w:sz w:val="32"/>
      <w:szCs w:val="32"/>
    </w:rPr>
  </w:style>
  <w:style w:type="character" w:customStyle="1" w:styleId="199">
    <w:name w:val="Char Char4"/>
    <w:qFormat/>
    <w:uiPriority w:val="99"/>
    <w:rPr>
      <w:rFonts w:eastAsia="宋体"/>
      <w:b/>
      <w:kern w:val="2"/>
      <w:sz w:val="32"/>
      <w:lang w:val="en-US" w:eastAsia="zh-CN"/>
    </w:rPr>
  </w:style>
  <w:style w:type="character" w:customStyle="1" w:styleId="200">
    <w:name w:val="2级标题 Char"/>
    <w:link w:val="201"/>
    <w:locked/>
    <w:uiPriority w:val="99"/>
    <w:rPr>
      <w:kern w:val="2"/>
      <w:sz w:val="21"/>
    </w:rPr>
  </w:style>
  <w:style w:type="paragraph" w:customStyle="1" w:styleId="201">
    <w:name w:val="2级标题"/>
    <w:basedOn w:val="1"/>
    <w:link w:val="200"/>
    <w:qFormat/>
    <w:uiPriority w:val="99"/>
    <w:pPr>
      <w:tabs>
        <w:tab w:val="left" w:pos="0"/>
      </w:tabs>
      <w:ind w:left="790" w:hanging="200" w:hangingChars="200"/>
    </w:pPr>
    <w:rPr>
      <w:rFonts w:asciiTheme="minorHAnsi" w:hAnsiTheme="minorHAnsi" w:eastAsiaTheme="minorEastAsia" w:cstheme="minorBidi"/>
    </w:rPr>
  </w:style>
  <w:style w:type="character" w:customStyle="1" w:styleId="202">
    <w:name w:val="样式 标题 3 + 黑体 小三 非加粗 行距: 1.5 倍行距 Char"/>
    <w:link w:val="203"/>
    <w:qFormat/>
    <w:locked/>
    <w:uiPriority w:val="99"/>
    <w:rPr>
      <w:rFonts w:ascii="黑体" w:hAnsi="宋体" w:eastAsia="黑体" w:cs="宋体"/>
      <w:color w:val="000000"/>
      <w:sz w:val="30"/>
      <w:u w:color="000000"/>
    </w:rPr>
  </w:style>
  <w:style w:type="paragraph" w:customStyle="1" w:styleId="203">
    <w:name w:val="样式 标题 3 + 黑体 小三 非加粗 行距: 1.5 倍行距"/>
    <w:basedOn w:val="4"/>
    <w:link w:val="202"/>
    <w:qFormat/>
    <w:uiPriority w:val="99"/>
    <w:pPr>
      <w:spacing w:beforeLines="100" w:afterLines="100"/>
      <w:ind w:left="200" w:leftChars="200" w:firstLine="420"/>
      <w:textAlignment w:val="baseline"/>
    </w:pPr>
    <w:rPr>
      <w:rFonts w:ascii="黑体" w:eastAsia="黑体" w:cs="宋体"/>
      <w:b w:val="0"/>
      <w:bCs w:val="0"/>
      <w:color w:val="000000"/>
      <w:sz w:val="30"/>
      <w:szCs w:val="20"/>
      <w:u w:color="000000"/>
    </w:rPr>
  </w:style>
  <w:style w:type="character" w:customStyle="1" w:styleId="204">
    <w:name w:val="无间隔 Char"/>
    <w:link w:val="205"/>
    <w:qFormat/>
    <w:locked/>
    <w:uiPriority w:val="99"/>
    <w:rPr>
      <w:rFonts w:cs="Times New Roman"/>
      <w:sz w:val="22"/>
      <w:szCs w:val="22"/>
    </w:rPr>
  </w:style>
  <w:style w:type="paragraph" w:customStyle="1" w:styleId="205">
    <w:name w:val="无间隔1"/>
    <w:link w:val="204"/>
    <w:qFormat/>
    <w:uiPriority w:val="99"/>
    <w:rPr>
      <w:rFonts w:cs="Times New Roman" w:asciiTheme="minorHAnsi" w:hAnsiTheme="minorHAnsi" w:eastAsiaTheme="minorEastAsia"/>
      <w:sz w:val="22"/>
      <w:szCs w:val="22"/>
      <w:lang w:val="en-US" w:eastAsia="zh-CN" w:bidi="ar-SA"/>
    </w:rPr>
  </w:style>
  <w:style w:type="character" w:customStyle="1" w:styleId="206">
    <w:name w:val="Char Char2"/>
    <w:qFormat/>
    <w:uiPriority w:val="99"/>
    <w:rPr>
      <w:rFonts w:eastAsia="宋体" w:cs="Times New Roman"/>
      <w:kern w:val="2"/>
      <w:sz w:val="18"/>
      <w:szCs w:val="18"/>
      <w:lang w:val="en-US" w:eastAsia="zh-CN" w:bidi="ar-SA"/>
    </w:rPr>
  </w:style>
  <w:style w:type="character" w:customStyle="1" w:styleId="207">
    <w:name w:val="Char Char3"/>
    <w:qFormat/>
    <w:uiPriority w:val="99"/>
    <w:rPr>
      <w:rFonts w:eastAsia="宋体" w:cs="Times New Roman"/>
      <w:kern w:val="2"/>
      <w:sz w:val="18"/>
      <w:szCs w:val="18"/>
      <w:lang w:val="en-US" w:eastAsia="zh-CN" w:bidi="ar-SA"/>
    </w:rPr>
  </w:style>
  <w:style w:type="character" w:customStyle="1" w:styleId="208">
    <w:name w:val="正文3 Char"/>
    <w:link w:val="209"/>
    <w:qFormat/>
    <w:locked/>
    <w:uiPriority w:val="99"/>
    <w:rPr>
      <w:rFonts w:cs="宋体"/>
      <w:kern w:val="44"/>
      <w:sz w:val="24"/>
      <w:szCs w:val="24"/>
    </w:rPr>
  </w:style>
  <w:style w:type="paragraph" w:customStyle="1" w:styleId="209">
    <w:name w:val="正文3"/>
    <w:basedOn w:val="1"/>
    <w:link w:val="208"/>
    <w:qFormat/>
    <w:uiPriority w:val="99"/>
    <w:pPr>
      <w:spacing w:line="480" w:lineRule="auto"/>
      <w:ind w:firstLine="480" w:firstLineChars="200"/>
    </w:pPr>
    <w:rPr>
      <w:rFonts w:cs="宋体" w:asciiTheme="minorHAnsi" w:hAnsiTheme="minorHAnsi" w:eastAsiaTheme="minorEastAsia"/>
      <w:kern w:val="44"/>
      <w:sz w:val="24"/>
      <w:szCs w:val="24"/>
    </w:rPr>
  </w:style>
  <w:style w:type="character" w:customStyle="1" w:styleId="210">
    <w:name w:val="样式 标题 2 + 黑体 小三 非加粗 行距: 1.5 倍行距1 Char"/>
    <w:link w:val="211"/>
    <w:qFormat/>
    <w:locked/>
    <w:uiPriority w:val="99"/>
    <w:rPr>
      <w:rFonts w:ascii="黑体" w:hAnsi="Arial" w:eastAsia="黑体" w:cs="宋体"/>
      <w:b/>
      <w:color w:val="000000"/>
      <w:kern w:val="2"/>
      <w:sz w:val="24"/>
      <w:szCs w:val="24"/>
      <w:u w:color="000000"/>
    </w:rPr>
  </w:style>
  <w:style w:type="paragraph" w:customStyle="1" w:styleId="211">
    <w:name w:val="样式 标题 2 + 黑体 小三 非加粗 行距: 1.5 倍行距1"/>
    <w:basedOn w:val="3"/>
    <w:link w:val="210"/>
    <w:qFormat/>
    <w:uiPriority w:val="99"/>
    <w:pPr>
      <w:widowControl/>
      <w:spacing w:before="260" w:after="260"/>
      <w:ind w:firstLine="420"/>
      <w:jc w:val="both"/>
      <w:textAlignment w:val="baseline"/>
    </w:pPr>
    <w:rPr>
      <w:rFonts w:ascii="黑体" w:hAnsi="Arial" w:eastAsia="黑体" w:cs="宋体"/>
      <w:color w:val="000000"/>
      <w:kern w:val="2"/>
      <w:u w:color="000000"/>
    </w:rPr>
  </w:style>
  <w:style w:type="character" w:customStyle="1" w:styleId="212">
    <w:name w:val="表格文字 Char"/>
    <w:link w:val="213"/>
    <w:qFormat/>
    <w:locked/>
    <w:uiPriority w:val="99"/>
    <w:rPr>
      <w:rFonts w:cs="Times New Roman"/>
      <w:kern w:val="2"/>
      <w:sz w:val="24"/>
      <w:szCs w:val="24"/>
    </w:rPr>
  </w:style>
  <w:style w:type="paragraph" w:customStyle="1" w:styleId="213">
    <w:name w:val="表格文字"/>
    <w:basedOn w:val="1"/>
    <w:link w:val="212"/>
    <w:qFormat/>
    <w:uiPriority w:val="99"/>
    <w:pPr>
      <w:jc w:val="center"/>
    </w:pPr>
    <w:rPr>
      <w:rFonts w:asciiTheme="minorHAnsi" w:hAnsiTheme="minorHAnsi" w:eastAsiaTheme="minorEastAsia"/>
      <w:sz w:val="24"/>
      <w:szCs w:val="24"/>
    </w:rPr>
  </w:style>
  <w:style w:type="character" w:customStyle="1" w:styleId="214">
    <w:name w:val="列出段落 Char1"/>
    <w:qFormat/>
    <w:locked/>
    <w:uiPriority w:val="99"/>
    <w:rPr>
      <w:rFonts w:ascii="Calibri" w:hAnsi="Calibri" w:eastAsia="宋体" w:cs="Times New Roman"/>
      <w:kern w:val="2"/>
      <w:sz w:val="22"/>
      <w:szCs w:val="22"/>
      <w:lang w:val="en-US" w:eastAsia="zh-CN" w:bidi="ar-SA"/>
    </w:rPr>
  </w:style>
  <w:style w:type="character" w:customStyle="1" w:styleId="215">
    <w:name w:val="列出段落 Char"/>
    <w:link w:val="216"/>
    <w:qFormat/>
    <w:locked/>
    <w:uiPriority w:val="99"/>
    <w:rPr>
      <w:rFonts w:ascii="宋体" w:eastAsia="宋体" w:cs="Times New Roman"/>
      <w:color w:val="333333"/>
      <w:kern w:val="2"/>
      <w:sz w:val="24"/>
      <w:szCs w:val="24"/>
    </w:rPr>
  </w:style>
  <w:style w:type="paragraph" w:customStyle="1" w:styleId="216">
    <w:name w:val="列出段落111"/>
    <w:basedOn w:val="1"/>
    <w:link w:val="215"/>
    <w:qFormat/>
    <w:uiPriority w:val="99"/>
    <w:pPr>
      <w:ind w:firstLine="420" w:firstLineChars="200"/>
    </w:pPr>
    <w:rPr>
      <w:rFonts w:ascii="宋体" w:hAnsiTheme="minorHAnsi"/>
      <w:color w:val="333333"/>
      <w:sz w:val="24"/>
      <w:szCs w:val="24"/>
    </w:rPr>
  </w:style>
  <w:style w:type="character" w:customStyle="1" w:styleId="217">
    <w:name w:val="Char Char7"/>
    <w:qFormat/>
    <w:uiPriority w:val="99"/>
    <w:rPr>
      <w:rFonts w:ascii="宋体" w:hAnsi="Courier New" w:eastAsia="宋体" w:cs="Times New Roman"/>
      <w:kern w:val="2"/>
      <w:sz w:val="21"/>
      <w:lang w:val="en-US" w:eastAsia="zh-CN" w:bidi="ar-SA"/>
    </w:rPr>
  </w:style>
  <w:style w:type="paragraph" w:customStyle="1" w:styleId="218">
    <w:name w:val="_Style 10"/>
    <w:basedOn w:val="1"/>
    <w:qFormat/>
    <w:uiPriority w:val="99"/>
    <w:pPr>
      <w:pageBreakBefore/>
      <w:adjustRightInd w:val="0"/>
      <w:spacing w:line="360" w:lineRule="atLeast"/>
      <w:jc w:val="left"/>
      <w:textAlignment w:val="baseline"/>
    </w:pPr>
    <w:rPr>
      <w:kern w:val="0"/>
      <w:sz w:val="28"/>
    </w:rPr>
  </w:style>
  <w:style w:type="paragraph" w:customStyle="1" w:styleId="219">
    <w:name w:val="XW正文"/>
    <w:basedOn w:val="19"/>
    <w:qFormat/>
    <w:uiPriority w:val="99"/>
    <w:pPr>
      <w:adjustRightInd w:val="0"/>
      <w:snapToGrid w:val="0"/>
      <w:spacing w:after="0" w:line="300" w:lineRule="auto"/>
      <w:ind w:left="0" w:leftChars="0" w:firstLine="520" w:firstLineChars="200"/>
      <w:jc w:val="left"/>
    </w:pPr>
  </w:style>
  <w:style w:type="character" w:customStyle="1" w:styleId="220">
    <w:name w:val="font31"/>
    <w:qFormat/>
    <w:uiPriority w:val="99"/>
    <w:rPr>
      <w:rFonts w:ascii="宋体" w:hAnsi="宋体" w:eastAsia="宋体"/>
      <w:color w:val="000000"/>
      <w:sz w:val="24"/>
      <w:u w:val="none"/>
    </w:rPr>
  </w:style>
  <w:style w:type="character" w:customStyle="1" w:styleId="221">
    <w:name w:val="font71"/>
    <w:qFormat/>
    <w:uiPriority w:val="99"/>
    <w:rPr>
      <w:rFonts w:ascii="宋体" w:hAnsi="宋体" w:eastAsia="宋体"/>
      <w:color w:val="000000"/>
      <w:sz w:val="24"/>
      <w:u w:val="none"/>
      <w:vertAlign w:val="superscript"/>
    </w:rPr>
  </w:style>
  <w:style w:type="character" w:customStyle="1" w:styleId="222">
    <w:name w:val="font41"/>
    <w:qFormat/>
    <w:uiPriority w:val="99"/>
    <w:rPr>
      <w:rFonts w:ascii="宋体" w:hAnsi="宋体" w:eastAsia="宋体"/>
      <w:color w:val="000000"/>
      <w:sz w:val="22"/>
      <w:u w:val="none"/>
      <w:vertAlign w:val="superscript"/>
    </w:rPr>
  </w:style>
  <w:style w:type="character" w:customStyle="1" w:styleId="223">
    <w:name w:val="HTML Preformatted Char1"/>
    <w:qFormat/>
    <w:locked/>
    <w:uiPriority w:val="99"/>
    <w:rPr>
      <w:rFonts w:ascii="Arial" w:hAnsi="Arial"/>
      <w:sz w:val="24"/>
    </w:rPr>
  </w:style>
  <w:style w:type="character" w:customStyle="1" w:styleId="224">
    <w:name w:val="font51"/>
    <w:qFormat/>
    <w:uiPriority w:val="99"/>
    <w:rPr>
      <w:rFonts w:ascii="宋体" w:hAnsi="宋体" w:eastAsia="宋体"/>
      <w:color w:val="000000"/>
      <w:sz w:val="24"/>
      <w:u w:val="none"/>
    </w:rPr>
  </w:style>
  <w:style w:type="character" w:customStyle="1" w:styleId="225">
    <w:name w:val="Title Char1"/>
    <w:qFormat/>
    <w:locked/>
    <w:uiPriority w:val="99"/>
    <w:rPr>
      <w:rFonts w:ascii="Cambria" w:hAnsi="Cambria"/>
      <w:b/>
      <w:kern w:val="2"/>
      <w:sz w:val="32"/>
    </w:rPr>
  </w:style>
  <w:style w:type="character" w:customStyle="1" w:styleId="226">
    <w:name w:val="font81"/>
    <w:qFormat/>
    <w:uiPriority w:val="99"/>
    <w:rPr>
      <w:rFonts w:ascii="Arial" w:hAnsi="Arial"/>
      <w:color w:val="000000"/>
      <w:sz w:val="24"/>
      <w:u w:val="none"/>
    </w:rPr>
  </w:style>
  <w:style w:type="character" w:customStyle="1" w:styleId="227">
    <w:name w:val="font61"/>
    <w:qFormat/>
    <w:uiPriority w:val="99"/>
    <w:rPr>
      <w:rFonts w:ascii="宋体" w:hAnsi="宋体" w:eastAsia="宋体"/>
      <w:color w:val="000000"/>
      <w:sz w:val="24"/>
      <w:u w:val="none"/>
    </w:rPr>
  </w:style>
  <w:style w:type="character" w:customStyle="1" w:styleId="228">
    <w:name w:val="font21"/>
    <w:qFormat/>
    <w:uiPriority w:val="99"/>
    <w:rPr>
      <w:rFonts w:ascii="宋体" w:hAnsi="宋体" w:eastAsia="宋体"/>
      <w:color w:val="000000"/>
      <w:sz w:val="24"/>
      <w:u w:val="none"/>
      <w:vertAlign w:val="superscript"/>
    </w:rPr>
  </w:style>
  <w:style w:type="character" w:customStyle="1" w:styleId="229">
    <w:name w:val="a14baihang201"/>
    <w:qFormat/>
    <w:uiPriority w:val="99"/>
    <w:rPr>
      <w:color w:val="000000"/>
      <w:sz w:val="23"/>
    </w:rPr>
  </w:style>
  <w:style w:type="paragraph" w:customStyle="1" w:styleId="230">
    <w:name w:val="列出段落11"/>
    <w:basedOn w:val="1"/>
    <w:qFormat/>
    <w:uiPriority w:val="99"/>
    <w:pPr>
      <w:ind w:firstLine="420" w:firstLineChars="200"/>
    </w:pPr>
    <w:rPr>
      <w:rFonts w:ascii="Calibri" w:hAnsi="Calibri"/>
      <w:szCs w:val="22"/>
    </w:rPr>
  </w:style>
  <w:style w:type="paragraph" w:customStyle="1" w:styleId="231">
    <w:name w:val="style10"/>
    <w:basedOn w:val="1"/>
    <w:qFormat/>
    <w:uiPriority w:val="99"/>
    <w:pPr>
      <w:widowControl/>
      <w:spacing w:before="100" w:beforeAutospacing="1" w:after="100" w:afterAutospacing="1"/>
      <w:jc w:val="left"/>
    </w:pPr>
    <w:rPr>
      <w:rFonts w:ascii="宋体" w:hAnsi="宋体"/>
      <w:b/>
      <w:bCs/>
      <w:color w:val="339966"/>
      <w:kern w:val="0"/>
      <w:sz w:val="24"/>
      <w:szCs w:val="24"/>
    </w:rPr>
  </w:style>
  <w:style w:type="paragraph" w:customStyle="1" w:styleId="232">
    <w:name w:val="xl6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24"/>
      <w:szCs w:val="24"/>
    </w:rPr>
  </w:style>
  <w:style w:type="paragraph" w:customStyle="1" w:styleId="233">
    <w:name w:val="无间隔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4">
    <w:name w:val="Char Char Char Char Char Char Char Char Char Char Char Char Char Char Char Char Char Char Char"/>
    <w:basedOn w:val="1"/>
    <w:qFormat/>
    <w:uiPriority w:val="99"/>
    <w:pPr>
      <w:widowControl/>
      <w:spacing w:after="160" w:line="240" w:lineRule="exact"/>
      <w:jc w:val="left"/>
    </w:pPr>
    <w:rPr>
      <w:szCs w:val="24"/>
    </w:rPr>
  </w:style>
  <w:style w:type="paragraph" w:customStyle="1" w:styleId="235">
    <w:name w:val="UP正文"/>
    <w:basedOn w:val="1"/>
    <w:qFormat/>
    <w:uiPriority w:val="99"/>
    <w:pPr>
      <w:spacing w:line="360" w:lineRule="auto"/>
      <w:ind w:left="420" w:leftChars="200" w:firstLine="420" w:firstLineChars="200"/>
    </w:pPr>
    <w:rPr>
      <w:rFonts w:ascii="Tahoma" w:cs="宋体"/>
    </w:rPr>
  </w:style>
  <w:style w:type="paragraph" w:customStyle="1" w:styleId="236">
    <w:name w:val="条2"/>
    <w:basedOn w:val="1"/>
    <w:next w:val="1"/>
    <w:qFormat/>
    <w:uiPriority w:val="99"/>
    <w:pPr>
      <w:ind w:left="1040"/>
      <w:outlineLvl w:val="1"/>
    </w:pPr>
    <w:rPr>
      <w:rFonts w:ascii="黑体" w:hAnsi="Calibri" w:eastAsia="黑体"/>
      <w:kern w:val="21"/>
    </w:rPr>
  </w:style>
  <w:style w:type="paragraph" w:customStyle="1" w:styleId="237">
    <w:name w:val="style9"/>
    <w:basedOn w:val="1"/>
    <w:qFormat/>
    <w:uiPriority w:val="99"/>
    <w:pPr>
      <w:widowControl/>
      <w:spacing w:before="100" w:beforeAutospacing="1" w:after="100" w:afterAutospacing="1"/>
      <w:jc w:val="left"/>
    </w:pPr>
    <w:rPr>
      <w:rFonts w:ascii="宋体" w:hAnsi="宋体"/>
      <w:color w:val="666666"/>
      <w:kern w:val="0"/>
      <w:sz w:val="24"/>
      <w:szCs w:val="24"/>
    </w:rPr>
  </w:style>
  <w:style w:type="paragraph" w:customStyle="1" w:styleId="238">
    <w:name w:val="样式 标题 2节1.1 标题 2节标题 1.1h2l22nd levelTitre22Header 2节标题..."/>
    <w:basedOn w:val="3"/>
    <w:qFormat/>
    <w:uiPriority w:val="99"/>
    <w:pPr>
      <w:keepNext w:val="0"/>
      <w:keepLines w:val="0"/>
      <w:adjustRightInd w:val="0"/>
      <w:snapToGrid w:val="0"/>
      <w:spacing w:line="520" w:lineRule="exact"/>
    </w:pPr>
    <w:rPr>
      <w:rFonts w:ascii="Times New Roman" w:hAnsi="Times New Roman"/>
      <w:b w:val="0"/>
      <w:bCs/>
    </w:rPr>
  </w:style>
  <w:style w:type="paragraph" w:customStyle="1" w:styleId="239">
    <w:name w:val="_Style 1"/>
    <w:basedOn w:val="1"/>
    <w:qFormat/>
    <w:uiPriority w:val="99"/>
    <w:pPr>
      <w:ind w:firstLine="420" w:firstLineChars="200"/>
    </w:pPr>
    <w:rPr>
      <w:szCs w:val="24"/>
    </w:rPr>
  </w:style>
  <w:style w:type="paragraph" w:customStyle="1" w:styleId="240">
    <w:name w:val="_Style 2"/>
    <w:basedOn w:val="1"/>
    <w:qFormat/>
    <w:uiPriority w:val="99"/>
    <w:pPr>
      <w:ind w:left="720"/>
      <w:contextualSpacing/>
    </w:pPr>
    <w:rPr>
      <w:szCs w:val="24"/>
    </w:rPr>
  </w:style>
  <w:style w:type="paragraph" w:customStyle="1" w:styleId="241">
    <w:name w:val="正文 New New New New New New New New New New"/>
    <w:uiPriority w:val="99"/>
    <w:pPr>
      <w:widowControl w:val="0"/>
      <w:jc w:val="both"/>
    </w:pPr>
    <w:rPr>
      <w:rFonts w:ascii="Calibri" w:hAnsi="Calibri" w:eastAsia="宋体" w:cs="Times New Roman"/>
      <w:kern w:val="2"/>
      <w:sz w:val="21"/>
      <w:szCs w:val="22"/>
      <w:lang w:val="en-US" w:eastAsia="zh-CN" w:bidi="ar-SA"/>
    </w:rPr>
  </w:style>
  <w:style w:type="paragraph" w:customStyle="1" w:styleId="242">
    <w:name w:val="样式1"/>
    <w:basedOn w:val="1"/>
    <w:uiPriority w:val="99"/>
    <w:pPr>
      <w:ind w:firstLine="880" w:firstLineChars="200"/>
    </w:pPr>
    <w:rPr>
      <w:rFonts w:ascii="Calibri" w:hAnsi="Calibri"/>
      <w:szCs w:val="24"/>
    </w:rPr>
  </w:style>
  <w:style w:type="paragraph" w:customStyle="1" w:styleId="243">
    <w:name w:val="列出段落2"/>
    <w:basedOn w:val="1"/>
    <w:uiPriority w:val="99"/>
    <w:pPr>
      <w:ind w:firstLine="420" w:firstLineChars="200"/>
    </w:pPr>
    <w:rPr>
      <w:szCs w:val="24"/>
    </w:rPr>
  </w:style>
  <w:style w:type="paragraph" w:customStyle="1" w:styleId="244">
    <w:name w:val="三角"/>
    <w:basedOn w:val="1"/>
    <w:uiPriority w:val="99"/>
    <w:pPr>
      <w:tabs>
        <w:tab w:val="left" w:pos="720"/>
        <w:tab w:val="left" w:pos="1089"/>
      </w:tabs>
      <w:spacing w:before="40" w:after="40" w:line="240" w:lineRule="exact"/>
      <w:ind w:left="720" w:hanging="720"/>
    </w:pPr>
    <w:rPr>
      <w:rFonts w:eastAsia="幼圆"/>
      <w:sz w:val="15"/>
    </w:rPr>
  </w:style>
  <w:style w:type="paragraph" w:customStyle="1" w:styleId="245">
    <w:name w:val="正文文字"/>
    <w:basedOn w:val="1"/>
    <w:uiPriority w:val="99"/>
    <w:pPr>
      <w:widowControl/>
      <w:spacing w:line="351" w:lineRule="atLeast"/>
      <w:ind w:firstLine="419"/>
      <w:jc w:val="left"/>
      <w:textAlignment w:val="baseline"/>
    </w:pPr>
    <w:rPr>
      <w:rFonts w:ascii="宋体" w:eastAsia="楷体_GB2312"/>
      <w:color w:val="000000"/>
      <w:kern w:val="0"/>
      <w:sz w:val="24"/>
      <w:u w:color="000000"/>
    </w:rPr>
  </w:style>
  <w:style w:type="paragraph" w:customStyle="1" w:styleId="246">
    <w:name w:val="表格编号"/>
    <w:basedOn w:val="1"/>
    <w:uiPriority w:val="99"/>
    <w:pPr>
      <w:tabs>
        <w:tab w:val="left" w:pos="420"/>
        <w:tab w:val="left" w:pos="624"/>
      </w:tabs>
      <w:adjustRightInd w:val="0"/>
      <w:spacing w:beforeLines="50" w:line="360" w:lineRule="atLeast"/>
      <w:ind w:left="420" w:hanging="420"/>
      <w:jc w:val="center"/>
      <w:textAlignment w:val="baseline"/>
    </w:pPr>
    <w:rPr>
      <w:kern w:val="0"/>
      <w:sz w:val="24"/>
    </w:rPr>
  </w:style>
  <w:style w:type="character" w:customStyle="1" w:styleId="247">
    <w:name w:val="tpc_content1"/>
    <w:uiPriority w:val="99"/>
    <w:rPr>
      <w:sz w:val="20"/>
    </w:rPr>
  </w:style>
  <w:style w:type="paragraph" w:customStyle="1" w:styleId="248">
    <w:name w:val="TOC 标题2"/>
    <w:basedOn w:val="2"/>
    <w:next w:val="1"/>
    <w:qFormat/>
    <w:uiPriority w:val="99"/>
    <w:pPr>
      <w:widowControl/>
      <w:spacing w:before="480" w:line="276" w:lineRule="auto"/>
      <w:jc w:val="left"/>
      <w:outlineLvl w:val="9"/>
    </w:pPr>
    <w:rPr>
      <w:rFonts w:ascii="Calibri" w:hAnsi="Calibri"/>
      <w:color w:val="365F91"/>
      <w:kern w:val="0"/>
      <w:sz w:val="28"/>
      <w:szCs w:val="28"/>
    </w:rPr>
  </w:style>
  <w:style w:type="character" w:customStyle="1" w:styleId="249">
    <w:name w:val="ask-title2"/>
    <w:uiPriority w:val="99"/>
    <w:rPr>
      <w:rFonts w:cs="Times New Roman"/>
    </w:rPr>
  </w:style>
  <w:style w:type="paragraph" w:customStyle="1" w:styleId="250">
    <w:name w:val="reader-word-layer"/>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251">
    <w:name w:val="p18"/>
    <w:basedOn w:val="1"/>
    <w:uiPriority w:val="99"/>
    <w:pPr>
      <w:widowControl/>
      <w:ind w:firstLine="420"/>
    </w:pPr>
    <w:rPr>
      <w:kern w:val="0"/>
      <w:szCs w:val="21"/>
    </w:rPr>
  </w:style>
  <w:style w:type="paragraph" w:customStyle="1" w:styleId="252">
    <w:name w:val="ds-markdown-paragraph"/>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253">
    <w:name w:val="null3"/>
    <w:hidden/>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FD242-48DE-46D2-BE32-F66F1D402462}">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10718</Words>
  <Characters>13150</Characters>
  <Lines>101</Lines>
  <Paragraphs>28</Paragraphs>
  <TotalTime>41</TotalTime>
  <ScaleCrop>false</ScaleCrop>
  <LinksUpToDate>false</LinksUpToDate>
  <CharactersWithSpaces>13471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2026-09-16T07:09:00Z</dcterms:created>
  <dc:creator>User</dc:creator>
  <cp:lastModifiedBy>橙子</cp:lastModifiedBy>
  <dcterms:modified xsi:type="dcterms:W3CDTF">2026-09-20T07:42:41Z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FD47254428C546C79753499200788EBF</vt:lpwstr>
  </property>
  <property fmtid="{D5CDD505-2E9C-101B-9397-08002B2CF9AE}" pid="4" name="KSOTemplateDocerSaveRecord">
    <vt:lpwstr>eyJoZGlkIjoiZDU2MDJiNGNhZDk5YjdiYjU5MzgxZjlmNzI1YTQzZTgiLCJ1c2VySWQiOiI0NDY0ODY1MjEifQ==</vt:lpwstr>
  </property>
</Properties>
</file>