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7777777" w:rsidR="00DC60F5" w:rsidRDefault="0031542A">
      <w:pPr>
        <w:pStyle w:val="ad"/>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w:t>
      </w:r>
      <w:bookmarkStart w:id="1" w:name="OLE_LINK7"/>
      <w:r>
        <w:rPr>
          <w:rFonts w:ascii="方正小标宋简体" w:eastAsia="方正小标宋简体" w:hAnsi="宋体" w:hint="eastAsia"/>
          <w:b w:val="0"/>
          <w:bCs w:val="0"/>
          <w:sz w:val="36"/>
        </w:rPr>
        <w:t>定位工装元器件采购与零部件加工</w:t>
      </w:r>
      <w:bookmarkEnd w:id="1"/>
      <w:r>
        <w:rPr>
          <w:rFonts w:ascii="方正小标宋简体" w:eastAsia="方正小标宋简体" w:hAnsi="宋体" w:hint="eastAsia"/>
          <w:b w:val="0"/>
          <w:bCs w:val="0"/>
          <w:sz w:val="36"/>
        </w:rPr>
        <w:t>】采购需求</w:t>
      </w:r>
      <w:bookmarkEnd w:id="0"/>
    </w:p>
    <w:p w14:paraId="77C2D7A7" w14:textId="77777777" w:rsidR="00DC60F5" w:rsidRDefault="0031542A">
      <w:pPr>
        <w:tabs>
          <w:tab w:val="left" w:pos="900"/>
        </w:tabs>
        <w:adjustRightInd w:val="0"/>
        <w:snapToGrid w:val="0"/>
        <w:spacing w:line="360" w:lineRule="auto"/>
        <w:ind w:firstLineChars="200" w:firstLine="422"/>
        <w:rPr>
          <w:b/>
          <w:szCs w:val="21"/>
        </w:rPr>
      </w:pPr>
      <w:bookmarkStart w:id="2" w:name="_Toc172360661"/>
      <w:bookmarkStart w:id="3" w:name="_Toc219271393"/>
      <w:bookmarkStart w:id="4"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DC60F5" w:rsidRDefault="0031542A">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E2A566C" w14:textId="77777777" w:rsidR="00DC60F5" w:rsidRDefault="0031542A">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根据采购方的设计方案，进行柴油机机身缸孔加工定位工装的详细结构设计，元器件采购，零部件加工，工装装配调试及模拟环境测试验证。</w:t>
      </w:r>
    </w:p>
    <w:p w14:paraId="7E45FA3A" w14:textId="77777777" w:rsidR="00DC60F5" w:rsidRDefault="0031542A">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DC60F5" w:rsidRDefault="0031542A">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0E82A49" w14:textId="77777777" w:rsidR="00DC60F5" w:rsidRDefault="0031542A">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5" w:name="OLE_LINK23"/>
      <w:r>
        <w:rPr>
          <w:rFonts w:hAnsi="宋体" w:hint="eastAsia"/>
          <w:szCs w:val="24"/>
        </w:rPr>
        <w:t>采购标的对应的《中小企业划型标准规定》所属行业</w:t>
      </w:r>
      <w:bookmarkEnd w:id="5"/>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7F6B6E84" w14:textId="77777777" w:rsidR="00DC60F5" w:rsidRDefault="0031542A">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w:t>
      </w:r>
      <w:proofErr w:type="gramStart"/>
      <w:r>
        <w:rPr>
          <w:rFonts w:hAnsi="宋体" w:hint="eastAsia"/>
          <w:szCs w:val="24"/>
        </w:rPr>
        <w:t>进行勾选的</w:t>
      </w:r>
      <w:proofErr w:type="gramEnd"/>
      <w:r>
        <w:rPr>
          <w:rFonts w:hAnsi="宋体" w:hint="eastAsia"/>
          <w:szCs w:val="24"/>
        </w:rPr>
        <w:t>，视为只接受本国产品参加）</w:t>
      </w:r>
    </w:p>
    <w:p w14:paraId="3A979E91" w14:textId="77777777" w:rsidR="00DC60F5" w:rsidRDefault="0031542A">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7777777" w:rsidR="00DC60F5" w:rsidRDefault="0031542A">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16EB745" w14:textId="77777777" w:rsidR="00DC60F5" w:rsidRDefault="0031542A">
      <w:pPr>
        <w:adjustRightInd w:val="0"/>
        <w:snapToGrid w:val="0"/>
        <w:spacing w:line="360" w:lineRule="auto"/>
        <w:ind w:firstLineChars="200" w:firstLine="440"/>
        <w:rPr>
          <w:rFonts w:eastAsia="楷体"/>
          <w:sz w:val="22"/>
          <w:szCs w:val="22"/>
        </w:rPr>
      </w:pPr>
      <w:r>
        <w:rPr>
          <w:rFonts w:eastAsia="楷体"/>
          <w:sz w:val="22"/>
          <w:szCs w:val="22"/>
        </w:rPr>
        <w:t>执行标准包括：</w:t>
      </w:r>
    </w:p>
    <w:p w14:paraId="4F79B9B1" w14:textId="77777777" w:rsidR="00DC60F5" w:rsidRDefault="0031542A">
      <w:pPr>
        <w:adjustRightInd w:val="0"/>
        <w:snapToGrid w:val="0"/>
        <w:spacing w:line="360" w:lineRule="auto"/>
        <w:ind w:firstLineChars="200" w:firstLine="440"/>
        <w:rPr>
          <w:rFonts w:eastAsia="楷体"/>
          <w:sz w:val="22"/>
          <w:szCs w:val="22"/>
        </w:rPr>
      </w:pPr>
      <w:r>
        <w:rPr>
          <w:rFonts w:eastAsia="楷体"/>
          <w:sz w:val="22"/>
          <w:szCs w:val="22"/>
        </w:rPr>
        <w:t>(</w:t>
      </w:r>
      <w:proofErr w:type="gramStart"/>
      <w:r>
        <w:rPr>
          <w:rFonts w:eastAsia="楷体"/>
          <w:sz w:val="22"/>
          <w:szCs w:val="22"/>
        </w:rPr>
        <w:t>一</w:t>
      </w:r>
      <w:proofErr w:type="gramEnd"/>
      <w:r>
        <w:rPr>
          <w:rFonts w:eastAsia="楷体"/>
          <w:sz w:val="22"/>
          <w:szCs w:val="22"/>
        </w:rPr>
        <w:t>) GB/T 19001-2016 (</w:t>
      </w:r>
      <w:r>
        <w:rPr>
          <w:rFonts w:eastAsia="楷体"/>
          <w:sz w:val="22"/>
          <w:szCs w:val="22"/>
        </w:rPr>
        <w:t>质量管理体系</w:t>
      </w:r>
      <w:r>
        <w:rPr>
          <w:rFonts w:eastAsia="楷体"/>
          <w:sz w:val="22"/>
          <w:szCs w:val="22"/>
        </w:rPr>
        <w:t>)</w:t>
      </w:r>
      <w:r>
        <w:rPr>
          <w:rFonts w:eastAsia="楷体"/>
          <w:sz w:val="22"/>
          <w:szCs w:val="22"/>
        </w:rPr>
        <w:t>；</w:t>
      </w:r>
    </w:p>
    <w:p w14:paraId="0BD59D29" w14:textId="77777777" w:rsidR="00DC60F5" w:rsidRDefault="0031542A">
      <w:pPr>
        <w:adjustRightInd w:val="0"/>
        <w:snapToGrid w:val="0"/>
        <w:spacing w:line="360" w:lineRule="auto"/>
        <w:ind w:firstLineChars="200" w:firstLine="440"/>
        <w:rPr>
          <w:rFonts w:eastAsia="楷体"/>
          <w:sz w:val="22"/>
          <w:szCs w:val="22"/>
        </w:rPr>
      </w:pPr>
      <w:r>
        <w:rPr>
          <w:rFonts w:eastAsia="楷体"/>
          <w:sz w:val="22"/>
          <w:szCs w:val="22"/>
        </w:rPr>
        <w:t>(</w:t>
      </w:r>
      <w:r>
        <w:rPr>
          <w:rFonts w:eastAsia="楷体"/>
          <w:sz w:val="22"/>
          <w:szCs w:val="22"/>
        </w:rPr>
        <w:t>二</w:t>
      </w:r>
      <w:r>
        <w:rPr>
          <w:rFonts w:eastAsia="楷体"/>
          <w:sz w:val="22"/>
          <w:szCs w:val="22"/>
        </w:rPr>
        <w:t>) GB/T 15706-2012 (</w:t>
      </w:r>
      <w:r>
        <w:rPr>
          <w:rFonts w:eastAsia="楷体"/>
          <w:sz w:val="22"/>
          <w:szCs w:val="22"/>
        </w:rPr>
        <w:t>机械安全</w:t>
      </w:r>
      <w:r>
        <w:rPr>
          <w:rFonts w:eastAsia="楷体"/>
          <w:sz w:val="22"/>
          <w:szCs w:val="22"/>
        </w:rPr>
        <w:t xml:space="preserve"> </w:t>
      </w:r>
      <w:r>
        <w:rPr>
          <w:rFonts w:eastAsia="楷体"/>
          <w:sz w:val="22"/>
          <w:szCs w:val="22"/>
        </w:rPr>
        <w:t>设计通则</w:t>
      </w:r>
      <w:r>
        <w:rPr>
          <w:rFonts w:eastAsia="楷体"/>
          <w:sz w:val="22"/>
          <w:szCs w:val="22"/>
        </w:rPr>
        <w:t xml:space="preserve"> </w:t>
      </w:r>
      <w:r>
        <w:rPr>
          <w:rFonts w:eastAsia="楷体"/>
          <w:sz w:val="22"/>
          <w:szCs w:val="22"/>
        </w:rPr>
        <w:t>风险评估与风险减小</w:t>
      </w:r>
      <w:r>
        <w:rPr>
          <w:rFonts w:eastAsia="楷体"/>
          <w:sz w:val="22"/>
          <w:szCs w:val="22"/>
        </w:rPr>
        <w:t>)</w:t>
      </w:r>
      <w:r>
        <w:rPr>
          <w:rFonts w:eastAsia="楷体"/>
          <w:sz w:val="22"/>
          <w:szCs w:val="22"/>
        </w:rPr>
        <w:t>；</w:t>
      </w:r>
    </w:p>
    <w:p w14:paraId="4D759371" w14:textId="77777777" w:rsidR="00DC60F5" w:rsidRDefault="0031542A">
      <w:pPr>
        <w:adjustRightInd w:val="0"/>
        <w:snapToGrid w:val="0"/>
        <w:spacing w:line="360" w:lineRule="auto"/>
        <w:ind w:firstLineChars="200" w:firstLine="440"/>
        <w:rPr>
          <w:rFonts w:eastAsia="楷体"/>
          <w:sz w:val="22"/>
          <w:szCs w:val="22"/>
        </w:rPr>
      </w:pPr>
      <w:r>
        <w:rPr>
          <w:rFonts w:eastAsia="楷体"/>
          <w:sz w:val="22"/>
          <w:szCs w:val="22"/>
        </w:rPr>
        <w:t>(</w:t>
      </w:r>
      <w:r>
        <w:rPr>
          <w:rFonts w:eastAsia="楷体"/>
          <w:sz w:val="22"/>
          <w:szCs w:val="22"/>
        </w:rPr>
        <w:t>三</w:t>
      </w:r>
      <w:r>
        <w:rPr>
          <w:rFonts w:eastAsia="楷体"/>
          <w:sz w:val="22"/>
          <w:szCs w:val="22"/>
        </w:rPr>
        <w:t>) GB 5226.1-2019 (</w:t>
      </w:r>
      <w:r>
        <w:rPr>
          <w:rFonts w:eastAsia="楷体"/>
          <w:sz w:val="22"/>
          <w:szCs w:val="22"/>
        </w:rPr>
        <w:t>机械电气安全</w:t>
      </w:r>
      <w:r>
        <w:rPr>
          <w:rFonts w:eastAsia="楷体"/>
          <w:sz w:val="22"/>
          <w:szCs w:val="22"/>
        </w:rPr>
        <w:t xml:space="preserve"> </w:t>
      </w:r>
      <w:r>
        <w:rPr>
          <w:rFonts w:eastAsia="楷体"/>
          <w:sz w:val="22"/>
          <w:szCs w:val="22"/>
        </w:rPr>
        <w:t>机械电气设备</w:t>
      </w:r>
      <w:r>
        <w:rPr>
          <w:rFonts w:eastAsia="楷体"/>
          <w:sz w:val="22"/>
          <w:szCs w:val="22"/>
        </w:rPr>
        <w:t xml:space="preserve"> </w:t>
      </w:r>
      <w:r>
        <w:rPr>
          <w:rFonts w:eastAsia="楷体"/>
          <w:sz w:val="22"/>
          <w:szCs w:val="22"/>
        </w:rPr>
        <w:t>第</w:t>
      </w:r>
      <w:r>
        <w:rPr>
          <w:rFonts w:eastAsia="楷体"/>
          <w:sz w:val="22"/>
          <w:szCs w:val="22"/>
        </w:rPr>
        <w:t>1</w:t>
      </w:r>
      <w:r>
        <w:rPr>
          <w:rFonts w:eastAsia="楷体"/>
          <w:sz w:val="22"/>
          <w:szCs w:val="22"/>
        </w:rPr>
        <w:t>部分：通用技术条件</w:t>
      </w:r>
      <w:r>
        <w:rPr>
          <w:rFonts w:eastAsia="楷体"/>
          <w:sz w:val="22"/>
          <w:szCs w:val="22"/>
        </w:rPr>
        <w:t>)</w:t>
      </w:r>
      <w:r>
        <w:rPr>
          <w:rFonts w:eastAsia="楷体"/>
          <w:sz w:val="22"/>
          <w:szCs w:val="22"/>
        </w:rPr>
        <w:t>。</w:t>
      </w:r>
    </w:p>
    <w:p w14:paraId="5A8FCC1C" w14:textId="77777777" w:rsidR="00DC60F5" w:rsidRDefault="0031542A">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7777777" w:rsidR="00DC60F5" w:rsidRDefault="0031542A">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定位工装元器件采购与零部件加工 </w:t>
      </w:r>
      <w:r>
        <w:rPr>
          <w:rFonts w:ascii="宋体" w:hAnsi="宋体"/>
          <w:szCs w:val="21"/>
          <w:u w:val="single"/>
        </w:rPr>
        <w:t xml:space="preserve">                           </w:t>
      </w:r>
    </w:p>
    <w:p w14:paraId="700B5273" w14:textId="77777777" w:rsidR="00DC60F5" w:rsidRDefault="0031542A">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hAnsi="宋体" w:hint="eastAsia"/>
          <w:szCs w:val="21"/>
          <w:u w:val="single"/>
        </w:rPr>
        <w:t>1</w:t>
      </w:r>
      <w:r>
        <w:rPr>
          <w:rFonts w:hAnsi="宋体" w:hint="eastAsia"/>
          <w:szCs w:val="21"/>
          <w:u w:val="single"/>
        </w:rPr>
        <w:t>批</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7D66FB09" w14:textId="77777777" w:rsidR="00DC60F5" w:rsidRDefault="0031542A">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bookmarkStart w:id="6" w:name="OLE_LINK1"/>
      <w:r>
        <w:rPr>
          <w:rFonts w:hAnsi="宋体"/>
          <w:szCs w:val="21"/>
          <w:u w:val="single"/>
        </w:rPr>
        <w:t xml:space="preserve"> 96</w:t>
      </w:r>
      <w:bookmarkEnd w:id="6"/>
      <w:r>
        <w:rPr>
          <w:rFonts w:hAnsi="宋体"/>
          <w:szCs w:val="21"/>
          <w:u w:val="single"/>
        </w:rPr>
        <w:t xml:space="preserve">   </w:t>
      </w:r>
      <w:r>
        <w:rPr>
          <w:rFonts w:hAnsi="宋体" w:hint="eastAsia"/>
          <w:szCs w:val="21"/>
        </w:rPr>
        <w:t>万元（大写：</w:t>
      </w:r>
      <w:r>
        <w:rPr>
          <w:rFonts w:hAnsi="宋体"/>
          <w:szCs w:val="21"/>
          <w:u w:val="single"/>
        </w:rPr>
        <w:t xml:space="preserve">  </w:t>
      </w:r>
      <w:r>
        <w:rPr>
          <w:rFonts w:hAnsi="宋体" w:hint="eastAsia"/>
          <w:szCs w:val="21"/>
          <w:u w:val="single"/>
        </w:rPr>
        <w:t>玖拾陆万元整</w:t>
      </w:r>
      <w:r>
        <w:rPr>
          <w:rFonts w:hAnsi="宋体" w:hint="eastAsia"/>
          <w:szCs w:val="21"/>
          <w:u w:val="single"/>
        </w:rPr>
        <w:t xml:space="preserve"> </w:t>
      </w:r>
      <w:r>
        <w:rPr>
          <w:rFonts w:hAnsi="宋体"/>
          <w:szCs w:val="21"/>
          <w:u w:val="single"/>
        </w:rPr>
        <w:t xml:space="preserve">                       </w:t>
      </w:r>
      <w:r>
        <w:rPr>
          <w:rFonts w:hAnsi="宋体" w:hint="eastAsia"/>
          <w:szCs w:val="21"/>
        </w:rPr>
        <w:t>）</w:t>
      </w:r>
    </w:p>
    <w:p w14:paraId="72B992CF" w14:textId="77777777" w:rsidR="00DC60F5" w:rsidRDefault="0031542A">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180 </w:t>
      </w:r>
      <w:r>
        <w:rPr>
          <w:rFonts w:hAnsi="宋体"/>
          <w:szCs w:val="21"/>
          <w:u w:val="single"/>
        </w:rPr>
        <w:t xml:space="preserve">                                           </w:t>
      </w:r>
      <w:r>
        <w:rPr>
          <w:rFonts w:hAnsi="宋体"/>
          <w:u w:val="single"/>
        </w:rPr>
        <w:t xml:space="preserve">  </w:t>
      </w:r>
      <w:r>
        <w:rPr>
          <w:rFonts w:hAnsi="宋体" w:hint="eastAsia"/>
        </w:rPr>
        <w:t>天内</w:t>
      </w:r>
    </w:p>
    <w:p w14:paraId="544209DB" w14:textId="77777777" w:rsidR="00DC60F5" w:rsidRDefault="0031542A">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指定地点</w:t>
      </w:r>
      <w:r>
        <w:rPr>
          <w:rFonts w:hAnsi="宋体"/>
          <w:szCs w:val="21"/>
          <w:u w:val="single"/>
        </w:rPr>
        <w:t xml:space="preserve">                                                       </w:t>
      </w:r>
    </w:p>
    <w:p w14:paraId="179C3B80" w14:textId="7568AA0B" w:rsidR="00DC60F5" w:rsidRDefault="0031542A">
      <w:pPr>
        <w:tabs>
          <w:tab w:val="left" w:pos="900"/>
        </w:tabs>
        <w:adjustRightInd w:val="0"/>
        <w:snapToGrid w:val="0"/>
        <w:spacing w:line="360" w:lineRule="auto"/>
        <w:ind w:firstLineChars="200" w:firstLine="420"/>
        <w:rPr>
          <w:rFonts w:hAnsi="宋体"/>
          <w:szCs w:val="21"/>
        </w:rPr>
      </w:pPr>
      <w:bookmarkStart w:id="7" w:name="OLE_LINK5"/>
      <w:r>
        <w:rPr>
          <w:rFonts w:hAnsi="宋体" w:hint="eastAsia"/>
          <w:szCs w:val="21"/>
        </w:rPr>
        <w:t>（六）付款进度安排：</w:t>
      </w:r>
      <w:r w:rsidR="00AA4786">
        <w:rPr>
          <w:rFonts w:asciiTheme="minorEastAsia" w:hAnsiTheme="minorEastAsia" w:cs="宋体" w:hint="eastAsia"/>
          <w:b/>
          <w:color w:val="000000"/>
          <w:kern w:val="0"/>
          <w:szCs w:val="21"/>
        </w:rPr>
        <w:sym w:font="Wingdings 2" w:char="F052"/>
      </w:r>
      <w:r>
        <w:rPr>
          <w:rFonts w:hAnsi="宋体" w:hint="eastAsia"/>
          <w:szCs w:val="21"/>
        </w:rPr>
        <w:t xml:space="preserve"> </w:t>
      </w:r>
      <w:r>
        <w:rPr>
          <w:rFonts w:hAnsi="宋体" w:hint="eastAsia"/>
          <w:szCs w:val="21"/>
        </w:rPr>
        <w:t>按</w:t>
      </w:r>
      <w:r>
        <w:rPr>
          <w:rFonts w:hAnsi="宋体"/>
          <w:szCs w:val="21"/>
        </w:rPr>
        <w:t>采购文件</w:t>
      </w:r>
      <w:r>
        <w:rPr>
          <w:rFonts w:hAnsi="宋体" w:hint="eastAsia"/>
          <w:szCs w:val="21"/>
        </w:rPr>
        <w:t>要求。</w:t>
      </w:r>
      <w:bookmarkEnd w:id="7"/>
    </w:p>
    <w:p w14:paraId="5FA361AF" w14:textId="206DD6C9" w:rsidR="00DC60F5" w:rsidRDefault="0031542A">
      <w:pPr>
        <w:tabs>
          <w:tab w:val="left" w:pos="900"/>
        </w:tabs>
        <w:adjustRightInd w:val="0"/>
        <w:snapToGrid w:val="0"/>
        <w:spacing w:line="360" w:lineRule="auto"/>
        <w:ind w:firstLineChars="200" w:firstLine="402"/>
        <w:rPr>
          <w:rFonts w:hAnsi="宋体"/>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hint="eastAsia"/>
          <w:b/>
          <w:color w:val="000000"/>
          <w:kern w:val="0"/>
          <w:sz w:val="20"/>
          <w:szCs w:val="21"/>
        </w:rPr>
        <w:t xml:space="preserve">□ </w:t>
      </w:r>
      <w:r>
        <w:rPr>
          <w:rFonts w:hAnsi="宋体"/>
          <w:szCs w:val="21"/>
        </w:rPr>
        <w:t>其他要求</w:t>
      </w:r>
      <w:r>
        <w:rPr>
          <w:rFonts w:hAnsi="宋体" w:hint="eastAsia"/>
          <w:szCs w:val="21"/>
        </w:rPr>
        <w:t>：</w:t>
      </w:r>
      <w:r>
        <w:rPr>
          <w:rFonts w:hAnsi="宋体"/>
          <w:szCs w:val="21"/>
          <w:u w:val="single"/>
        </w:rPr>
        <w:t xml:space="preserve">   </w:t>
      </w:r>
      <w:r w:rsidR="00FC6872">
        <w:rPr>
          <w:rFonts w:hAnsi="宋体"/>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w:t>
      </w:r>
    </w:p>
    <w:p w14:paraId="2FBF299A" w14:textId="77777777" w:rsidR="00DC60F5" w:rsidRDefault="00DC60F5">
      <w:pPr>
        <w:tabs>
          <w:tab w:val="left" w:pos="900"/>
        </w:tabs>
        <w:adjustRightInd w:val="0"/>
        <w:snapToGrid w:val="0"/>
        <w:spacing w:line="360" w:lineRule="auto"/>
        <w:rPr>
          <w:rFonts w:hAnsi="宋体"/>
          <w:b/>
          <w:szCs w:val="21"/>
        </w:rPr>
      </w:pPr>
    </w:p>
    <w:p w14:paraId="3C999C16" w14:textId="0030B72B" w:rsidR="00DC60F5" w:rsidRDefault="0031542A">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67EFA770" w14:textId="77777777" w:rsidR="00FC6872" w:rsidRDefault="00FC6872">
      <w:pPr>
        <w:tabs>
          <w:tab w:val="left" w:pos="900"/>
        </w:tabs>
        <w:adjustRightInd w:val="0"/>
        <w:snapToGrid w:val="0"/>
        <w:spacing w:line="360" w:lineRule="auto"/>
        <w:ind w:firstLineChars="200" w:firstLine="422"/>
        <w:rPr>
          <w:rFonts w:hAnsi="宋体" w:hint="eastAsia"/>
          <w:b/>
          <w:szCs w:val="21"/>
        </w:rPr>
      </w:pPr>
    </w:p>
    <w:p w14:paraId="3306981B" w14:textId="0D571B54" w:rsidR="00DC60F5" w:rsidRDefault="0031542A">
      <w:pPr>
        <w:tabs>
          <w:tab w:val="left" w:pos="900"/>
        </w:tabs>
        <w:spacing w:beforeLines="50" w:before="156" w:line="360" w:lineRule="auto"/>
        <w:ind w:firstLineChars="200" w:firstLine="440"/>
        <w:rPr>
          <w:rFonts w:eastAsia="楷体"/>
          <w:sz w:val="22"/>
          <w:szCs w:val="22"/>
        </w:rPr>
      </w:pPr>
      <w:bookmarkStart w:id="8" w:name="OLE_LINK6"/>
      <w:r>
        <w:rPr>
          <w:rFonts w:eastAsia="楷体"/>
          <w:sz w:val="22"/>
          <w:szCs w:val="22"/>
        </w:rPr>
        <w:t>1</w:t>
      </w:r>
      <w:r>
        <w:rPr>
          <w:rFonts w:eastAsia="楷体"/>
          <w:sz w:val="22"/>
          <w:szCs w:val="22"/>
        </w:rPr>
        <w:t>）</w:t>
      </w:r>
      <w:r w:rsidR="00FC6872">
        <w:rPr>
          <w:rFonts w:eastAsia="楷体" w:hint="eastAsia"/>
          <w:sz w:val="22"/>
          <w:szCs w:val="22"/>
        </w:rPr>
        <w:t>资质要求：</w:t>
      </w:r>
      <w:r>
        <w:rPr>
          <w:rFonts w:eastAsia="楷体"/>
          <w:sz w:val="22"/>
          <w:szCs w:val="22"/>
        </w:rPr>
        <w:t>供应商应具有国军标体系认证，国家二级保密资质。</w:t>
      </w:r>
    </w:p>
    <w:p w14:paraId="1F0613C2" w14:textId="77777777" w:rsidR="00DC60F5" w:rsidRDefault="0031542A">
      <w:pPr>
        <w:tabs>
          <w:tab w:val="left" w:pos="900"/>
        </w:tabs>
        <w:spacing w:beforeLines="50" w:before="156" w:line="360" w:lineRule="auto"/>
        <w:ind w:firstLineChars="200" w:firstLine="440"/>
        <w:rPr>
          <w:rFonts w:eastAsia="楷体"/>
          <w:sz w:val="22"/>
          <w:szCs w:val="22"/>
        </w:rPr>
      </w:pPr>
      <w:r>
        <w:rPr>
          <w:rFonts w:eastAsia="楷体"/>
          <w:sz w:val="22"/>
          <w:szCs w:val="22"/>
        </w:rPr>
        <w:t>2</w:t>
      </w:r>
      <w:r>
        <w:rPr>
          <w:rFonts w:eastAsia="楷体"/>
          <w:sz w:val="22"/>
          <w:szCs w:val="22"/>
        </w:rPr>
        <w:t>）定位工装承重</w:t>
      </w:r>
      <w:r>
        <w:rPr>
          <w:rFonts w:eastAsia="楷体"/>
          <w:sz w:val="22"/>
          <w:szCs w:val="22"/>
        </w:rPr>
        <w:t>20</w:t>
      </w:r>
      <w:r>
        <w:rPr>
          <w:rFonts w:eastAsia="楷体"/>
          <w:sz w:val="22"/>
          <w:szCs w:val="22"/>
        </w:rPr>
        <w:t>吨，微调位置精度</w:t>
      </w:r>
      <w:r>
        <w:rPr>
          <w:rFonts w:eastAsia="楷体"/>
          <w:sz w:val="22"/>
          <w:szCs w:val="22"/>
        </w:rPr>
        <w:t>0.01mm</w:t>
      </w:r>
      <w:r>
        <w:rPr>
          <w:rFonts w:eastAsia="楷体"/>
          <w:sz w:val="22"/>
          <w:szCs w:val="22"/>
        </w:rPr>
        <w:t>，微调角度精度</w:t>
      </w:r>
      <w:r>
        <w:rPr>
          <w:rFonts w:eastAsia="楷体"/>
          <w:sz w:val="22"/>
          <w:szCs w:val="22"/>
        </w:rPr>
        <w:t>±0.04°</w:t>
      </w:r>
      <w:r>
        <w:rPr>
          <w:rFonts w:eastAsia="楷体"/>
          <w:sz w:val="22"/>
          <w:szCs w:val="22"/>
        </w:rPr>
        <w:t>，定位机身平面的直线精度</w:t>
      </w:r>
      <w:r>
        <w:rPr>
          <w:rFonts w:eastAsia="楷体"/>
          <w:sz w:val="22"/>
          <w:szCs w:val="22"/>
        </w:rPr>
        <w:t>0.03/5000</w:t>
      </w:r>
      <w:r>
        <w:rPr>
          <w:rFonts w:eastAsia="楷体"/>
          <w:sz w:val="22"/>
          <w:szCs w:val="22"/>
        </w:rPr>
        <w:t>。</w:t>
      </w:r>
    </w:p>
    <w:p w14:paraId="4730CC0C" w14:textId="687D1010" w:rsidR="00DC60F5" w:rsidRDefault="0031542A">
      <w:pPr>
        <w:tabs>
          <w:tab w:val="left" w:pos="900"/>
        </w:tabs>
        <w:spacing w:beforeLines="50" w:before="156" w:line="360" w:lineRule="auto"/>
        <w:ind w:firstLineChars="200" w:firstLine="440"/>
        <w:rPr>
          <w:rFonts w:eastAsia="楷体"/>
          <w:sz w:val="22"/>
          <w:szCs w:val="22"/>
        </w:rPr>
      </w:pPr>
      <w:r>
        <w:rPr>
          <w:rFonts w:eastAsia="楷体"/>
          <w:sz w:val="22"/>
          <w:szCs w:val="22"/>
        </w:rPr>
        <w:t>3</w:t>
      </w:r>
      <w:bookmarkStart w:id="9" w:name="OLE_LINK2"/>
      <w:r>
        <w:rPr>
          <w:rFonts w:eastAsia="楷体"/>
          <w:sz w:val="22"/>
          <w:szCs w:val="22"/>
        </w:rPr>
        <w:t>）</w:t>
      </w:r>
      <w:bookmarkEnd w:id="9"/>
      <w:r>
        <w:rPr>
          <w:rFonts w:eastAsia="楷体"/>
          <w:sz w:val="22"/>
          <w:szCs w:val="22"/>
        </w:rPr>
        <w:t>元器件等零部件</w:t>
      </w:r>
      <w:r>
        <w:rPr>
          <w:rFonts w:eastAsia="楷体" w:hint="eastAsia"/>
          <w:sz w:val="22"/>
          <w:szCs w:val="22"/>
        </w:rPr>
        <w:t>自主</w:t>
      </w:r>
      <w:r>
        <w:rPr>
          <w:rFonts w:eastAsia="楷体"/>
          <w:sz w:val="22"/>
          <w:szCs w:val="22"/>
        </w:rPr>
        <w:t>可控率</w:t>
      </w:r>
      <w:r>
        <w:rPr>
          <w:rFonts w:eastAsia="楷体"/>
          <w:sz w:val="22"/>
          <w:szCs w:val="22"/>
        </w:rPr>
        <w:t>100%</w:t>
      </w:r>
      <w:r>
        <w:rPr>
          <w:rFonts w:eastAsia="楷体"/>
          <w:sz w:val="22"/>
          <w:szCs w:val="22"/>
        </w:rPr>
        <w:t>，零部件加工技术自主可控率</w:t>
      </w:r>
      <w:bookmarkStart w:id="10" w:name="OLE_LINK15"/>
      <w:r>
        <w:rPr>
          <w:rFonts w:eastAsia="楷体"/>
          <w:sz w:val="22"/>
          <w:szCs w:val="22"/>
        </w:rPr>
        <w:t>10</w:t>
      </w:r>
      <w:bookmarkEnd w:id="10"/>
      <w:r>
        <w:rPr>
          <w:rFonts w:eastAsia="楷体"/>
          <w:sz w:val="22"/>
          <w:szCs w:val="22"/>
        </w:rPr>
        <w:t>0%</w:t>
      </w:r>
      <w:r>
        <w:rPr>
          <w:rFonts w:eastAsia="楷体"/>
          <w:sz w:val="22"/>
          <w:szCs w:val="22"/>
        </w:rPr>
        <w:t>。</w:t>
      </w:r>
    </w:p>
    <w:p w14:paraId="46E6B062" w14:textId="05D11FE4" w:rsidR="00DC60F5" w:rsidRDefault="0031542A">
      <w:pPr>
        <w:spacing w:beforeLines="50" w:before="156" w:line="360" w:lineRule="auto"/>
        <w:ind w:firstLineChars="200" w:firstLine="440"/>
        <w:rPr>
          <w:rFonts w:eastAsia="楷体"/>
          <w:sz w:val="22"/>
          <w:szCs w:val="22"/>
        </w:rPr>
      </w:pPr>
      <w:r>
        <w:rPr>
          <w:rFonts w:eastAsia="楷体"/>
          <w:sz w:val="22"/>
          <w:szCs w:val="22"/>
        </w:rPr>
        <w:t>4</w:t>
      </w:r>
      <w:r>
        <w:rPr>
          <w:rFonts w:eastAsia="楷体"/>
          <w:sz w:val="22"/>
          <w:szCs w:val="22"/>
        </w:rPr>
        <w:t>）根据</w:t>
      </w:r>
      <w:r>
        <w:rPr>
          <w:rFonts w:eastAsia="楷体" w:hint="eastAsia"/>
          <w:sz w:val="22"/>
          <w:szCs w:val="22"/>
        </w:rPr>
        <w:t>采购方</w:t>
      </w:r>
      <w:r>
        <w:rPr>
          <w:rFonts w:eastAsia="楷体"/>
          <w:sz w:val="22"/>
          <w:szCs w:val="22"/>
        </w:rPr>
        <w:t>提供的设计方案，开展工装结构和控制系统的详细设计，绘制结构的零件图、装配图和控制系统的控制框图，确定零部件与元器件清单。</w:t>
      </w:r>
    </w:p>
    <w:p w14:paraId="1B098B0D" w14:textId="42C11D42" w:rsidR="00DC60F5" w:rsidRDefault="0031542A">
      <w:pPr>
        <w:spacing w:beforeLines="50" w:before="156" w:line="360" w:lineRule="auto"/>
        <w:ind w:firstLineChars="200" w:firstLine="440"/>
        <w:rPr>
          <w:rFonts w:eastAsia="楷体"/>
          <w:sz w:val="22"/>
          <w:szCs w:val="22"/>
        </w:rPr>
      </w:pPr>
      <w:r>
        <w:rPr>
          <w:rFonts w:eastAsia="楷体"/>
          <w:sz w:val="22"/>
          <w:szCs w:val="22"/>
        </w:rPr>
        <w:t>5</w:t>
      </w:r>
      <w:r>
        <w:rPr>
          <w:rFonts w:eastAsia="楷体"/>
          <w:sz w:val="22"/>
          <w:szCs w:val="22"/>
        </w:rPr>
        <w:t>）根据确定的元器件清单，完成伺服电机、液压缸、液压泵站、液压控制系统、工控机、驱动器、液压管道、压力表、驱动电路电缆等元器件采购。</w:t>
      </w:r>
    </w:p>
    <w:p w14:paraId="58283754" w14:textId="058C45FF" w:rsidR="00DC60F5" w:rsidRDefault="0031542A">
      <w:pPr>
        <w:spacing w:beforeLines="50" w:before="156" w:line="360" w:lineRule="auto"/>
        <w:ind w:firstLineChars="200" w:firstLine="440"/>
        <w:rPr>
          <w:rFonts w:eastAsia="楷体"/>
          <w:sz w:val="22"/>
          <w:szCs w:val="22"/>
        </w:rPr>
      </w:pPr>
      <w:r>
        <w:rPr>
          <w:rFonts w:eastAsia="楷体"/>
          <w:sz w:val="22"/>
          <w:szCs w:val="22"/>
        </w:rPr>
        <w:t>6</w:t>
      </w:r>
      <w:r>
        <w:rPr>
          <w:rFonts w:eastAsia="楷体"/>
          <w:sz w:val="22"/>
          <w:szCs w:val="22"/>
        </w:rPr>
        <w:t>）根据确定的零部件，完成角铁、导向柱、基础板、伺服</w:t>
      </w:r>
      <w:proofErr w:type="gramStart"/>
      <w:r>
        <w:rPr>
          <w:rFonts w:eastAsia="楷体"/>
          <w:sz w:val="22"/>
          <w:szCs w:val="22"/>
        </w:rPr>
        <w:t>楔铁调整</w:t>
      </w:r>
      <w:proofErr w:type="gramEnd"/>
      <w:r>
        <w:rPr>
          <w:rFonts w:eastAsia="楷体"/>
          <w:sz w:val="22"/>
          <w:szCs w:val="22"/>
        </w:rPr>
        <w:t>机构、浮动锁死机构、转角液压夹紧机构、液压夹具组件等零部件加工。</w:t>
      </w:r>
    </w:p>
    <w:p w14:paraId="19DF87E8" w14:textId="7165F304" w:rsidR="00DC60F5" w:rsidRDefault="0031542A">
      <w:pPr>
        <w:spacing w:beforeLines="50" w:before="156" w:line="360" w:lineRule="auto"/>
        <w:ind w:firstLineChars="200" w:firstLine="440"/>
        <w:rPr>
          <w:rFonts w:eastAsia="楷体"/>
          <w:sz w:val="22"/>
          <w:szCs w:val="22"/>
        </w:rPr>
      </w:pPr>
      <w:r>
        <w:rPr>
          <w:rFonts w:eastAsia="楷体"/>
          <w:sz w:val="22"/>
          <w:szCs w:val="22"/>
        </w:rPr>
        <w:t>7</w:t>
      </w:r>
      <w:r>
        <w:rPr>
          <w:rFonts w:eastAsia="楷体"/>
          <w:sz w:val="22"/>
          <w:szCs w:val="22"/>
        </w:rPr>
        <w:t>）根据定位工装的功能与性能要求，完成工装定位、夹紧机构夹紧力、夹紧动作顺畅性、伺服调整机构定位微调的调试，完成柴油机机身在</w:t>
      </w:r>
      <w:proofErr w:type="gramStart"/>
      <w:r>
        <w:rPr>
          <w:rFonts w:eastAsia="楷体"/>
          <w:sz w:val="22"/>
          <w:szCs w:val="22"/>
        </w:rPr>
        <w:t>大型五轴龙门</w:t>
      </w:r>
      <w:proofErr w:type="gramEnd"/>
      <w:r>
        <w:rPr>
          <w:rFonts w:eastAsia="楷体"/>
          <w:sz w:val="22"/>
          <w:szCs w:val="22"/>
        </w:rPr>
        <w:t>机床吊装、放置及定位姿态调整的模拟环境验证。</w:t>
      </w:r>
    </w:p>
    <w:p w14:paraId="3610C8A5" w14:textId="77777777" w:rsidR="00DC60F5" w:rsidRDefault="0031542A">
      <w:pPr>
        <w:tabs>
          <w:tab w:val="left" w:pos="900"/>
        </w:tabs>
        <w:spacing w:beforeLines="50" w:before="156" w:line="360" w:lineRule="auto"/>
        <w:ind w:firstLineChars="200" w:firstLine="440"/>
        <w:rPr>
          <w:rFonts w:eastAsia="楷体"/>
          <w:sz w:val="22"/>
          <w:szCs w:val="22"/>
        </w:rPr>
      </w:pPr>
      <w:r>
        <w:rPr>
          <w:rFonts w:eastAsia="楷体"/>
          <w:sz w:val="22"/>
          <w:szCs w:val="22"/>
        </w:rPr>
        <w:t>8</w:t>
      </w:r>
      <w:r>
        <w:rPr>
          <w:rFonts w:eastAsia="楷体"/>
          <w:sz w:val="22"/>
          <w:szCs w:val="22"/>
        </w:rPr>
        <w:t>）定位工装结构详细设计、元器件采购、零部件加工、定位工装调试与模拟环境验证</w:t>
      </w:r>
      <w:bookmarkEnd w:id="8"/>
      <w:r>
        <w:rPr>
          <w:rFonts w:eastAsia="楷体"/>
          <w:sz w:val="22"/>
          <w:szCs w:val="22"/>
        </w:rPr>
        <w:t>需遵循《</w:t>
      </w:r>
      <w:r>
        <w:rPr>
          <w:rFonts w:eastAsia="楷体"/>
          <w:sz w:val="22"/>
          <w:szCs w:val="22"/>
        </w:rPr>
        <w:t xml:space="preserve">GB/T 19001-2016 </w:t>
      </w:r>
      <w:r>
        <w:rPr>
          <w:rFonts w:eastAsia="楷体"/>
          <w:sz w:val="22"/>
          <w:szCs w:val="22"/>
        </w:rPr>
        <w:t>质量管理体系要求》、符合国家相关安全标准，建立质量管控档案，确保每个环节质量可追溯。</w:t>
      </w:r>
    </w:p>
    <w:p w14:paraId="3CEE2514" w14:textId="77777777" w:rsidR="00DC60F5" w:rsidRDefault="0031542A">
      <w:pPr>
        <w:tabs>
          <w:tab w:val="left" w:pos="900"/>
        </w:tabs>
        <w:spacing w:beforeLines="50" w:before="156" w:line="360" w:lineRule="auto"/>
        <w:ind w:firstLineChars="200" w:firstLine="440"/>
        <w:rPr>
          <w:rFonts w:eastAsia="楷体"/>
          <w:sz w:val="22"/>
          <w:szCs w:val="22"/>
        </w:rPr>
      </w:pPr>
      <w:r>
        <w:rPr>
          <w:rFonts w:eastAsia="楷体"/>
          <w:sz w:val="22"/>
          <w:szCs w:val="22"/>
        </w:rPr>
        <w:t>9</w:t>
      </w:r>
      <w:r>
        <w:rPr>
          <w:rFonts w:eastAsia="楷体"/>
          <w:sz w:val="22"/>
          <w:szCs w:val="22"/>
        </w:rPr>
        <w:t>）定位工装的调试及</w:t>
      </w:r>
      <w:proofErr w:type="gramStart"/>
      <w:r>
        <w:rPr>
          <w:rFonts w:eastAsia="楷体"/>
          <w:sz w:val="22"/>
          <w:szCs w:val="22"/>
        </w:rPr>
        <w:t>大型五轴龙门</w:t>
      </w:r>
      <w:proofErr w:type="gramEnd"/>
      <w:r>
        <w:rPr>
          <w:rFonts w:eastAsia="楷体"/>
          <w:sz w:val="22"/>
          <w:szCs w:val="22"/>
        </w:rPr>
        <w:t>机床定位工装调试模拟环境实验验证，要求能快速实现机身的轴向、角度定位，且能快速实现机身在轴向、角度上微量调整。</w:t>
      </w:r>
    </w:p>
    <w:p w14:paraId="01373CFB" w14:textId="77777777" w:rsidR="00DC60F5" w:rsidRDefault="0031542A">
      <w:pPr>
        <w:tabs>
          <w:tab w:val="left" w:pos="900"/>
        </w:tabs>
        <w:spacing w:beforeLines="50" w:before="156" w:line="360" w:lineRule="auto"/>
        <w:ind w:firstLineChars="200" w:firstLine="440"/>
        <w:rPr>
          <w:rFonts w:ascii="楷体" w:eastAsia="楷体" w:hAnsi="楷体"/>
          <w:sz w:val="22"/>
          <w:szCs w:val="22"/>
        </w:rPr>
      </w:pPr>
      <w:r>
        <w:rPr>
          <w:rFonts w:eastAsia="楷体"/>
          <w:sz w:val="22"/>
          <w:szCs w:val="22"/>
        </w:rPr>
        <w:t>10</w:t>
      </w:r>
      <w:r>
        <w:rPr>
          <w:rFonts w:eastAsia="楷体"/>
          <w:sz w:val="22"/>
          <w:szCs w:val="22"/>
        </w:rPr>
        <w:t>）提供完整的技术资料，包括工装结构</w:t>
      </w:r>
      <w:r>
        <w:rPr>
          <w:rFonts w:eastAsia="楷体" w:hint="eastAsia"/>
          <w:sz w:val="22"/>
          <w:szCs w:val="22"/>
        </w:rPr>
        <w:t>竣工</w:t>
      </w:r>
      <w:r>
        <w:rPr>
          <w:rFonts w:eastAsia="楷体"/>
          <w:sz w:val="22"/>
          <w:szCs w:val="22"/>
        </w:rPr>
        <w:t>图纸、控制框图及说明书</w:t>
      </w:r>
      <w:r>
        <w:rPr>
          <w:rFonts w:eastAsia="楷体"/>
          <w:sz w:val="22"/>
          <w:szCs w:val="22"/>
        </w:rPr>
        <w:t>1</w:t>
      </w:r>
      <w:r>
        <w:rPr>
          <w:rFonts w:eastAsia="楷体"/>
          <w:sz w:val="22"/>
          <w:szCs w:val="22"/>
        </w:rPr>
        <w:t>套；元器件品牌、型号、厂别、国别等清单</w:t>
      </w:r>
      <w:r>
        <w:rPr>
          <w:rFonts w:eastAsia="楷体"/>
          <w:sz w:val="22"/>
          <w:szCs w:val="22"/>
        </w:rPr>
        <w:t>1</w:t>
      </w:r>
      <w:r>
        <w:rPr>
          <w:rFonts w:eastAsia="楷体"/>
          <w:sz w:val="22"/>
          <w:szCs w:val="22"/>
        </w:rPr>
        <w:t>套；零部件</w:t>
      </w:r>
      <w:r>
        <w:rPr>
          <w:rFonts w:eastAsia="楷体" w:hint="eastAsia"/>
          <w:sz w:val="22"/>
          <w:szCs w:val="22"/>
        </w:rPr>
        <w:t>品质单、</w:t>
      </w:r>
      <w:r>
        <w:rPr>
          <w:rFonts w:eastAsia="楷体"/>
          <w:sz w:val="22"/>
          <w:szCs w:val="22"/>
        </w:rPr>
        <w:t>加工工艺，硬度、精度及表面粗糙度检测报告</w:t>
      </w:r>
      <w:r>
        <w:rPr>
          <w:rFonts w:eastAsia="楷体"/>
          <w:sz w:val="22"/>
          <w:szCs w:val="22"/>
        </w:rPr>
        <w:t>1</w:t>
      </w:r>
      <w:r>
        <w:rPr>
          <w:rFonts w:eastAsia="楷体"/>
          <w:sz w:val="22"/>
          <w:szCs w:val="22"/>
        </w:rPr>
        <w:t>套；工装装配工艺与精度检测报告</w:t>
      </w:r>
      <w:r>
        <w:rPr>
          <w:rFonts w:eastAsia="楷体"/>
          <w:sz w:val="22"/>
          <w:szCs w:val="22"/>
        </w:rPr>
        <w:t>1</w:t>
      </w:r>
      <w:r>
        <w:rPr>
          <w:rFonts w:eastAsia="楷体"/>
          <w:sz w:val="22"/>
          <w:szCs w:val="22"/>
        </w:rPr>
        <w:t>套；工装调试及模拟环境验证方案及报告</w:t>
      </w:r>
      <w:r>
        <w:rPr>
          <w:rFonts w:eastAsia="楷体"/>
          <w:sz w:val="22"/>
          <w:szCs w:val="22"/>
        </w:rPr>
        <w:t>1</w:t>
      </w:r>
      <w:r>
        <w:rPr>
          <w:rFonts w:eastAsia="楷体"/>
          <w:sz w:val="22"/>
          <w:szCs w:val="22"/>
        </w:rPr>
        <w:t>套。</w:t>
      </w:r>
    </w:p>
    <w:p w14:paraId="0E502799" w14:textId="77777777" w:rsidR="00DC60F5" w:rsidRDefault="0031542A">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77777777" w:rsidR="00DC60F5" w:rsidRDefault="0031542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（一）质保期： 不少于</w:t>
      </w:r>
      <w:r>
        <w:rPr>
          <w:rFonts w:ascii="宋体" w:hAnsi="宋体"/>
          <w:szCs w:val="21"/>
          <w:u w:val="single"/>
        </w:rPr>
        <w:t xml:space="preserve">  3  </w:t>
      </w:r>
      <w:r>
        <w:rPr>
          <w:rFonts w:ascii="宋体" w:hAnsi="宋体" w:hint="eastAsia"/>
          <w:szCs w:val="21"/>
        </w:rPr>
        <w:t>年，</w:t>
      </w:r>
      <w:r>
        <w:rPr>
          <w:rFonts w:ascii="宋体" w:hAnsi="宋体" w:cs="宋体"/>
        </w:rPr>
        <w:t>质保期内</w:t>
      </w:r>
      <w:proofErr w:type="gramStart"/>
      <w:r>
        <w:rPr>
          <w:rFonts w:ascii="宋体" w:hAnsi="宋体" w:cs="宋体"/>
        </w:rPr>
        <w:t>免费维保</w:t>
      </w:r>
      <w:r>
        <w:rPr>
          <w:rFonts w:ascii="宋体" w:hAnsi="宋体" w:cs="宋体" w:hint="eastAsia"/>
        </w:rPr>
        <w:t>不</w:t>
      </w:r>
      <w:proofErr w:type="gramEnd"/>
      <w:r>
        <w:rPr>
          <w:rFonts w:ascii="宋体" w:hAnsi="宋体" w:cs="宋体" w:hint="eastAsia"/>
        </w:rPr>
        <w:t>少于</w:t>
      </w:r>
      <w:r>
        <w:rPr>
          <w:rFonts w:ascii="宋体" w:hAnsi="宋体"/>
          <w:szCs w:val="21"/>
          <w:u w:val="single"/>
        </w:rPr>
        <w:t xml:space="preserve">  2  </w:t>
      </w:r>
      <w:r>
        <w:rPr>
          <w:rFonts w:ascii="宋体" w:hAnsi="宋体" w:cs="宋体"/>
        </w:rPr>
        <w:t xml:space="preserve"> 次/年，免人工服务费。</w:t>
      </w:r>
      <w:r>
        <w:rPr>
          <w:rFonts w:ascii="宋体" w:hAnsi="宋体" w:hint="eastAsia"/>
          <w:szCs w:val="21"/>
        </w:rPr>
        <w:t>质保期满后，仍需提供专业维修服务，投标人在投标文件中需注明维修服务单项报价。</w:t>
      </w:r>
    </w:p>
    <w:p w14:paraId="446C43F0" w14:textId="77777777" w:rsidR="00DC60F5" w:rsidRDefault="0031542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（二）服务响应时间：接到维修电话后4小时内给予明确答复，8小时内到达现场维修。维修人</w:t>
      </w:r>
      <w:r>
        <w:rPr>
          <w:rFonts w:ascii="宋体" w:hAnsi="宋体" w:hint="eastAsia"/>
          <w:szCs w:val="21"/>
        </w:rPr>
        <w:lastRenderedPageBreak/>
        <w:t>员到现场后若问题特殊无法现场修复的，中标人需在24小时内给出合理解决方案。</w:t>
      </w:r>
    </w:p>
    <w:p w14:paraId="79F6240D" w14:textId="77777777" w:rsidR="00DC60F5" w:rsidRDefault="0031542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1 </w:t>
      </w:r>
      <w:proofErr w:type="gramStart"/>
      <w:r>
        <w:rPr>
          <w:rFonts w:ascii="宋体" w:hAnsi="宋体"/>
          <w:szCs w:val="21"/>
        </w:rPr>
        <w:t>名操作</w:t>
      </w:r>
      <w:proofErr w:type="gramEnd"/>
      <w:r>
        <w:rPr>
          <w:rFonts w:ascii="宋体" w:hAnsi="宋体"/>
          <w:szCs w:val="21"/>
        </w:rPr>
        <w:t>人员进行为期至少</w:t>
      </w:r>
      <w:r>
        <w:rPr>
          <w:rFonts w:ascii="宋体" w:hAnsi="宋体"/>
          <w:szCs w:val="21"/>
          <w:u w:val="single"/>
        </w:rPr>
        <w:t xml:space="preserve">  1  </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087735E4" w14:textId="77777777" w:rsidR="00DC60F5" w:rsidRDefault="0031542A">
      <w:pPr>
        <w:tabs>
          <w:tab w:val="left" w:pos="420"/>
          <w:tab w:val="left" w:pos="900"/>
        </w:tabs>
        <w:adjustRightInd w:val="0"/>
        <w:snapToGrid w:val="0"/>
        <w:spacing w:line="360" w:lineRule="auto"/>
        <w:ind w:firstLineChars="200" w:firstLine="422"/>
        <w:rPr>
          <w:rFonts w:ascii="宋体" w:hAnsi="宋体"/>
          <w:b/>
          <w:bCs/>
          <w:szCs w:val="21"/>
        </w:rPr>
      </w:pPr>
      <w:r>
        <w:rPr>
          <w:rFonts w:ascii="宋体" w:hAnsi="宋体" w:hint="eastAsia"/>
          <w:b/>
          <w:bCs/>
          <w:szCs w:val="21"/>
        </w:rPr>
        <w:t>（四）供应商提供进口设备的，须在投标（响应）文件中明确外贸合同卖方信息。</w:t>
      </w:r>
    </w:p>
    <w:p w14:paraId="2B9F23E2" w14:textId="77777777" w:rsidR="00DC60F5" w:rsidRDefault="00DC60F5">
      <w:pPr>
        <w:adjustRightInd w:val="0"/>
        <w:snapToGrid w:val="0"/>
        <w:spacing w:line="360" w:lineRule="auto"/>
        <w:ind w:firstLineChars="200" w:firstLine="440"/>
        <w:rPr>
          <w:rFonts w:ascii="楷体" w:eastAsia="楷体" w:hAnsi="楷体"/>
          <w:color w:val="FF0000"/>
          <w:sz w:val="22"/>
          <w:szCs w:val="22"/>
        </w:rPr>
      </w:pPr>
    </w:p>
    <w:p w14:paraId="250BAB25" w14:textId="77777777" w:rsidR="00DC60F5" w:rsidRDefault="0031542A">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1"/>
        <w:tblW w:w="5000" w:type="pct"/>
        <w:jc w:val="center"/>
        <w:tblLook w:val="04A0" w:firstRow="1" w:lastRow="0" w:firstColumn="1" w:lastColumn="0" w:noHBand="0" w:noVBand="1"/>
      </w:tblPr>
      <w:tblGrid>
        <w:gridCol w:w="765"/>
        <w:gridCol w:w="3694"/>
        <w:gridCol w:w="4601"/>
      </w:tblGrid>
      <w:tr w:rsidR="00DC60F5" w14:paraId="7ECB72D1" w14:textId="77777777">
        <w:trPr>
          <w:trHeight w:val="567"/>
          <w:jc w:val="center"/>
        </w:trPr>
        <w:tc>
          <w:tcPr>
            <w:tcW w:w="9060" w:type="dxa"/>
            <w:gridSpan w:val="3"/>
            <w:vAlign w:val="center"/>
          </w:tcPr>
          <w:p w14:paraId="7541F7C7" w14:textId="77777777" w:rsidR="00DC60F5" w:rsidRDefault="0031542A">
            <w:pPr>
              <w:widowControl/>
              <w:adjustRightInd w:val="0"/>
              <w:snapToGrid w:val="0"/>
              <w:jc w:val="left"/>
              <w:textAlignment w:val="baseline"/>
              <w:rPr>
                <w:rFonts w:ascii="宋体" w:hAnsi="宋体"/>
                <w:b/>
                <w:bCs/>
                <w:color w:val="000000"/>
                <w:kern w:val="0"/>
                <w:szCs w:val="21"/>
              </w:rPr>
            </w:pPr>
            <w:bookmarkStart w:id="11" w:name="OLE_LINK3"/>
            <w:bookmarkEnd w:id="2"/>
            <w:bookmarkEnd w:id="3"/>
            <w:bookmarkEnd w:id="4"/>
            <w:r>
              <w:rPr>
                <w:rFonts w:ascii="宋体" w:hAnsi="宋体" w:hint="eastAsia"/>
                <w:b/>
                <w:bCs/>
                <w:color w:val="000000"/>
                <w:kern w:val="0"/>
                <w:szCs w:val="21"/>
              </w:rPr>
              <w:t>一、货物类项目验收要求</w:t>
            </w:r>
          </w:p>
        </w:tc>
      </w:tr>
      <w:tr w:rsidR="00DC60F5" w14:paraId="1BB8271D" w14:textId="77777777">
        <w:trPr>
          <w:trHeight w:val="567"/>
          <w:jc w:val="center"/>
        </w:trPr>
        <w:tc>
          <w:tcPr>
            <w:tcW w:w="765" w:type="dxa"/>
            <w:vAlign w:val="center"/>
          </w:tcPr>
          <w:p w14:paraId="5E00C0EC"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DC60F5" w14:paraId="4DD1ECF0" w14:textId="77777777">
        <w:trPr>
          <w:trHeight w:val="567"/>
          <w:jc w:val="center"/>
        </w:trPr>
        <w:tc>
          <w:tcPr>
            <w:tcW w:w="9060" w:type="dxa"/>
            <w:gridSpan w:val="3"/>
            <w:vAlign w:val="center"/>
          </w:tcPr>
          <w:p w14:paraId="02C15476" w14:textId="77777777" w:rsidR="00DC60F5" w:rsidRDefault="0031542A">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DC60F5" w14:paraId="5919C972" w14:textId="77777777">
        <w:trPr>
          <w:trHeight w:val="567"/>
          <w:jc w:val="center"/>
        </w:trPr>
        <w:tc>
          <w:tcPr>
            <w:tcW w:w="765" w:type="dxa"/>
            <w:vAlign w:val="center"/>
          </w:tcPr>
          <w:p w14:paraId="097B8444"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DC60F5" w14:paraId="3668EFCD" w14:textId="77777777">
        <w:trPr>
          <w:trHeight w:val="567"/>
          <w:jc w:val="center"/>
        </w:trPr>
        <w:tc>
          <w:tcPr>
            <w:tcW w:w="765" w:type="dxa"/>
            <w:vAlign w:val="center"/>
          </w:tcPr>
          <w:p w14:paraId="4D5202A4"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DC60F5" w14:paraId="5150B6CA" w14:textId="77777777">
        <w:trPr>
          <w:trHeight w:val="567"/>
          <w:jc w:val="center"/>
        </w:trPr>
        <w:tc>
          <w:tcPr>
            <w:tcW w:w="765" w:type="dxa"/>
            <w:vAlign w:val="center"/>
          </w:tcPr>
          <w:p w14:paraId="72C4659C"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14:textId="77777777" w:rsidR="00DC60F5" w:rsidRDefault="0031542A">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DC60F5" w:rsidRDefault="0031542A">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DC60F5" w14:paraId="1AFC3DD8" w14:textId="77777777">
        <w:trPr>
          <w:trHeight w:val="567"/>
          <w:jc w:val="center"/>
        </w:trPr>
        <w:tc>
          <w:tcPr>
            <w:tcW w:w="765" w:type="dxa"/>
            <w:vAlign w:val="center"/>
          </w:tcPr>
          <w:p w14:paraId="20814624"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现场核查。供应商须根据合同约定提供《培训视频》影像资料等。</w:t>
            </w:r>
          </w:p>
        </w:tc>
      </w:tr>
      <w:tr w:rsidR="00DC60F5" w14:paraId="08382BEF" w14:textId="77777777">
        <w:trPr>
          <w:trHeight w:val="567"/>
          <w:jc w:val="center"/>
        </w:trPr>
        <w:tc>
          <w:tcPr>
            <w:tcW w:w="765" w:type="dxa"/>
            <w:vAlign w:val="center"/>
          </w:tcPr>
          <w:p w14:paraId="59DD5624"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DC60F5" w:rsidRDefault="0031542A">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DC60F5" w14:paraId="66010D9D" w14:textId="77777777">
        <w:trPr>
          <w:trHeight w:val="567"/>
          <w:jc w:val="center"/>
        </w:trPr>
        <w:tc>
          <w:tcPr>
            <w:tcW w:w="765" w:type="dxa"/>
            <w:vAlign w:val="center"/>
          </w:tcPr>
          <w:p w14:paraId="6DFA2F36" w14:textId="77777777" w:rsidR="00DC60F5" w:rsidRDefault="0031542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12" w:name="OLE_LINK4"/>
            <w:r>
              <w:rPr>
                <w:rFonts w:ascii="宋体" w:hAnsi="宋体" w:hint="eastAsia"/>
                <w:color w:val="000000"/>
                <w:kern w:val="0"/>
                <w:szCs w:val="21"/>
              </w:rPr>
              <w:t>《技术协议》</w:t>
            </w:r>
            <w:bookmarkEnd w:id="12"/>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DC60F5" w14:paraId="72FC7F66" w14:textId="77777777">
        <w:trPr>
          <w:trHeight w:val="567"/>
          <w:jc w:val="center"/>
        </w:trPr>
        <w:tc>
          <w:tcPr>
            <w:tcW w:w="9060" w:type="dxa"/>
            <w:gridSpan w:val="3"/>
            <w:vAlign w:val="center"/>
          </w:tcPr>
          <w:p w14:paraId="51743AB1"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w:t>
            </w:r>
            <w:proofErr w:type="gramStart"/>
            <w:r>
              <w:rPr>
                <w:rFonts w:ascii="宋体" w:hAnsi="宋体" w:hint="eastAsia"/>
                <w:color w:val="000000"/>
                <w:kern w:val="0"/>
                <w:szCs w:val="21"/>
              </w:rPr>
              <w:t>学校国</w:t>
            </w:r>
            <w:proofErr w:type="gramEnd"/>
            <w:r>
              <w:rPr>
                <w:rFonts w:ascii="宋体" w:hAnsi="宋体" w:hint="eastAsia"/>
                <w:color w:val="000000"/>
                <w:kern w:val="0"/>
                <w:szCs w:val="21"/>
              </w:rPr>
              <w:t>资处，由国资处组织专家现场验收复核。</w:t>
            </w:r>
          </w:p>
        </w:tc>
      </w:tr>
      <w:tr w:rsidR="00DC60F5" w14:paraId="5D456D18" w14:textId="77777777">
        <w:trPr>
          <w:trHeight w:val="567"/>
          <w:jc w:val="center"/>
        </w:trPr>
        <w:tc>
          <w:tcPr>
            <w:tcW w:w="4459" w:type="dxa"/>
            <w:gridSpan w:val="2"/>
            <w:vAlign w:val="center"/>
          </w:tcPr>
          <w:p w14:paraId="14AE30AD"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601" w:type="dxa"/>
            <w:vAlign w:val="center"/>
          </w:tcPr>
          <w:p w14:paraId="798E259A" w14:textId="77777777" w:rsidR="00DC60F5" w:rsidRDefault="0031542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ascii="宋体" w:hAnsi="宋体" w:cs="宋体" w:hint="eastAsia"/>
                <w:color w:val="000000"/>
                <w:kern w:val="0"/>
                <w:szCs w:val="21"/>
              </w:rPr>
              <w:t>□</w:t>
            </w:r>
            <w:r>
              <w:rPr>
                <w:rFonts w:ascii="宋体" w:hAnsi="宋体" w:hint="eastAsia"/>
                <w:color w:val="000000"/>
                <w:kern w:val="0"/>
                <w:szCs w:val="21"/>
              </w:rPr>
              <w:t>否</w:t>
            </w:r>
          </w:p>
        </w:tc>
      </w:tr>
      <w:tr w:rsidR="00DC60F5" w14:paraId="38BCC809" w14:textId="77777777">
        <w:trPr>
          <w:trHeight w:val="567"/>
          <w:jc w:val="center"/>
        </w:trPr>
        <w:tc>
          <w:tcPr>
            <w:tcW w:w="4459" w:type="dxa"/>
            <w:gridSpan w:val="2"/>
            <w:vAlign w:val="center"/>
          </w:tcPr>
          <w:p w14:paraId="4B771E24"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lastRenderedPageBreak/>
              <w:t>验收时是否需供应商提供必要的其他设备</w:t>
            </w:r>
          </w:p>
        </w:tc>
        <w:tc>
          <w:tcPr>
            <w:tcW w:w="4601" w:type="dxa"/>
            <w:vAlign w:val="center"/>
          </w:tcPr>
          <w:p w14:paraId="33CC1E8D" w14:textId="77777777" w:rsidR="00DC60F5" w:rsidRDefault="0031542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DC60F5" w14:paraId="2F5BEAF5" w14:textId="77777777">
        <w:trPr>
          <w:trHeight w:val="567"/>
          <w:jc w:val="center"/>
        </w:trPr>
        <w:tc>
          <w:tcPr>
            <w:tcW w:w="9060" w:type="dxa"/>
            <w:gridSpan w:val="3"/>
            <w:vAlign w:val="center"/>
          </w:tcPr>
          <w:p w14:paraId="3D52DFAE" w14:textId="77777777" w:rsidR="00DC60F5" w:rsidRDefault="0031542A">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DC60F5" w14:paraId="753C7F83" w14:textId="77777777">
        <w:trPr>
          <w:trHeight w:val="567"/>
          <w:jc w:val="center"/>
        </w:trPr>
        <w:tc>
          <w:tcPr>
            <w:tcW w:w="9060" w:type="dxa"/>
            <w:gridSpan w:val="3"/>
            <w:vAlign w:val="center"/>
          </w:tcPr>
          <w:p w14:paraId="74517D30" w14:textId="77777777" w:rsidR="00DC60F5" w:rsidRDefault="0031542A">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13" w:name="OLE_LINK35"/>
            <w:r>
              <w:rPr>
                <w:rFonts w:ascii="宋体" w:hAnsi="宋体" w:hint="eastAsia"/>
                <w:szCs w:val="21"/>
              </w:rPr>
              <w:t>根据项目特点对服务期内的服务履约实施情况进行考核，结合考核情况和服务效果进行验收。验收报告须经国资处备案。</w:t>
            </w:r>
            <w:bookmarkEnd w:id="13"/>
          </w:p>
        </w:tc>
      </w:tr>
      <w:tr w:rsidR="00DC60F5" w14:paraId="45622F2A" w14:textId="77777777">
        <w:trPr>
          <w:trHeight w:val="567"/>
          <w:jc w:val="center"/>
        </w:trPr>
        <w:tc>
          <w:tcPr>
            <w:tcW w:w="9060" w:type="dxa"/>
            <w:gridSpan w:val="3"/>
            <w:vAlign w:val="center"/>
          </w:tcPr>
          <w:p w14:paraId="04FD13D8" w14:textId="77777777" w:rsidR="00DC60F5" w:rsidRDefault="0031542A">
            <w:pPr>
              <w:widowControl/>
              <w:adjustRightInd w:val="0"/>
              <w:snapToGrid w:val="0"/>
              <w:textAlignment w:val="baseline"/>
              <w:rPr>
                <w:rFonts w:ascii="宋体" w:hAnsi="宋体"/>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p w14:paraId="4BCB71DB" w14:textId="77777777" w:rsidR="00DC60F5" w:rsidRDefault="0031542A">
            <w:pPr>
              <w:widowControl/>
              <w:adjustRightInd w:val="0"/>
              <w:snapToGrid w:val="0"/>
              <w:textAlignment w:val="baseline"/>
              <w:rPr>
                <w:rFonts w:ascii="宋体" w:hAnsi="宋体"/>
                <w:b/>
                <w:color w:val="000000"/>
                <w:kern w:val="0"/>
                <w:szCs w:val="21"/>
              </w:rPr>
            </w:pPr>
            <w:r>
              <w:rPr>
                <w:rFonts w:ascii="宋体" w:hAnsi="宋体" w:hint="eastAsia"/>
                <w:b/>
                <w:color w:val="000000"/>
                <w:kern w:val="0"/>
                <w:szCs w:val="21"/>
              </w:rPr>
              <w:t>其它要求：</w:t>
            </w:r>
          </w:p>
          <w:p w14:paraId="5865E631" w14:textId="77777777" w:rsidR="00DC60F5" w:rsidRDefault="0031542A">
            <w:pPr>
              <w:pStyle w:val="af7"/>
              <w:numPr>
                <w:ilvl w:val="0"/>
                <w:numId w:val="1"/>
              </w:numPr>
              <w:adjustRightInd w:val="0"/>
              <w:snapToGrid w:val="0"/>
              <w:spacing w:line="360" w:lineRule="auto"/>
              <w:ind w:firstLineChars="0"/>
              <w:rPr>
                <w:rFonts w:ascii="楷体" w:eastAsia="楷体" w:hAnsi="楷体"/>
                <w:sz w:val="22"/>
                <w:szCs w:val="22"/>
              </w:rPr>
            </w:pPr>
            <w:r>
              <w:rPr>
                <w:rFonts w:ascii="楷体" w:eastAsia="楷体" w:hAnsi="楷体" w:hint="eastAsia"/>
                <w:sz w:val="22"/>
                <w:szCs w:val="22"/>
              </w:rPr>
              <w:t>定位工装结构详细设计</w:t>
            </w:r>
          </w:p>
          <w:p w14:paraId="0E6E665F" w14:textId="77777777" w:rsidR="00DC60F5" w:rsidRDefault="0031542A">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现场核查结构的零件图、装配图和控制系统的控制框图，零部件与元器件清单。</w:t>
            </w:r>
          </w:p>
          <w:p w14:paraId="76BB6496" w14:textId="77777777" w:rsidR="00DC60F5" w:rsidRDefault="0031542A">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2）元器件采购</w:t>
            </w:r>
          </w:p>
          <w:p w14:paraId="3C59FA51" w14:textId="77777777" w:rsidR="00DC60F5" w:rsidRDefault="0031542A">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现场核查元器件及元器件品牌、型号、厂别、国别等清单。</w:t>
            </w:r>
          </w:p>
          <w:p w14:paraId="7EDF4403" w14:textId="77777777" w:rsidR="00DC60F5" w:rsidRDefault="0031542A">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3）零部件加工</w:t>
            </w:r>
          </w:p>
          <w:p w14:paraId="62E4CAEB" w14:textId="77777777" w:rsidR="00DC60F5" w:rsidRDefault="0031542A">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现场核查零部件及零部件加工工艺，硬度、精度及表面粗糙度检测报告。</w:t>
            </w:r>
          </w:p>
          <w:p w14:paraId="11C4FBCE" w14:textId="77777777" w:rsidR="00DC60F5" w:rsidRDefault="0031542A">
            <w:pPr>
              <w:adjustRightInd w:val="0"/>
              <w:snapToGrid w:val="0"/>
              <w:spacing w:line="360" w:lineRule="auto"/>
              <w:ind w:firstLineChars="200" w:firstLine="440"/>
              <w:rPr>
                <w:rFonts w:ascii="楷体" w:eastAsia="楷体" w:hAnsi="楷体"/>
                <w:sz w:val="22"/>
                <w:szCs w:val="22"/>
              </w:rPr>
            </w:pPr>
            <w:r>
              <w:rPr>
                <w:rFonts w:ascii="楷体" w:eastAsia="楷体" w:hAnsi="楷体" w:hint="eastAsia"/>
                <w:sz w:val="22"/>
                <w:szCs w:val="22"/>
              </w:rPr>
              <w:t>4）定位工装调试与模拟环境验证</w:t>
            </w:r>
          </w:p>
          <w:p w14:paraId="2CF4C624" w14:textId="77777777" w:rsidR="00DC60F5" w:rsidRDefault="0031542A">
            <w:pPr>
              <w:adjustRightInd w:val="0"/>
              <w:snapToGrid w:val="0"/>
              <w:spacing w:line="360" w:lineRule="auto"/>
              <w:ind w:firstLineChars="200" w:firstLine="440"/>
              <w:rPr>
                <w:rFonts w:ascii="宋体" w:hAnsi="宋体" w:cs="宋体"/>
                <w:color w:val="000000"/>
                <w:kern w:val="0"/>
                <w:szCs w:val="21"/>
              </w:rPr>
            </w:pPr>
            <w:r>
              <w:rPr>
                <w:rFonts w:ascii="楷体" w:eastAsia="楷体" w:hAnsi="楷体" w:hint="eastAsia"/>
                <w:sz w:val="22"/>
                <w:szCs w:val="22"/>
              </w:rPr>
              <w:t>现场核查工装装配工艺与精度检测报告、工装调试及模拟环境验证报告。</w:t>
            </w:r>
          </w:p>
        </w:tc>
      </w:tr>
      <w:tr w:rsidR="00DC60F5" w14:paraId="51A8B91B" w14:textId="77777777">
        <w:trPr>
          <w:trHeight w:val="567"/>
          <w:jc w:val="center"/>
        </w:trPr>
        <w:tc>
          <w:tcPr>
            <w:tcW w:w="9060" w:type="dxa"/>
            <w:gridSpan w:val="3"/>
            <w:vAlign w:val="center"/>
          </w:tcPr>
          <w:p w14:paraId="62B84129" w14:textId="77777777" w:rsidR="00DC60F5" w:rsidRDefault="0031542A">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DC60F5" w14:paraId="43173668" w14:textId="77777777">
        <w:trPr>
          <w:trHeight w:val="567"/>
          <w:jc w:val="center"/>
        </w:trPr>
        <w:tc>
          <w:tcPr>
            <w:tcW w:w="4459" w:type="dxa"/>
            <w:gridSpan w:val="2"/>
            <w:vAlign w:val="center"/>
          </w:tcPr>
          <w:p w14:paraId="50D21A46"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DC60F5" w:rsidRDefault="00DC60F5">
            <w:pPr>
              <w:widowControl/>
              <w:adjustRightInd w:val="0"/>
              <w:snapToGrid w:val="0"/>
              <w:textAlignment w:val="baseline"/>
              <w:rPr>
                <w:rFonts w:ascii="宋体" w:hAnsi="宋体" w:cs="宋体"/>
                <w:color w:val="000000"/>
                <w:kern w:val="0"/>
                <w:szCs w:val="21"/>
              </w:rPr>
            </w:pPr>
          </w:p>
          <w:p w14:paraId="60F1F5C1" w14:textId="77777777" w:rsidR="00DC60F5" w:rsidRDefault="0031542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kern w:val="0"/>
                <w:sz w:val="20"/>
                <w:szCs w:val="21"/>
              </w:rPr>
              <w:sym w:font="FTToken2" w:char="0052"/>
            </w:r>
            <w:r>
              <w:rPr>
                <w:rFonts w:ascii="宋体" w:hAnsi="宋体"/>
                <w:color w:val="000000"/>
                <w:kern w:val="0"/>
                <w:szCs w:val="21"/>
              </w:rPr>
              <w:t>否</w:t>
            </w:r>
          </w:p>
          <w:p w14:paraId="3D6DDFD4" w14:textId="77777777" w:rsidR="00DC60F5" w:rsidRDefault="00DC60F5">
            <w:pPr>
              <w:widowControl/>
              <w:adjustRightInd w:val="0"/>
              <w:snapToGrid w:val="0"/>
              <w:textAlignment w:val="baseline"/>
              <w:rPr>
                <w:rFonts w:ascii="宋体" w:hAnsi="宋体"/>
                <w:color w:val="000000"/>
                <w:kern w:val="0"/>
                <w:szCs w:val="21"/>
              </w:rPr>
            </w:pPr>
          </w:p>
          <w:p w14:paraId="3B30A560" w14:textId="77777777" w:rsidR="00DC60F5" w:rsidRDefault="0031542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DC60F5" w:rsidRDefault="0031542A">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DC60F5" w:rsidRDefault="0031542A">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11"/>
    </w:tbl>
    <w:p w14:paraId="2DDD6AE2" w14:textId="77777777" w:rsidR="00DC60F5" w:rsidRDefault="00DC60F5">
      <w:pPr>
        <w:adjustRightInd w:val="0"/>
        <w:snapToGrid w:val="0"/>
        <w:spacing w:line="360" w:lineRule="auto"/>
        <w:ind w:firstLineChars="200" w:firstLine="440"/>
        <w:rPr>
          <w:rFonts w:ascii="楷体" w:eastAsia="楷体" w:hAnsi="楷体"/>
          <w:color w:val="FF0000"/>
          <w:sz w:val="22"/>
          <w:szCs w:val="22"/>
        </w:rPr>
      </w:pPr>
    </w:p>
    <w:p w14:paraId="120A1EF8" w14:textId="77777777" w:rsidR="00DC60F5" w:rsidRDefault="00DC60F5">
      <w:pPr>
        <w:adjustRightInd w:val="0"/>
        <w:snapToGrid w:val="0"/>
        <w:spacing w:line="360" w:lineRule="auto"/>
        <w:ind w:firstLineChars="200" w:firstLine="420"/>
      </w:pPr>
    </w:p>
    <w:p w14:paraId="67CC4235" w14:textId="77777777" w:rsidR="00DC60F5" w:rsidRDefault="00DC60F5">
      <w:pPr>
        <w:adjustRightInd w:val="0"/>
        <w:snapToGrid w:val="0"/>
        <w:spacing w:line="360" w:lineRule="auto"/>
        <w:ind w:firstLineChars="200" w:firstLine="420"/>
      </w:pPr>
    </w:p>
    <w:sectPr w:rsidR="00DC60F5">
      <w:footerReference w:type="default" r:id="rId7"/>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FEE1" w14:textId="77777777" w:rsidR="00243067" w:rsidRDefault="00243067">
      <w:r>
        <w:separator/>
      </w:r>
    </w:p>
  </w:endnote>
  <w:endnote w:type="continuationSeparator" w:id="0">
    <w:p w14:paraId="76061551" w14:textId="77777777" w:rsidR="00243067" w:rsidRDefault="0024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TToken2">
    <w:altName w:val="Wingdings 2"/>
    <w:charset w:val="00"/>
    <w:family w:val="auto"/>
    <w:pitch w:val="default"/>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77777777" w:rsidR="00DC60F5" w:rsidRDefault="0031542A">
    <w:pPr>
      <w:pStyle w:val="a9"/>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55A8" w14:textId="77777777" w:rsidR="00243067" w:rsidRDefault="00243067">
      <w:r>
        <w:separator/>
      </w:r>
    </w:p>
  </w:footnote>
  <w:footnote w:type="continuationSeparator" w:id="0">
    <w:p w14:paraId="57430C9D" w14:textId="77777777" w:rsidR="00243067" w:rsidRDefault="00243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B045D"/>
    <w:multiLevelType w:val="multilevel"/>
    <w:tmpl w:val="60CB045D"/>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66DF6"/>
    <w:rsid w:val="000816A4"/>
    <w:rsid w:val="00090056"/>
    <w:rsid w:val="00092B2E"/>
    <w:rsid w:val="00094C16"/>
    <w:rsid w:val="00097B46"/>
    <w:rsid w:val="000A209A"/>
    <w:rsid w:val="000A21C5"/>
    <w:rsid w:val="000A57A8"/>
    <w:rsid w:val="000A7BF0"/>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180B"/>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1F48D3"/>
    <w:rsid w:val="0021026B"/>
    <w:rsid w:val="00214F3E"/>
    <w:rsid w:val="002204EA"/>
    <w:rsid w:val="002262A0"/>
    <w:rsid w:val="00230B96"/>
    <w:rsid w:val="00233C66"/>
    <w:rsid w:val="00237253"/>
    <w:rsid w:val="00243067"/>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18FD"/>
    <w:rsid w:val="0031502A"/>
    <w:rsid w:val="003154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214F"/>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2DF"/>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1B46"/>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28D"/>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5773D"/>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741C5"/>
    <w:rsid w:val="007803AD"/>
    <w:rsid w:val="007839AE"/>
    <w:rsid w:val="00785146"/>
    <w:rsid w:val="00791CD0"/>
    <w:rsid w:val="007A059E"/>
    <w:rsid w:val="007A41C0"/>
    <w:rsid w:val="007A5A82"/>
    <w:rsid w:val="007A5DE1"/>
    <w:rsid w:val="007A7B4C"/>
    <w:rsid w:val="007B0025"/>
    <w:rsid w:val="007B0FEB"/>
    <w:rsid w:val="007B4412"/>
    <w:rsid w:val="007C478C"/>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78D"/>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07622"/>
    <w:rsid w:val="0091080A"/>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070E8"/>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A4786"/>
    <w:rsid w:val="00AB4712"/>
    <w:rsid w:val="00AB48E9"/>
    <w:rsid w:val="00AC005D"/>
    <w:rsid w:val="00AC2EB1"/>
    <w:rsid w:val="00AC6F95"/>
    <w:rsid w:val="00AD4C30"/>
    <w:rsid w:val="00AD6EAD"/>
    <w:rsid w:val="00AE18CF"/>
    <w:rsid w:val="00AE1AFA"/>
    <w:rsid w:val="00AE3C9F"/>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6E6A"/>
    <w:rsid w:val="00BC7870"/>
    <w:rsid w:val="00BC7BCD"/>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656F"/>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2C16"/>
    <w:rsid w:val="00DB6ED1"/>
    <w:rsid w:val="00DC1928"/>
    <w:rsid w:val="00DC60F5"/>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1FD3"/>
    <w:rsid w:val="00E34A5B"/>
    <w:rsid w:val="00E36D46"/>
    <w:rsid w:val="00E4264C"/>
    <w:rsid w:val="00E458B0"/>
    <w:rsid w:val="00E501AE"/>
    <w:rsid w:val="00E506CD"/>
    <w:rsid w:val="00E512A8"/>
    <w:rsid w:val="00E538A0"/>
    <w:rsid w:val="00E57E43"/>
    <w:rsid w:val="00E65CE7"/>
    <w:rsid w:val="00E6628A"/>
    <w:rsid w:val="00E711FB"/>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E4FC5"/>
    <w:rsid w:val="00EF2087"/>
    <w:rsid w:val="00EF4FBA"/>
    <w:rsid w:val="00F01EB7"/>
    <w:rsid w:val="00F02423"/>
    <w:rsid w:val="00F072C1"/>
    <w:rsid w:val="00F07693"/>
    <w:rsid w:val="00F10369"/>
    <w:rsid w:val="00F10CC8"/>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303"/>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C6872"/>
    <w:rsid w:val="00FD6CA8"/>
    <w:rsid w:val="00FE1B41"/>
    <w:rsid w:val="00FF21F2"/>
    <w:rsid w:val="00FF339E"/>
    <w:rsid w:val="00FF40F9"/>
    <w:rsid w:val="00FF47AD"/>
    <w:rsid w:val="00FF6875"/>
    <w:rsid w:val="00FF698C"/>
    <w:rsid w:val="1BC72B84"/>
    <w:rsid w:val="4FAF6015"/>
    <w:rsid w:val="5FFD2342"/>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D314D"/>
  <w15:docId w15:val="{6F002911-4788-4796-ACA2-10454D16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uiPriority w:val="99"/>
    <w:semiHidden/>
    <w:unhideWhenUsed/>
    <w:qFormat/>
    <w:rPr>
      <w:color w:val="800080" w:themeColor="followedHyperlink"/>
      <w:u w:val="single"/>
    </w:rPr>
  </w:style>
  <w:style w:type="character" w:styleId="af4">
    <w:name w:val="Emphasis"/>
    <w:basedOn w:val="a0"/>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7">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1746</TotalTime>
  <Pages>4</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会杰 张</cp:lastModifiedBy>
  <cp:revision>781</cp:revision>
  <dcterms:created xsi:type="dcterms:W3CDTF">2021-03-17T15:37:00Z</dcterms:created>
  <dcterms:modified xsi:type="dcterms:W3CDTF">2026-06-15T03:55:00Z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2052-12.1.3.26373</vt:lpwstr>
  </property>
  <property fmtid="{D5CDD505-2E9C-101B-9397-08002B2CF9AE}" pid="3" name="ICV">
    <vt:lpwstr>FD47254428C546C79753499200788EBF</vt:lpwstr>
  </property>
</Properties>
</file>