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992A2">
      <w:pPr>
        <w:pStyle w:val="7"/>
        <w:rPr>
          <w:rFonts w:hint="eastAsia" w:ascii="宋体" w:hAnsi="宋体"/>
          <w:sz w:val="36"/>
        </w:rPr>
      </w:pPr>
      <w:bookmarkStart w:id="0" w:name="_Toc38367762"/>
      <w:r>
        <w:rPr>
          <w:rFonts w:hint="eastAsia" w:ascii="宋体" w:hAnsi="宋体"/>
          <w:sz w:val="36"/>
        </w:rPr>
        <w:t>【核心业务数据备份恢复管理平台】</w:t>
      </w:r>
      <w:r>
        <w:rPr>
          <w:rFonts w:ascii="宋体" w:hAnsi="宋体"/>
          <w:sz w:val="36"/>
        </w:rPr>
        <w:t>采购需求</w:t>
      </w:r>
      <w:bookmarkEnd w:id="0"/>
    </w:p>
    <w:p w14:paraId="421AAFA1">
      <w:pPr>
        <w:tabs>
          <w:tab w:val="left" w:pos="900"/>
        </w:tabs>
        <w:spacing w:before="156" w:beforeLines="50" w:line="360" w:lineRule="auto"/>
        <w:rPr>
          <w:b/>
          <w:szCs w:val="21"/>
        </w:rPr>
      </w:pPr>
      <w:bookmarkStart w:id="1" w:name="_Toc219271393"/>
      <w:bookmarkStart w:id="2" w:name="_Toc172360661"/>
      <w:bookmarkStart w:id="3" w:name="_Toc158978330"/>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1DD3D1C8">
      <w:pPr>
        <w:tabs>
          <w:tab w:val="left" w:pos="900"/>
        </w:tabs>
        <w:spacing w:before="156" w:beforeLines="50" w:line="360" w:lineRule="auto"/>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071C0BB0">
      <w:pPr>
        <w:autoSpaceDE w:val="0"/>
        <w:autoSpaceDN w:val="0"/>
        <w:adjustRightInd w:val="0"/>
        <w:spacing w:before="50" w:line="360" w:lineRule="auto"/>
        <w:ind w:firstLine="420" w:firstLineChars="200"/>
      </w:pPr>
      <w:r>
        <w:rPr>
          <w:rFonts w:hint="eastAsia"/>
        </w:rPr>
        <w:t>本项目采购核心业务数据备份恢复管理平台1套，用于学校核心业务系统的数据备份、恢复及容灾管理工作，通过全量、增量等备份策略及数据压缩与加密功能，保障备份数据安全高效存储；通过灵活恢复选项及完整性验证，确保恢复数据准确无误；并与现有数据库容灾系统结合构建本地多层次容灾备份架构，提升数据安全保障能力，满足学校业务连续性需求。</w:t>
      </w:r>
    </w:p>
    <w:p w14:paraId="33510E32">
      <w:pPr>
        <w:tabs>
          <w:tab w:val="left" w:pos="900"/>
        </w:tabs>
        <w:spacing w:before="156" w:beforeLines="50" w:line="360" w:lineRule="auto"/>
        <w:rPr>
          <w:b/>
          <w:szCs w:val="21"/>
        </w:rPr>
      </w:pPr>
      <w:r>
        <w:rPr>
          <w:rFonts w:hAnsi="宋体"/>
          <w:b/>
          <w:szCs w:val="21"/>
        </w:rPr>
        <w:t>（二）为落实政府采购政策需满足的要求</w:t>
      </w:r>
    </w:p>
    <w:p w14:paraId="09FB77E7">
      <w:pPr>
        <w:tabs>
          <w:tab w:val="left" w:pos="900"/>
        </w:tabs>
        <w:spacing w:line="360" w:lineRule="auto"/>
        <w:ind w:left="420"/>
        <w:rPr>
          <w:rFonts w:hint="eastAsia" w:hAnsi="宋体"/>
          <w:szCs w:val="21"/>
        </w:rPr>
      </w:pPr>
      <w:r>
        <w:rPr>
          <w:rFonts w:hint="eastAsia" w:hAnsi="宋体"/>
          <w:szCs w:val="24"/>
        </w:rPr>
        <w:t>1</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338C2264">
      <w:pPr>
        <w:tabs>
          <w:tab w:val="left" w:pos="900"/>
        </w:tabs>
        <w:spacing w:line="360" w:lineRule="auto"/>
        <w:ind w:left="420"/>
        <w:rPr>
          <w:rFonts w:hint="eastAsia" w:hAnsi="宋体"/>
          <w:szCs w:val="24"/>
        </w:rPr>
      </w:pPr>
      <w:r>
        <w:rPr>
          <w:rFonts w:hint="eastAsia" w:hAnsi="宋体"/>
          <w:szCs w:val="24"/>
        </w:rPr>
        <w:t>本项目采购标的对应的《中小企业划型标准规定》所属行业为：</w:t>
      </w:r>
      <w:r>
        <w:rPr>
          <w:rFonts w:hint="eastAsia" w:hAnsi="宋体"/>
          <w:szCs w:val="24"/>
          <w:u w:val="single"/>
        </w:rPr>
        <w:t xml:space="preserve"> </w:t>
      </w:r>
      <w:r>
        <w:rPr>
          <w:rFonts w:hAnsi="宋体"/>
          <w:szCs w:val="24"/>
          <w:u w:val="single"/>
        </w:rPr>
        <w:t xml:space="preserve">  </w:t>
      </w:r>
      <w:r>
        <w:rPr>
          <w:rFonts w:hint="eastAsia" w:hAnsi="宋体"/>
          <w:szCs w:val="24"/>
          <w:u w:val="single"/>
        </w:rPr>
        <w:t>工业</w:t>
      </w:r>
      <w:r>
        <w:rPr>
          <w:rFonts w:hAnsi="宋体"/>
          <w:szCs w:val="24"/>
          <w:u w:val="single"/>
        </w:rPr>
        <w:t xml:space="preserve">    </w:t>
      </w:r>
      <w:r>
        <w:rPr>
          <w:rFonts w:hint="eastAsia" w:hAnsi="宋体"/>
          <w:szCs w:val="24"/>
        </w:rPr>
        <w:t>。</w:t>
      </w:r>
    </w:p>
    <w:p w14:paraId="0EF3089A">
      <w:pPr>
        <w:tabs>
          <w:tab w:val="left" w:pos="900"/>
        </w:tabs>
        <w:spacing w:line="360" w:lineRule="auto"/>
        <w:ind w:left="420"/>
        <w:rPr>
          <w:rFonts w:hint="eastAsia" w:cs="宋体" w:asciiTheme="minorEastAsia" w:hAnsiTheme="minorEastAsia"/>
          <w:b/>
          <w:color w:val="000000"/>
          <w:kern w:val="0"/>
          <w:sz w:val="20"/>
          <w:szCs w:val="21"/>
        </w:rPr>
      </w:pPr>
      <w:r>
        <w:rPr>
          <w:rFonts w:hint="eastAsia" w:hAnsi="宋体"/>
          <w:color w:val="FF0000"/>
          <w:szCs w:val="24"/>
        </w:rPr>
        <w:t>2</w:t>
      </w:r>
      <w:r>
        <w:rPr>
          <w:rFonts w:hAnsi="宋体"/>
          <w:color w:val="FF0000"/>
          <w:szCs w:val="24"/>
        </w:rPr>
        <w:t>.</w:t>
      </w:r>
      <w:r>
        <w:rPr>
          <w:rFonts w:hint="eastAsia" w:cs="宋体" w:asciiTheme="minorEastAsia" w:hAnsiTheme="minorEastAsia"/>
          <w:color w:val="000000"/>
          <w:kern w:val="0"/>
          <w:sz w:val="20"/>
          <w:szCs w:val="21"/>
        </w:rPr>
        <w:t xml:space="preserve"> </w:t>
      </w:r>
      <w:r>
        <w:rPr>
          <w:rFonts w:hint="eastAsia" w:cs="宋体" w:asciiTheme="minorEastAsia" w:hAnsiTheme="minorEastAsia"/>
          <w:b/>
          <w:color w:val="000000"/>
          <w:kern w:val="0"/>
          <w:sz w:val="20"/>
          <w:szCs w:val="21"/>
        </w:rPr>
        <w:t>□ 本采购项目允许进口产品参加。</w:t>
      </w:r>
    </w:p>
    <w:p w14:paraId="54B543E4">
      <w:pPr>
        <w:tabs>
          <w:tab w:val="left" w:pos="900"/>
        </w:tabs>
        <w:spacing w:line="360" w:lineRule="auto"/>
        <w:ind w:left="420" w:firstLine="201" w:firstLineChars="100"/>
        <w:rPr>
          <w:rFonts w:hint="eastAsia" w:cs="宋体" w:asciiTheme="minorEastAsia" w:hAnsiTheme="minorEastAsia"/>
          <w:b/>
          <w:color w:val="000000"/>
          <w:kern w:val="0"/>
          <w:sz w:val="20"/>
          <w:szCs w:val="21"/>
        </w:rPr>
      </w:pPr>
      <w:r>
        <w:rPr>
          <w:rFonts w:hint="eastAsia" w:cs="宋体" w:asciiTheme="minorEastAsia" w:hAnsiTheme="minorEastAsia"/>
          <w:b/>
          <w:color w:val="000000"/>
          <w:kern w:val="0"/>
          <w:sz w:val="20"/>
          <w:szCs w:val="21"/>
        </w:rPr>
        <w:t>（说明：请项目单位根据采购实际情况在“□”中打勾（</w:t>
      </w:r>
      <w:r>
        <w:rPr>
          <w:rFonts w:hint="eastAsia" w:cs="宋体" w:asciiTheme="minorEastAsia" w:hAnsiTheme="minorEastAsia"/>
          <w:b/>
          <w:color w:val="000000"/>
          <w:kern w:val="0"/>
          <w:sz w:val="24"/>
          <w:szCs w:val="24"/>
        </w:rPr>
        <w:sym w:font="Wingdings 2" w:char="F052"/>
      </w:r>
      <w:r>
        <w:rPr>
          <w:rFonts w:hint="eastAsia" w:cs="宋体" w:asciiTheme="minorEastAsia" w:hAnsiTheme="minorEastAsia"/>
          <w:b/>
          <w:color w:val="000000"/>
          <w:kern w:val="0"/>
          <w:sz w:val="24"/>
          <w:szCs w:val="24"/>
        </w:rPr>
        <w:t>）</w:t>
      </w:r>
      <w:r>
        <w:rPr>
          <w:rFonts w:hint="eastAsia" w:cs="宋体" w:asciiTheme="minorEastAsia" w:hAnsiTheme="minorEastAsia"/>
          <w:b/>
          <w:color w:val="000000"/>
          <w:kern w:val="0"/>
          <w:sz w:val="20"/>
          <w:szCs w:val="21"/>
        </w:rPr>
        <w:t>。未进行勾选的，视为只接受本国产品参加）</w:t>
      </w:r>
    </w:p>
    <w:p w14:paraId="029089D4">
      <w:pPr>
        <w:tabs>
          <w:tab w:val="left" w:pos="900"/>
        </w:tabs>
        <w:spacing w:before="156" w:beforeLines="50" w:line="360" w:lineRule="auto"/>
        <w:rPr>
          <w:rFonts w:hint="eastAsia"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037ECF5F">
      <w:pPr>
        <w:tabs>
          <w:tab w:val="left" w:pos="900"/>
        </w:tabs>
        <w:spacing w:before="156" w:beforeLines="50" w:line="360" w:lineRule="auto"/>
        <w:ind w:firstLine="420" w:firstLineChars="20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219C65D1">
      <w:pPr>
        <w:tabs>
          <w:tab w:val="left" w:pos="900"/>
        </w:tabs>
        <w:spacing w:before="156" w:beforeLines="50" w:line="360" w:lineRule="auto"/>
        <w:rPr>
          <w:rFonts w:hint="eastAsia" w:hAnsi="宋体"/>
          <w:b/>
          <w:szCs w:val="21"/>
        </w:rPr>
      </w:pPr>
      <w:r>
        <w:rPr>
          <w:rFonts w:hint="eastAsia" w:hAnsi="宋体"/>
          <w:b/>
          <w:szCs w:val="21"/>
        </w:rPr>
        <w:t>三、采购标的概况</w:t>
      </w:r>
    </w:p>
    <w:p w14:paraId="43E3FC9F">
      <w:pPr>
        <w:spacing w:before="156" w:beforeLines="50" w:line="360" w:lineRule="auto"/>
        <w:rPr>
          <w:rFonts w:hint="eastAsia" w:hAnsi="宋体"/>
          <w:szCs w:val="21"/>
        </w:rPr>
      </w:pPr>
      <w:r>
        <w:rPr>
          <w:rFonts w:hint="eastAsia" w:ascii="宋体" w:hAnsi="宋体"/>
          <w:szCs w:val="21"/>
        </w:rPr>
        <w:t>（一）采购项目名称：</w:t>
      </w:r>
      <w:r>
        <w:rPr>
          <w:rFonts w:hint="eastAsia" w:ascii="宋体" w:hAnsi="宋体"/>
          <w:szCs w:val="21"/>
          <w:u w:val="single"/>
        </w:rPr>
        <w:t xml:space="preserve"> 核心业务数据备份恢复管理平台      </w:t>
      </w:r>
      <w:r>
        <w:rPr>
          <w:rFonts w:ascii="宋体" w:hAnsi="宋体"/>
          <w:szCs w:val="21"/>
          <w:u w:val="single"/>
        </w:rPr>
        <w:t xml:space="preserve">     </w:t>
      </w:r>
      <w:r>
        <w:rPr>
          <w:rFonts w:hAnsi="宋体"/>
          <w:szCs w:val="21"/>
        </w:rPr>
        <w:t xml:space="preserve">   </w:t>
      </w:r>
    </w:p>
    <w:p w14:paraId="2B055D0B">
      <w:pPr>
        <w:spacing w:before="156" w:beforeLines="50" w:line="360" w:lineRule="auto"/>
        <w:rPr>
          <w:rFonts w:hint="eastAsia" w:hAnsi="宋体"/>
          <w:szCs w:val="21"/>
          <w:u w:val="single"/>
        </w:rPr>
      </w:pPr>
      <w:r>
        <w:rPr>
          <w:rFonts w:hint="eastAsia" w:hAnsi="宋体"/>
          <w:szCs w:val="21"/>
        </w:rPr>
        <w:t>（二）采购数量及计量单位：</w:t>
      </w:r>
      <w:r>
        <w:rPr>
          <w:rFonts w:hAnsi="宋体"/>
          <w:szCs w:val="21"/>
          <w:u w:val="single"/>
        </w:rPr>
        <w:t xml:space="preserve">    </w:t>
      </w:r>
      <w:r>
        <w:rPr>
          <w:rFonts w:hint="eastAsia" w:hAnsi="宋体"/>
          <w:szCs w:val="21"/>
          <w:u w:val="single"/>
        </w:rPr>
        <w:t>1套</w:t>
      </w:r>
      <w:r>
        <w:rPr>
          <w:rFonts w:hAnsi="宋体"/>
          <w:szCs w:val="21"/>
          <w:u w:val="single"/>
        </w:rPr>
        <w:t xml:space="preserve">     </w:t>
      </w:r>
    </w:p>
    <w:p w14:paraId="559EA8D6">
      <w:pPr>
        <w:spacing w:before="156" w:beforeLines="50" w:line="360" w:lineRule="auto"/>
        <w:rPr>
          <w:rFonts w:hint="eastAsia"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w:t>
      </w:r>
      <w:r>
        <w:rPr>
          <w:rFonts w:hint="eastAsia" w:hAnsi="宋体"/>
          <w:szCs w:val="21"/>
          <w:u w:val="single"/>
          <w:lang w:val="en-US" w:eastAsia="zh-CN"/>
        </w:rPr>
        <w:t>970000</w:t>
      </w:r>
      <w:r>
        <w:rPr>
          <w:rFonts w:hint="eastAsia" w:hAnsi="宋体"/>
          <w:szCs w:val="21"/>
          <w:u w:val="single"/>
        </w:rPr>
        <w:t xml:space="preserve"> </w:t>
      </w:r>
      <w:r>
        <w:rPr>
          <w:rFonts w:hAnsi="宋体"/>
          <w:szCs w:val="21"/>
          <w:u w:val="single"/>
        </w:rPr>
        <w:t xml:space="preserve">    </w:t>
      </w:r>
      <w:r>
        <w:rPr>
          <w:rFonts w:hAnsi="宋体"/>
          <w:szCs w:val="21"/>
        </w:rPr>
        <w:t xml:space="preserve"> </w:t>
      </w:r>
      <w:r>
        <w:rPr>
          <w:rFonts w:hint="eastAsia" w:hAnsi="宋体"/>
          <w:szCs w:val="21"/>
        </w:rPr>
        <w:t>元。</w:t>
      </w:r>
    </w:p>
    <w:p w14:paraId="740D1110">
      <w:pPr>
        <w:spacing w:before="156" w:beforeLines="50" w:line="360" w:lineRule="auto"/>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int="eastAsia" w:hAnsi="宋体"/>
          <w:u w:val="single"/>
        </w:rPr>
        <w:t>30</w:t>
      </w:r>
      <w:r>
        <w:rPr>
          <w:rFonts w:hAnsi="宋体"/>
          <w:u w:val="single"/>
        </w:rPr>
        <w:t xml:space="preserve">    </w:t>
      </w:r>
      <w:r>
        <w:rPr>
          <w:rFonts w:hint="eastAsia" w:hAnsi="宋体"/>
        </w:rPr>
        <w:t>天内。</w:t>
      </w:r>
    </w:p>
    <w:p w14:paraId="64AE450A">
      <w:pPr>
        <w:tabs>
          <w:tab w:val="left" w:pos="900"/>
        </w:tabs>
        <w:spacing w:before="156" w:beforeLines="50" w:line="360" w:lineRule="auto"/>
        <w:rPr>
          <w:rFonts w:hint="eastAsia" w:hAnsi="宋体"/>
          <w:szCs w:val="21"/>
        </w:rPr>
      </w:pPr>
      <w:r>
        <w:rPr>
          <w:rFonts w:hint="eastAsia" w:hAnsi="宋体"/>
          <w:szCs w:val="21"/>
        </w:rPr>
        <w:t>（五）</w:t>
      </w:r>
      <w:r>
        <w:rPr>
          <w:rFonts w:hAnsi="宋体"/>
          <w:szCs w:val="21"/>
        </w:rPr>
        <w:t>交付地点：</w:t>
      </w:r>
      <w:r>
        <w:rPr>
          <w:rFonts w:hint="eastAsia" w:hAnsi="宋体"/>
          <w:szCs w:val="21"/>
          <w:u w:val="single"/>
        </w:rPr>
        <w:t xml:space="preserve">  </w:t>
      </w:r>
      <w:r>
        <w:rPr>
          <w:rFonts w:hAnsi="宋体"/>
          <w:szCs w:val="21"/>
          <w:u w:val="single"/>
        </w:rPr>
        <w:t xml:space="preserve">  </w:t>
      </w:r>
      <w:r>
        <w:rPr>
          <w:rFonts w:hint="eastAsia"/>
          <w:u w:val="single"/>
        </w:rPr>
        <w:t>西安交通大学网信中心机房</w:t>
      </w:r>
      <w:r>
        <w:rPr>
          <w:rFonts w:hAnsi="宋体"/>
          <w:szCs w:val="21"/>
          <w:u w:val="single"/>
        </w:rPr>
        <w:t xml:space="preserve">            </w:t>
      </w:r>
      <w:r>
        <w:rPr>
          <w:rFonts w:hint="eastAsia" w:hAnsi="宋体"/>
          <w:szCs w:val="21"/>
        </w:rPr>
        <w:t>。</w:t>
      </w:r>
    </w:p>
    <w:p w14:paraId="670605EC">
      <w:pPr>
        <w:tabs>
          <w:tab w:val="left" w:pos="900"/>
        </w:tabs>
        <w:spacing w:before="156" w:beforeLines="50" w:line="360" w:lineRule="auto"/>
        <w:rPr>
          <w:rFonts w:hint="eastAsia" w:hAnsi="宋体"/>
          <w:szCs w:val="21"/>
        </w:rPr>
      </w:pPr>
      <w:r>
        <w:rPr>
          <w:rFonts w:hint="eastAsia" w:hAnsi="宋体"/>
          <w:szCs w:val="21"/>
        </w:rPr>
        <w:t>（六）付款进度安排：</w:t>
      </w:r>
      <w:r>
        <w:rPr>
          <w:rFonts w:hint="eastAsia" w:hAnsi="宋体"/>
          <w:szCs w:val="21"/>
          <w:u w:val="single"/>
        </w:rPr>
        <w:t xml:space="preserve">  </w:t>
      </w:r>
      <w:r>
        <w:rPr>
          <w:rFonts w:hAnsi="宋体"/>
          <w:szCs w:val="21"/>
          <w:u w:val="single"/>
        </w:rPr>
        <w:t xml:space="preserve">  </w:t>
      </w:r>
      <w:r>
        <w:rPr>
          <w:rFonts w:hint="eastAsia"/>
          <w:u w:val="single"/>
        </w:rPr>
        <w:t>货到安装调试验收合格后付清全款</w:t>
      </w:r>
      <w:r>
        <w:rPr>
          <w:rFonts w:hAnsi="宋体"/>
          <w:szCs w:val="21"/>
          <w:u w:val="single"/>
        </w:rPr>
        <w:t xml:space="preserve">                 </w:t>
      </w:r>
      <w:r>
        <w:rPr>
          <w:rFonts w:hint="eastAsia" w:hAnsi="宋体"/>
          <w:szCs w:val="21"/>
        </w:rPr>
        <w:t>。</w:t>
      </w:r>
    </w:p>
    <w:p w14:paraId="4A185CF7">
      <w:pPr>
        <w:tabs>
          <w:tab w:val="left" w:pos="900"/>
        </w:tabs>
        <w:spacing w:before="156" w:beforeLines="50" w:line="360" w:lineRule="auto"/>
        <w:rPr>
          <w:rFonts w:hint="eastAsia" w:hAnsi="宋体"/>
          <w:szCs w:val="21"/>
        </w:rPr>
      </w:pPr>
    </w:p>
    <w:p w14:paraId="602B7B04">
      <w:pPr>
        <w:tabs>
          <w:tab w:val="left" w:pos="900"/>
        </w:tabs>
        <w:spacing w:before="156" w:beforeLines="50" w:line="360" w:lineRule="auto"/>
        <w:rPr>
          <w:rFonts w:hint="eastAsia" w:hAnsi="宋体"/>
          <w:b/>
          <w:szCs w:val="21"/>
        </w:rPr>
      </w:pPr>
      <w:r>
        <w:rPr>
          <w:rFonts w:hint="eastAsia" w:hAnsi="宋体"/>
          <w:b/>
          <w:szCs w:val="21"/>
        </w:rPr>
        <w:t>四、采购标的需满足的质量、安全、技术规格、物理特性等要求：</w:t>
      </w:r>
    </w:p>
    <w:p w14:paraId="12019004">
      <w:pPr>
        <w:rPr>
          <w:b/>
          <w:bCs/>
          <w:color w:val="000000" w:themeColor="text1"/>
          <w14:textFill>
            <w14:solidFill>
              <w14:schemeClr w14:val="tx1"/>
            </w14:solidFill>
          </w14:textFill>
        </w:rPr>
      </w:pPr>
      <w:r>
        <w:rPr>
          <w:rFonts w:hint="eastAsia"/>
          <w:color w:val="000000" w:themeColor="text1"/>
          <w14:textFill>
            <w14:solidFill>
              <w14:schemeClr w14:val="tx1"/>
            </w14:solidFill>
          </w14:textFill>
        </w:rPr>
        <w:t>以下技术指标中，</w:t>
      </w:r>
      <w:r>
        <w:rPr>
          <w:rFonts w:hint="eastAsia"/>
          <w:b/>
          <w:bCs/>
          <w:color w:val="000000" w:themeColor="text1"/>
          <w14:textFill>
            <w14:solidFill>
              <w14:schemeClr w14:val="tx1"/>
            </w14:solidFill>
          </w14:textFill>
        </w:rPr>
        <w:t>投标人需对所有指标出具指标偏离表。</w:t>
      </w:r>
      <w:r>
        <w:rPr>
          <w:rFonts w:hint="eastAsia"/>
          <w:color w:val="000000" w:themeColor="text1"/>
          <w14:textFill>
            <w14:solidFill>
              <w14:schemeClr w14:val="tx1"/>
            </w14:solidFill>
          </w14:textFill>
        </w:rPr>
        <w:t>带</w:t>
      </w:r>
      <w:r>
        <w:rPr>
          <w:rFonts w:hint="eastAsia"/>
          <w:b/>
          <w:bCs/>
          <w:color w:val="000000" w:themeColor="text1"/>
          <w14:textFill>
            <w14:solidFill>
              <w14:schemeClr w14:val="tx1"/>
            </w14:solidFill>
          </w14:textFill>
        </w:rPr>
        <w:t>标注▲的指标为关键性指标，负偏离或不响应为无效投标。</w:t>
      </w:r>
    </w:p>
    <w:p w14:paraId="4D0FC175">
      <w:pPr>
        <w:spacing w:line="360" w:lineRule="auto"/>
        <w:rPr>
          <w:rFonts w:hint="eastAsia" w:hAnsi="宋体"/>
          <w:b/>
          <w:bCs/>
          <w:szCs w:val="21"/>
        </w:rPr>
      </w:pPr>
      <w:r>
        <w:rPr>
          <w:rFonts w:hint="eastAsia" w:hAnsi="宋体"/>
          <w:b/>
          <w:bCs/>
          <w:szCs w:val="21"/>
        </w:rPr>
        <w:t>1、</w:t>
      </w:r>
      <w:r>
        <w:rPr>
          <w:rFonts w:hint="eastAsia" w:hAnsi="宋体"/>
          <w:b/>
          <w:bCs/>
          <w:szCs w:val="21"/>
        </w:rPr>
        <w:tab/>
      </w:r>
      <w:r>
        <w:rPr>
          <w:rFonts w:hint="eastAsia" w:hAnsi="宋体"/>
          <w:b/>
          <w:bCs/>
          <w:szCs w:val="21"/>
        </w:rPr>
        <w:t>整体要求：</w:t>
      </w:r>
    </w:p>
    <w:p w14:paraId="707D7DFE">
      <w:pPr>
        <w:spacing w:line="360" w:lineRule="auto"/>
        <w:rPr>
          <w:rFonts w:hint="eastAsia" w:hAnsi="宋体"/>
          <w:szCs w:val="21"/>
        </w:rPr>
      </w:pPr>
      <w:r>
        <w:rPr>
          <w:rFonts w:hint="eastAsia" w:hAnsi="宋体"/>
          <w:szCs w:val="21"/>
        </w:rPr>
        <w:t>1)</w:t>
      </w:r>
      <w:r>
        <w:rPr>
          <w:rFonts w:hint="eastAsia" w:hAnsi="宋体"/>
          <w:szCs w:val="21"/>
        </w:rPr>
        <w:tab/>
      </w:r>
      <w:r>
        <w:rPr>
          <w:rFonts w:hint="eastAsia" w:hAnsi="宋体"/>
          <w:szCs w:val="21"/>
        </w:rPr>
        <w:t>为保障备份设备安全合规性，要求投标产品具有网络安全专用产品安全检测证书</w:t>
      </w:r>
      <w:r>
        <w:rPr>
          <w:rFonts w:hint="eastAsia"/>
        </w:rPr>
        <w:t>等相关证明</w:t>
      </w:r>
      <w:r>
        <w:rPr>
          <w:rFonts w:hint="eastAsia" w:hAnsi="宋体"/>
          <w:szCs w:val="21"/>
        </w:rPr>
        <w:t>；【提供证书复印件并加盖原厂商公章】</w:t>
      </w:r>
    </w:p>
    <w:p w14:paraId="195766F9">
      <w:pPr>
        <w:spacing w:line="360" w:lineRule="auto"/>
        <w:rPr>
          <w:rFonts w:hint="eastAsia" w:hAnsi="宋体"/>
          <w:szCs w:val="21"/>
        </w:rPr>
      </w:pPr>
      <w:r>
        <w:rPr>
          <w:rFonts w:hint="eastAsia" w:hAnsi="宋体"/>
          <w:szCs w:val="21"/>
        </w:rPr>
        <w:t>2)</w:t>
      </w:r>
      <w:r>
        <w:rPr>
          <w:rFonts w:hint="eastAsia" w:hAnsi="宋体"/>
          <w:szCs w:val="21"/>
        </w:rPr>
        <w:tab/>
      </w:r>
      <w:r>
        <w:rPr>
          <w:rFonts w:hint="eastAsia" w:hAnsi="宋体"/>
          <w:szCs w:val="21"/>
        </w:rPr>
        <w:t>为避免软件质量、维护升级、知识产权等问题发生，要求本次投标产品为非OEM软件，需具备软件著作权登记证书、软件产品登记证书；【提供证书复印件并加盖原厂商公章】</w:t>
      </w:r>
    </w:p>
    <w:p w14:paraId="49160EEF">
      <w:pPr>
        <w:spacing w:line="360" w:lineRule="auto"/>
        <w:rPr>
          <w:rFonts w:hint="eastAsia" w:hAnsi="宋体"/>
          <w:szCs w:val="21"/>
        </w:rPr>
      </w:pPr>
      <w:r>
        <w:rPr>
          <w:rFonts w:hint="eastAsia" w:hAnsi="宋体"/>
          <w:szCs w:val="21"/>
        </w:rPr>
        <w:t>3)</w:t>
      </w:r>
      <w:r>
        <w:rPr>
          <w:rFonts w:hint="eastAsia" w:hAnsi="宋体"/>
          <w:szCs w:val="21"/>
        </w:rPr>
        <w:tab/>
      </w:r>
      <w:r>
        <w:rPr>
          <w:rFonts w:hint="eastAsia" w:hAnsi="宋体"/>
          <w:szCs w:val="21"/>
        </w:rPr>
        <w:t>为提高使用便捷性，备份软件通过B/S架构管理，备份系统需在同一控制台内提供定时备份保护、远程复制、灾难恢复演练管理功能，后续可在同一控制台内扩展数据归档、副本数据管理、持续数据保护等功能，均通过安全的https协议进行管理，同时为避免管理安全风险，不得开放和使用http协议；</w:t>
      </w:r>
    </w:p>
    <w:p w14:paraId="454223AC">
      <w:pPr>
        <w:spacing w:line="360" w:lineRule="auto"/>
        <w:rPr>
          <w:rFonts w:hint="eastAsia" w:hAnsi="宋体"/>
          <w:szCs w:val="21"/>
        </w:rPr>
      </w:pPr>
      <w:r>
        <w:rPr>
          <w:rFonts w:hAnsi="宋体"/>
          <w:szCs w:val="21"/>
        </w:rPr>
        <w:t>4)</w:t>
      </w:r>
      <w:r>
        <w:rPr>
          <w:rFonts w:hAnsi="宋体"/>
          <w:szCs w:val="21"/>
        </w:rPr>
        <w:tab/>
      </w:r>
      <w:r>
        <w:rPr>
          <w:rFonts w:hint="eastAsia" w:hAnsi="宋体"/>
          <w:szCs w:val="21"/>
        </w:rPr>
        <w:t>▲备份授权方面，需至少满足下面一种授权需求：</w:t>
      </w:r>
    </w:p>
    <w:p w14:paraId="5EA4C126">
      <w:pPr>
        <w:numPr>
          <w:ilvl w:val="0"/>
          <w:numId w:val="1"/>
        </w:numPr>
        <w:spacing w:line="360" w:lineRule="auto"/>
        <w:ind w:firstLine="420" w:firstLineChars="200"/>
        <w:rPr>
          <w:rFonts w:hint="eastAsia" w:hAnsi="宋体"/>
          <w:szCs w:val="21"/>
        </w:rPr>
      </w:pPr>
      <w:r>
        <w:rPr>
          <w:rFonts w:hint="eastAsia" w:hAnsi="宋体"/>
          <w:szCs w:val="21"/>
        </w:rPr>
        <w:t>按备份数据容量授权则不限客户端数量：备份软件授权需配置</w:t>
      </w:r>
      <w:r>
        <w:rPr>
          <w:rFonts w:ascii="Cambria Math" w:hAnsi="Cambria Math" w:cs="Cambria Math"/>
          <w:szCs w:val="21"/>
        </w:rPr>
        <w:t>⩾</w:t>
      </w:r>
      <w:r>
        <w:rPr>
          <w:rFonts w:hint="eastAsia" w:hAnsi="宋体"/>
          <w:szCs w:val="21"/>
        </w:rPr>
        <w:t>200</w:t>
      </w:r>
      <w:r>
        <w:rPr>
          <w:rFonts w:hAnsi="宋体"/>
          <w:szCs w:val="21"/>
        </w:rPr>
        <w:t>TB</w:t>
      </w:r>
      <w:r>
        <w:rPr>
          <w:rFonts w:hint="eastAsia" w:hAnsi="宋体"/>
          <w:szCs w:val="21"/>
        </w:rPr>
        <w:t>定时备份后端容量许可，且不限制定时备份客户端数量，不限制节点或库的数量；</w:t>
      </w:r>
    </w:p>
    <w:p w14:paraId="025B24B1">
      <w:pPr>
        <w:numPr>
          <w:ilvl w:val="0"/>
          <w:numId w:val="1"/>
        </w:numPr>
        <w:spacing w:line="360" w:lineRule="auto"/>
        <w:ind w:firstLine="420" w:firstLineChars="200"/>
        <w:rPr>
          <w:rFonts w:hint="eastAsia" w:hAnsi="宋体"/>
          <w:szCs w:val="21"/>
        </w:rPr>
      </w:pPr>
      <w:r>
        <w:rPr>
          <w:rFonts w:hint="eastAsia" w:hAnsi="宋体"/>
          <w:szCs w:val="21"/>
        </w:rPr>
        <w:t>按备份客户端数量授权则不限备份数据容量：备份软件授权需配置≥1000个文件（或数据库定时备份节点），且不限备份容量的永久许可，同时可授权配置≥300个整机备份节点，且不限备份容量的永久许可；支持20个持续数据保护功能节点，且不限备份容量的永久许可；</w:t>
      </w:r>
    </w:p>
    <w:p w14:paraId="5EF80BCA">
      <w:pPr>
        <w:numPr>
          <w:ilvl w:val="0"/>
          <w:numId w:val="1"/>
        </w:numPr>
        <w:spacing w:line="360" w:lineRule="auto"/>
        <w:ind w:firstLine="420" w:firstLineChars="200"/>
        <w:rPr>
          <w:rFonts w:hint="eastAsia" w:hAnsi="宋体"/>
          <w:szCs w:val="21"/>
        </w:rPr>
      </w:pPr>
      <w:r>
        <w:rPr>
          <w:rFonts w:hint="eastAsia" w:hAnsi="宋体"/>
          <w:szCs w:val="21"/>
        </w:rPr>
        <w:t>双不限（既不限备份容灾数据量又不限备份容灾客户端数量）；</w:t>
      </w:r>
    </w:p>
    <w:p w14:paraId="6E47D4AB">
      <w:pPr>
        <w:numPr>
          <w:ilvl w:val="255"/>
          <w:numId w:val="0"/>
        </w:numPr>
        <w:spacing w:line="360" w:lineRule="auto"/>
        <w:rPr>
          <w:rFonts w:hint="eastAsia" w:hAnsi="宋体"/>
          <w:szCs w:val="21"/>
        </w:rPr>
      </w:pPr>
      <w:r>
        <w:rPr>
          <w:rFonts w:hint="eastAsia" w:hAnsi="宋体"/>
          <w:szCs w:val="21"/>
        </w:rPr>
        <w:t>5）备份方面还需提供重复数据删除许可、远程复制许可；</w:t>
      </w:r>
    </w:p>
    <w:p w14:paraId="54B688E6">
      <w:pPr>
        <w:spacing w:line="360" w:lineRule="auto"/>
        <w:rPr>
          <w:rFonts w:hint="eastAsia" w:hAnsi="宋体"/>
          <w:szCs w:val="21"/>
        </w:rPr>
      </w:pPr>
      <w:r>
        <w:rPr>
          <w:rFonts w:hint="eastAsia" w:hAnsi="宋体"/>
          <w:szCs w:val="21"/>
        </w:rPr>
        <w:t>6</w:t>
      </w:r>
      <w:r>
        <w:rPr>
          <w:rFonts w:hAnsi="宋体"/>
          <w:szCs w:val="21"/>
        </w:rPr>
        <w:t>)</w:t>
      </w:r>
      <w:r>
        <w:rPr>
          <w:rFonts w:hAnsi="宋体"/>
          <w:szCs w:val="21"/>
        </w:rPr>
        <w:tab/>
      </w:r>
      <w:r>
        <w:rPr>
          <w:rFonts w:hint="eastAsia" w:hAnsi="宋体"/>
          <w:szCs w:val="21"/>
        </w:rPr>
        <w:t>▲备份服务器硬件配置为机架式</w:t>
      </w:r>
      <w:r>
        <w:rPr>
          <w:rFonts w:hAnsi="宋体"/>
          <w:szCs w:val="21"/>
        </w:rPr>
        <w:t>4U</w:t>
      </w:r>
      <w:r>
        <w:rPr>
          <w:rFonts w:hint="eastAsia" w:hAnsi="宋体"/>
          <w:szCs w:val="21"/>
        </w:rPr>
        <w:t xml:space="preserve"> </w:t>
      </w:r>
      <w:r>
        <w:rPr>
          <w:rFonts w:hAnsi="宋体"/>
          <w:szCs w:val="21"/>
        </w:rPr>
        <w:t>36</w:t>
      </w:r>
      <w:r>
        <w:rPr>
          <w:rFonts w:hint="eastAsia" w:hAnsi="宋体"/>
          <w:szCs w:val="21"/>
        </w:rPr>
        <w:t>个盘位设备，配置</w:t>
      </w:r>
      <w:r>
        <w:rPr>
          <w:rFonts w:ascii="Cambria Math" w:hAnsi="Cambria Math" w:cs="Cambria Math"/>
          <w:szCs w:val="21"/>
        </w:rPr>
        <w:t>⩾</w:t>
      </w:r>
      <w:r>
        <w:rPr>
          <w:rFonts w:hint="eastAsia" w:hAnsi="宋体"/>
          <w:szCs w:val="21"/>
        </w:rPr>
        <w:t>两颗</w:t>
      </w:r>
      <w:r>
        <w:rPr>
          <w:rFonts w:hAnsi="宋体"/>
          <w:szCs w:val="21"/>
        </w:rPr>
        <w:t>CPU</w:t>
      </w:r>
      <w:r>
        <w:rPr>
          <w:rFonts w:hint="eastAsia" w:hAnsi="宋体"/>
          <w:szCs w:val="21"/>
        </w:rPr>
        <w:t>（主频</w:t>
      </w:r>
      <w:r>
        <w:rPr>
          <w:rFonts w:ascii="Cambria Math" w:hAnsi="Cambria Math" w:cs="Cambria Math"/>
          <w:szCs w:val="21"/>
        </w:rPr>
        <w:t>⩾</w:t>
      </w:r>
      <w:r>
        <w:rPr>
          <w:rFonts w:hAnsi="宋体"/>
          <w:szCs w:val="21"/>
        </w:rPr>
        <w:t>2.1GHz</w:t>
      </w:r>
      <w:r>
        <w:rPr>
          <w:rFonts w:hint="eastAsia" w:hAnsi="宋体"/>
          <w:szCs w:val="21"/>
        </w:rPr>
        <w:t>、单颗处理器</w:t>
      </w:r>
      <w:r>
        <w:rPr>
          <w:rFonts w:ascii="Cambria Math" w:hAnsi="Cambria Math" w:cs="Cambria Math"/>
          <w:szCs w:val="21"/>
        </w:rPr>
        <w:t>⩾</w:t>
      </w:r>
      <w:r>
        <w:rPr>
          <w:rFonts w:hAnsi="宋体"/>
          <w:szCs w:val="21"/>
        </w:rPr>
        <w:t>12</w:t>
      </w:r>
      <w:r>
        <w:rPr>
          <w:rFonts w:hint="eastAsia" w:hAnsi="宋体"/>
          <w:szCs w:val="21"/>
        </w:rPr>
        <w:t>核），配置</w:t>
      </w:r>
      <w:r>
        <w:rPr>
          <w:rFonts w:ascii="Cambria Math" w:hAnsi="Cambria Math" w:cs="Cambria Math"/>
          <w:szCs w:val="21"/>
        </w:rPr>
        <w:t>⩾</w:t>
      </w:r>
      <w:r>
        <w:rPr>
          <w:rFonts w:hAnsi="宋体"/>
          <w:szCs w:val="21"/>
        </w:rPr>
        <w:t>128GB</w:t>
      </w:r>
      <w:r>
        <w:rPr>
          <w:rFonts w:hint="eastAsia" w:hAnsi="宋体"/>
          <w:szCs w:val="21"/>
        </w:rPr>
        <w:t xml:space="preserve"> DDR4内存，配置</w:t>
      </w:r>
      <w:r>
        <w:rPr>
          <w:rFonts w:hAnsi="宋体"/>
          <w:szCs w:val="21"/>
        </w:rPr>
        <w:t>2</w:t>
      </w:r>
      <w:r>
        <w:rPr>
          <w:rFonts w:hint="eastAsia" w:hAnsi="宋体"/>
          <w:szCs w:val="21"/>
        </w:rPr>
        <w:t>块</w:t>
      </w:r>
      <w:r>
        <w:rPr>
          <w:rFonts w:ascii="Cambria Math" w:hAnsi="Cambria Math" w:cs="Cambria Math"/>
          <w:szCs w:val="21"/>
        </w:rPr>
        <w:t>⩾</w:t>
      </w:r>
      <w:r>
        <w:rPr>
          <w:rFonts w:hint="eastAsia" w:hAnsi="宋体"/>
          <w:szCs w:val="21"/>
        </w:rPr>
        <w:t>480</w:t>
      </w:r>
      <w:r>
        <w:rPr>
          <w:rFonts w:hAnsi="宋体"/>
          <w:szCs w:val="21"/>
        </w:rPr>
        <w:t>GB SSD</w:t>
      </w:r>
      <w:r>
        <w:rPr>
          <w:rFonts w:hint="eastAsia" w:hAnsi="宋体"/>
          <w:szCs w:val="21"/>
        </w:rPr>
        <w:t>盘作为系统盘，配置</w:t>
      </w:r>
      <w:r>
        <w:rPr>
          <w:rFonts w:hAnsi="宋体"/>
          <w:szCs w:val="21"/>
        </w:rPr>
        <w:t>20</w:t>
      </w:r>
      <w:r>
        <w:rPr>
          <w:rFonts w:hint="eastAsia" w:hAnsi="宋体"/>
          <w:szCs w:val="21"/>
        </w:rPr>
        <w:t>块</w:t>
      </w:r>
      <w:r>
        <w:rPr>
          <w:rFonts w:ascii="Cambria Math" w:hAnsi="Cambria Math" w:cs="Cambria Math"/>
          <w:szCs w:val="21"/>
        </w:rPr>
        <w:t>⩾</w:t>
      </w:r>
      <w:r>
        <w:rPr>
          <w:rFonts w:hAnsi="宋体"/>
          <w:szCs w:val="21"/>
        </w:rPr>
        <w:t xml:space="preserve">12TB </w:t>
      </w:r>
      <w:r>
        <w:rPr>
          <w:rFonts w:hint="eastAsia" w:hAnsi="宋体"/>
          <w:szCs w:val="21"/>
        </w:rPr>
        <w:t>硬盘作为容量盘，配置</w:t>
      </w:r>
      <w:r>
        <w:rPr>
          <w:rFonts w:ascii="Cambria Math" w:hAnsi="Cambria Math" w:cs="Cambria Math"/>
          <w:szCs w:val="21"/>
        </w:rPr>
        <w:t>⩾</w:t>
      </w:r>
      <w:r>
        <w:rPr>
          <w:rFonts w:hAnsi="宋体"/>
          <w:szCs w:val="21"/>
        </w:rPr>
        <w:t>2</w:t>
      </w:r>
      <w:r>
        <w:rPr>
          <w:rFonts w:hint="eastAsia" w:hAnsi="宋体"/>
          <w:szCs w:val="21"/>
        </w:rPr>
        <w:t>个千兆电口和</w:t>
      </w:r>
      <w:r>
        <w:rPr>
          <w:rFonts w:ascii="Cambria Math" w:hAnsi="Cambria Math" w:cs="Cambria Math"/>
          <w:szCs w:val="21"/>
        </w:rPr>
        <w:t>⩾</w:t>
      </w:r>
      <w:r>
        <w:rPr>
          <w:rFonts w:hAnsi="宋体"/>
          <w:szCs w:val="21"/>
        </w:rPr>
        <w:t>2</w:t>
      </w:r>
      <w:r>
        <w:rPr>
          <w:rFonts w:hint="eastAsia" w:hAnsi="宋体"/>
          <w:szCs w:val="21"/>
        </w:rPr>
        <w:t>个万兆光口（含光模块）；</w:t>
      </w:r>
    </w:p>
    <w:p w14:paraId="4F40B9FC">
      <w:pPr>
        <w:spacing w:line="360" w:lineRule="auto"/>
        <w:rPr>
          <w:rFonts w:hint="eastAsia" w:hAnsi="宋体"/>
          <w:szCs w:val="21"/>
        </w:rPr>
      </w:pPr>
      <w:r>
        <w:rPr>
          <w:rFonts w:hint="eastAsia" w:hAnsi="宋体"/>
          <w:szCs w:val="21"/>
        </w:rPr>
        <w:t>7）▲容灾服务器硬件配置为机架式2U，配置⩾8个盘位，配置</w:t>
      </w:r>
      <w:r>
        <w:rPr>
          <w:rFonts w:ascii="Cambria Math" w:hAnsi="Cambria Math" w:cs="Cambria Math"/>
          <w:szCs w:val="21"/>
        </w:rPr>
        <w:t>⩾</w:t>
      </w:r>
      <w:r>
        <w:rPr>
          <w:rFonts w:hint="eastAsia" w:hAnsi="宋体"/>
          <w:szCs w:val="21"/>
        </w:rPr>
        <w:t>两颗</w:t>
      </w:r>
      <w:r>
        <w:rPr>
          <w:rFonts w:hAnsi="宋体"/>
          <w:szCs w:val="21"/>
        </w:rPr>
        <w:t>CPU</w:t>
      </w:r>
      <w:r>
        <w:rPr>
          <w:rFonts w:hint="eastAsia" w:hAnsi="宋体"/>
          <w:szCs w:val="21"/>
        </w:rPr>
        <w:t>（主频</w:t>
      </w:r>
      <w:r>
        <w:rPr>
          <w:rFonts w:ascii="Cambria Math" w:hAnsi="Cambria Math" w:cs="Cambria Math"/>
          <w:szCs w:val="21"/>
        </w:rPr>
        <w:t>⩾</w:t>
      </w:r>
      <w:r>
        <w:rPr>
          <w:rFonts w:hAnsi="宋体"/>
          <w:szCs w:val="21"/>
        </w:rPr>
        <w:t>2.1GHz</w:t>
      </w:r>
      <w:r>
        <w:rPr>
          <w:rFonts w:hint="eastAsia" w:hAnsi="宋体"/>
          <w:szCs w:val="21"/>
        </w:rPr>
        <w:t>、单颗处理器</w:t>
      </w:r>
      <w:r>
        <w:rPr>
          <w:rFonts w:ascii="Cambria Math" w:hAnsi="Cambria Math" w:cs="Cambria Math"/>
          <w:szCs w:val="21"/>
        </w:rPr>
        <w:t>⩾</w:t>
      </w:r>
      <w:r>
        <w:rPr>
          <w:rFonts w:hAnsi="宋体"/>
          <w:szCs w:val="21"/>
        </w:rPr>
        <w:t>12</w:t>
      </w:r>
      <w:r>
        <w:rPr>
          <w:rFonts w:hint="eastAsia" w:hAnsi="宋体"/>
          <w:szCs w:val="21"/>
        </w:rPr>
        <w:t>核）,配置</w:t>
      </w:r>
      <w:r>
        <w:rPr>
          <w:rFonts w:ascii="Cambria Math" w:hAnsi="Cambria Math" w:cs="Cambria Math"/>
          <w:szCs w:val="21"/>
        </w:rPr>
        <w:t>⩾</w:t>
      </w:r>
      <w:r>
        <w:rPr>
          <w:rFonts w:hint="eastAsia" w:hAnsi="宋体"/>
          <w:szCs w:val="21"/>
        </w:rPr>
        <w:t>256</w:t>
      </w:r>
      <w:r>
        <w:rPr>
          <w:rFonts w:hAnsi="宋体"/>
          <w:szCs w:val="21"/>
        </w:rPr>
        <w:t>GB</w:t>
      </w:r>
      <w:r>
        <w:rPr>
          <w:rFonts w:hint="eastAsia" w:hAnsi="宋体"/>
          <w:szCs w:val="21"/>
        </w:rPr>
        <w:t xml:space="preserve"> DDR4内存，配置</w:t>
      </w:r>
      <w:r>
        <w:rPr>
          <w:rFonts w:hAnsi="宋体"/>
          <w:szCs w:val="21"/>
        </w:rPr>
        <w:t>2</w:t>
      </w:r>
      <w:r>
        <w:rPr>
          <w:rFonts w:hint="eastAsia" w:hAnsi="宋体"/>
          <w:szCs w:val="21"/>
        </w:rPr>
        <w:t>块</w:t>
      </w:r>
      <w:r>
        <w:rPr>
          <w:rFonts w:ascii="Cambria Math" w:hAnsi="Cambria Math" w:cs="Cambria Math"/>
          <w:szCs w:val="21"/>
        </w:rPr>
        <w:t>⩾</w:t>
      </w:r>
      <w:r>
        <w:rPr>
          <w:rFonts w:hint="eastAsia" w:hAnsi="宋体"/>
          <w:szCs w:val="21"/>
        </w:rPr>
        <w:t>480</w:t>
      </w:r>
      <w:r>
        <w:rPr>
          <w:rFonts w:hAnsi="宋体"/>
          <w:szCs w:val="21"/>
        </w:rPr>
        <w:t>GB SSD</w:t>
      </w:r>
      <w:r>
        <w:rPr>
          <w:rFonts w:hint="eastAsia" w:hAnsi="宋体"/>
          <w:szCs w:val="21"/>
        </w:rPr>
        <w:t>盘作为系统盘，配置</w:t>
      </w:r>
      <w:r>
        <w:rPr>
          <w:rFonts w:ascii="Cambria Math" w:hAnsi="Cambria Math" w:cs="Cambria Math"/>
          <w:szCs w:val="21"/>
        </w:rPr>
        <w:t>⩾</w:t>
      </w:r>
      <w:r>
        <w:rPr>
          <w:rFonts w:hint="eastAsia" w:hAnsi="宋体"/>
          <w:szCs w:val="21"/>
        </w:rPr>
        <w:t>40</w:t>
      </w:r>
      <w:r>
        <w:rPr>
          <w:rFonts w:hAnsi="宋体"/>
          <w:szCs w:val="21"/>
        </w:rPr>
        <w:t xml:space="preserve">TB </w:t>
      </w:r>
      <w:r>
        <w:rPr>
          <w:rFonts w:hint="eastAsia" w:hAnsi="宋体"/>
          <w:szCs w:val="21"/>
        </w:rPr>
        <w:t>硬盘作为容量盘，配置</w:t>
      </w:r>
      <w:r>
        <w:rPr>
          <w:rFonts w:ascii="Cambria Math" w:hAnsi="Cambria Math" w:cs="Cambria Math"/>
          <w:szCs w:val="21"/>
        </w:rPr>
        <w:t>⩾</w:t>
      </w:r>
      <w:r>
        <w:rPr>
          <w:rFonts w:hAnsi="宋体"/>
          <w:szCs w:val="21"/>
        </w:rPr>
        <w:t>2</w:t>
      </w:r>
      <w:r>
        <w:rPr>
          <w:rFonts w:hint="eastAsia" w:hAnsi="宋体"/>
          <w:szCs w:val="21"/>
        </w:rPr>
        <w:t>个千兆电口和</w:t>
      </w:r>
      <w:r>
        <w:rPr>
          <w:rFonts w:ascii="Cambria Math" w:hAnsi="Cambria Math" w:cs="Cambria Math"/>
          <w:szCs w:val="21"/>
        </w:rPr>
        <w:t>⩾</w:t>
      </w:r>
      <w:r>
        <w:rPr>
          <w:rFonts w:hAnsi="宋体"/>
          <w:szCs w:val="21"/>
        </w:rPr>
        <w:t>2</w:t>
      </w:r>
      <w:r>
        <w:rPr>
          <w:rFonts w:hint="eastAsia" w:hAnsi="宋体"/>
          <w:szCs w:val="21"/>
        </w:rPr>
        <w:t>个万兆光口（含光模块），配置1块RAID卡（</w:t>
      </w:r>
      <w:r>
        <w:rPr>
          <w:rFonts w:ascii="Cambria Math" w:hAnsi="Cambria Math" w:cs="Cambria Math"/>
          <w:szCs w:val="21"/>
        </w:rPr>
        <w:t>⩾</w:t>
      </w:r>
      <w:r>
        <w:rPr>
          <w:rFonts w:hint="eastAsia" w:hAnsi="宋体"/>
          <w:szCs w:val="21"/>
        </w:rPr>
        <w:t>2GB缓存)，配置冗余电源风扇；</w:t>
      </w:r>
    </w:p>
    <w:p w14:paraId="79AEC53B">
      <w:pPr>
        <w:spacing w:line="360" w:lineRule="auto"/>
        <w:rPr>
          <w:rFonts w:hint="eastAsia" w:hAnsi="宋体"/>
          <w:szCs w:val="21"/>
        </w:rPr>
      </w:pPr>
      <w:r>
        <w:rPr>
          <w:rFonts w:hint="eastAsia" w:hAnsi="宋体"/>
          <w:szCs w:val="21"/>
        </w:rPr>
        <w:t>8)</w:t>
      </w:r>
      <w:r>
        <w:rPr>
          <w:rFonts w:hint="eastAsia" w:hAnsi="宋体"/>
          <w:szCs w:val="21"/>
        </w:rPr>
        <w:tab/>
      </w:r>
      <w:r>
        <w:rPr>
          <w:rFonts w:hint="eastAsia" w:hAnsi="宋体"/>
          <w:szCs w:val="21"/>
        </w:rPr>
        <w:t>为保障本次投标产品符合国家信息安全要求，投标产品原厂商需具备ISO9001质量管理体系认证证书、ISO20000信息技术服务管理体系认证、ISO27001信息安全管理认证证书。【提供证书复印件并加盖原厂商公章】</w:t>
      </w:r>
    </w:p>
    <w:p w14:paraId="40D154EE">
      <w:pPr>
        <w:spacing w:line="360" w:lineRule="auto"/>
        <w:rPr>
          <w:rFonts w:hint="eastAsia" w:hAnsi="宋体"/>
          <w:b/>
          <w:bCs/>
          <w:szCs w:val="21"/>
        </w:rPr>
      </w:pPr>
      <w:r>
        <w:rPr>
          <w:rFonts w:hint="eastAsia" w:hAnsi="宋体"/>
          <w:b/>
          <w:bCs/>
          <w:szCs w:val="21"/>
        </w:rPr>
        <w:t>2、</w:t>
      </w:r>
      <w:r>
        <w:rPr>
          <w:rFonts w:hint="eastAsia" w:hAnsi="宋体"/>
          <w:b/>
          <w:bCs/>
          <w:szCs w:val="21"/>
        </w:rPr>
        <w:tab/>
      </w:r>
      <w:r>
        <w:rPr>
          <w:rFonts w:hint="eastAsia" w:hAnsi="宋体"/>
          <w:b/>
          <w:bCs/>
          <w:szCs w:val="21"/>
        </w:rPr>
        <w:t>备份兼容性要求：</w:t>
      </w:r>
    </w:p>
    <w:p w14:paraId="39B408E6">
      <w:pPr>
        <w:spacing w:line="360" w:lineRule="auto"/>
        <w:rPr>
          <w:rFonts w:hint="eastAsia" w:hAnsi="宋体"/>
          <w:szCs w:val="21"/>
        </w:rPr>
      </w:pPr>
      <w:r>
        <w:rPr>
          <w:rFonts w:hint="eastAsia" w:hAnsi="宋体"/>
          <w:szCs w:val="21"/>
        </w:rPr>
        <w:t>1)</w:t>
      </w:r>
      <w:r>
        <w:rPr>
          <w:rFonts w:hint="eastAsia" w:hAnsi="宋体"/>
          <w:szCs w:val="21"/>
        </w:rPr>
        <w:tab/>
      </w:r>
      <w:r>
        <w:rPr>
          <w:rFonts w:hint="eastAsia" w:hAnsi="宋体"/>
          <w:szCs w:val="21"/>
        </w:rPr>
        <w:t>需支持Oracle 11g、12c、19c数据库备份与恢复，支持架构需包括物理服务器搭建RAC架构及ODA数据库一体机架构，为保证备份软件兼容且具备良好的数据保护能力要求本次投标产品属于Oracle Backup Solutions Program（BSP）；【提供Oracle官网查询页面截图并加盖原厂商公章】</w:t>
      </w:r>
    </w:p>
    <w:p w14:paraId="2F801E06">
      <w:pPr>
        <w:spacing w:line="360" w:lineRule="auto"/>
        <w:rPr>
          <w:rFonts w:hint="eastAsia" w:hAnsi="宋体"/>
          <w:szCs w:val="21"/>
        </w:rPr>
      </w:pPr>
      <w:r>
        <w:rPr>
          <w:rFonts w:hint="eastAsia" w:hAnsi="宋体"/>
          <w:szCs w:val="21"/>
        </w:rPr>
        <w:t>2)</w:t>
      </w:r>
      <w:r>
        <w:rPr>
          <w:rFonts w:hint="eastAsia" w:hAnsi="宋体"/>
          <w:szCs w:val="21"/>
        </w:rPr>
        <w:tab/>
      </w:r>
      <w:r>
        <w:rPr>
          <w:rFonts w:hint="eastAsia" w:hAnsi="宋体"/>
          <w:szCs w:val="21"/>
        </w:rPr>
        <w:t>需支持主流数据库SQL Server、MySQL、PostgreSQL、MogDB、MariaDB、DB2等的备份与恢复；</w:t>
      </w:r>
    </w:p>
    <w:p w14:paraId="32F63975">
      <w:pPr>
        <w:spacing w:line="360" w:lineRule="auto"/>
        <w:rPr>
          <w:rFonts w:hint="eastAsia" w:hAnsi="宋体"/>
          <w:szCs w:val="21"/>
        </w:rPr>
      </w:pPr>
      <w:r>
        <w:rPr>
          <w:rFonts w:hint="eastAsia" w:hAnsi="宋体"/>
          <w:szCs w:val="21"/>
        </w:rPr>
        <w:t>3)</w:t>
      </w:r>
      <w:r>
        <w:rPr>
          <w:rFonts w:hint="eastAsia" w:hAnsi="宋体"/>
          <w:szCs w:val="21"/>
        </w:rPr>
        <w:tab/>
      </w:r>
      <w:r>
        <w:rPr>
          <w:rFonts w:hint="eastAsia" w:hAnsi="宋体"/>
          <w:szCs w:val="21"/>
        </w:rPr>
        <w:t>需支持国产数据库达梦、人大金仓、TiDB、GoldenDB、南大通用、海量等，并提供互认证证书；【提供证书复印件并加盖原厂商公章】</w:t>
      </w:r>
    </w:p>
    <w:p w14:paraId="2B070EBA">
      <w:pPr>
        <w:spacing w:line="360" w:lineRule="auto"/>
        <w:rPr>
          <w:rFonts w:hint="eastAsia" w:hAnsi="宋体"/>
          <w:szCs w:val="21"/>
        </w:rPr>
      </w:pPr>
      <w:r>
        <w:rPr>
          <w:rFonts w:hint="eastAsia" w:hAnsi="宋体"/>
          <w:szCs w:val="21"/>
        </w:rPr>
        <w:t>4)</w:t>
      </w:r>
      <w:r>
        <w:rPr>
          <w:rFonts w:hint="eastAsia" w:hAnsi="宋体"/>
          <w:szCs w:val="21"/>
        </w:rPr>
        <w:tab/>
      </w:r>
      <w:r>
        <w:rPr>
          <w:rFonts w:hint="eastAsia" w:hAnsi="宋体"/>
          <w:szCs w:val="21"/>
        </w:rPr>
        <w:t>需支持主流Windows、Linux操作系统，以及国产化银河麒麟、统信、openEuler、中科方德等操作系统，均支持卷备份、文件备份功能，并提供国产化操作系统互认证证书。【提供证书复印件并加盖原厂商公章】</w:t>
      </w:r>
    </w:p>
    <w:p w14:paraId="48CCCB83">
      <w:pPr>
        <w:spacing w:line="360" w:lineRule="auto"/>
        <w:rPr>
          <w:rFonts w:hint="eastAsia" w:hAnsi="宋体"/>
          <w:b/>
          <w:bCs/>
          <w:szCs w:val="21"/>
        </w:rPr>
      </w:pPr>
      <w:r>
        <w:rPr>
          <w:rFonts w:hint="eastAsia" w:hAnsi="宋体"/>
          <w:b/>
          <w:bCs/>
          <w:szCs w:val="21"/>
        </w:rPr>
        <w:t>3、</w:t>
      </w:r>
      <w:r>
        <w:rPr>
          <w:rFonts w:hint="eastAsia" w:hAnsi="宋体"/>
          <w:b/>
          <w:bCs/>
          <w:szCs w:val="21"/>
        </w:rPr>
        <w:tab/>
      </w:r>
      <w:r>
        <w:rPr>
          <w:rFonts w:hint="eastAsia" w:hAnsi="宋体"/>
          <w:b/>
          <w:bCs/>
          <w:szCs w:val="21"/>
        </w:rPr>
        <w:t>备份与恢复功能要求：</w:t>
      </w:r>
    </w:p>
    <w:p w14:paraId="73A8478A">
      <w:pPr>
        <w:spacing w:line="360" w:lineRule="auto"/>
        <w:rPr>
          <w:rFonts w:hAnsi="宋体"/>
          <w:szCs w:val="21"/>
        </w:rPr>
      </w:pPr>
      <w:r>
        <w:rPr>
          <w:rFonts w:hint="eastAsia" w:hAnsi="宋体"/>
          <w:szCs w:val="21"/>
        </w:rPr>
        <w:t>1)</w:t>
      </w:r>
      <w:r>
        <w:rPr>
          <w:rFonts w:hint="eastAsia" w:hAnsi="宋体"/>
          <w:szCs w:val="21"/>
        </w:rPr>
        <w:tab/>
      </w:r>
      <w:r>
        <w:rPr>
          <w:rFonts w:hint="eastAsia" w:hAnsi="宋体"/>
          <w:szCs w:val="21"/>
        </w:rPr>
        <w:t>为保障Oracle备份便捷性，要求提供RMAN备份恢复参数的图形化配置，BCT备份加速、重复数据删除等高级备份功能选项；支持数据库全量备份、增量备份、日志备份等满足不同策略需求。【提供功能截图并加盖原厂商公章】</w:t>
      </w:r>
    </w:p>
    <w:p w14:paraId="19CD6901">
      <w:pPr>
        <w:spacing w:line="360" w:lineRule="auto"/>
        <w:rPr>
          <w:rFonts w:hint="eastAsia" w:hAnsi="宋体"/>
          <w:szCs w:val="21"/>
        </w:rPr>
      </w:pPr>
      <w:r>
        <w:rPr>
          <w:rFonts w:hint="eastAsia" w:hAnsi="宋体"/>
          <w:szCs w:val="21"/>
          <w:lang w:val="en-US" w:eastAsia="zh-CN"/>
        </w:rPr>
        <w:t>2</w:t>
      </w:r>
      <w:r>
        <w:rPr>
          <w:rFonts w:hint="eastAsia" w:hAnsi="宋体"/>
          <w:szCs w:val="21"/>
        </w:rPr>
        <w:t>)</w:t>
      </w:r>
      <w:r>
        <w:rPr>
          <w:rFonts w:hint="eastAsia" w:hAnsi="宋体"/>
          <w:szCs w:val="21"/>
        </w:rPr>
        <w:tab/>
      </w:r>
      <w:r>
        <w:rPr>
          <w:rFonts w:hint="eastAsia" w:hAnsi="宋体"/>
          <w:szCs w:val="21"/>
        </w:rPr>
        <w:t>投标产品需提供Oracle数据</w:t>
      </w:r>
      <w:r>
        <w:rPr>
          <w:rFonts w:hint="eastAsia" w:hAnsi="宋体"/>
          <w:szCs w:val="21"/>
          <w:highlight w:val="none"/>
        </w:rPr>
        <w:t>库（11g、12c、19c）</w:t>
      </w:r>
      <w:r>
        <w:rPr>
          <w:rFonts w:hint="eastAsia" w:hAnsi="宋体"/>
          <w:szCs w:val="21"/>
        </w:rPr>
        <w:t>细粒度恢复能力，包括指定SCN恢复、指定时间点恢复、异路径恢复、异机恢复等，并提供数据文件级高级恢复，包含实例、数据文件、日志文件、参数文件、控制文件、单表；【提供功能截图并加盖原厂商公章】</w:t>
      </w:r>
      <w:bookmarkStart w:id="4" w:name="_GoBack"/>
    </w:p>
    <w:bookmarkEnd w:id="4"/>
    <w:p w14:paraId="7842062E">
      <w:pPr>
        <w:spacing w:line="360" w:lineRule="auto"/>
        <w:rPr>
          <w:rFonts w:hint="eastAsia" w:hAnsi="宋体"/>
          <w:szCs w:val="21"/>
        </w:rPr>
      </w:pPr>
      <w:r>
        <w:rPr>
          <w:rFonts w:hint="eastAsia" w:hAnsi="宋体"/>
          <w:szCs w:val="21"/>
          <w:lang w:val="en-US" w:eastAsia="zh-CN"/>
        </w:rPr>
        <w:t>3</w:t>
      </w:r>
      <w:r>
        <w:rPr>
          <w:rFonts w:hint="eastAsia" w:hAnsi="宋体"/>
          <w:szCs w:val="21"/>
        </w:rPr>
        <w:t>)</w:t>
      </w:r>
      <w:r>
        <w:rPr>
          <w:rFonts w:hint="eastAsia" w:hAnsi="宋体"/>
          <w:szCs w:val="21"/>
        </w:rPr>
        <w:tab/>
      </w:r>
      <w:r>
        <w:rPr>
          <w:rFonts w:hint="eastAsia" w:hAnsi="宋体"/>
          <w:szCs w:val="21"/>
        </w:rPr>
        <w:t>为提高文件备份与恢复效率，需具备文件聚合、多线程备份、多线程恢复等功能；【提供功能截图并加盖原厂商公章】</w:t>
      </w:r>
    </w:p>
    <w:p w14:paraId="17F4031B">
      <w:pPr>
        <w:spacing w:line="360" w:lineRule="auto"/>
        <w:rPr>
          <w:rFonts w:hint="eastAsia" w:hAnsi="宋体"/>
          <w:szCs w:val="21"/>
        </w:rPr>
      </w:pPr>
      <w:r>
        <w:rPr>
          <w:rFonts w:hint="eastAsia" w:hAnsi="宋体"/>
          <w:szCs w:val="21"/>
          <w:lang w:val="en-US" w:eastAsia="zh-CN"/>
        </w:rPr>
        <w:t>4</w:t>
      </w:r>
      <w:r>
        <w:rPr>
          <w:rFonts w:hint="eastAsia" w:hAnsi="宋体"/>
          <w:szCs w:val="21"/>
        </w:rPr>
        <w:t>)</w:t>
      </w:r>
      <w:r>
        <w:rPr>
          <w:rFonts w:hint="eastAsia" w:hAnsi="宋体"/>
          <w:szCs w:val="21"/>
        </w:rPr>
        <w:tab/>
      </w:r>
      <w:r>
        <w:rPr>
          <w:rFonts w:hint="eastAsia" w:hAnsi="宋体"/>
          <w:szCs w:val="21"/>
        </w:rPr>
        <w:t>为满足本异地数据备份容灾架构，需配置远程复制功能，当本地发生场地灾难时，可以通过异地的备份数据进行恢复，远程复制关系建立和具体复制任务的建立，需得到目标端备份系统的确认授权，支持图形化展示备份系统之间的复制关系，包括单向、双向、一对多、多对一和级联等复制关系。【提供功能截图并加盖原厂商公章】</w:t>
      </w:r>
    </w:p>
    <w:p w14:paraId="0727E7F9">
      <w:pPr>
        <w:spacing w:line="360" w:lineRule="auto"/>
        <w:rPr>
          <w:rFonts w:hint="eastAsia" w:hAnsi="宋体"/>
          <w:b/>
          <w:bCs/>
          <w:szCs w:val="21"/>
        </w:rPr>
      </w:pPr>
      <w:r>
        <w:rPr>
          <w:rFonts w:hint="eastAsia" w:hAnsi="宋体"/>
          <w:b/>
          <w:bCs/>
          <w:szCs w:val="21"/>
        </w:rPr>
        <w:t>4、</w:t>
      </w:r>
      <w:r>
        <w:rPr>
          <w:rFonts w:hint="eastAsia" w:hAnsi="宋体"/>
          <w:b/>
          <w:bCs/>
          <w:szCs w:val="21"/>
        </w:rPr>
        <w:tab/>
      </w:r>
      <w:r>
        <w:rPr>
          <w:rFonts w:hint="eastAsia" w:hAnsi="宋体"/>
          <w:b/>
          <w:bCs/>
          <w:szCs w:val="21"/>
        </w:rPr>
        <w:t>数据压缩功能要求：</w:t>
      </w:r>
    </w:p>
    <w:p w14:paraId="20FAE1AC">
      <w:pPr>
        <w:spacing w:line="360" w:lineRule="auto"/>
        <w:rPr>
          <w:rFonts w:hint="eastAsia" w:hAnsi="宋体"/>
          <w:szCs w:val="21"/>
        </w:rPr>
      </w:pPr>
      <w:r>
        <w:rPr>
          <w:rFonts w:hint="eastAsia" w:hAnsi="宋体"/>
          <w:szCs w:val="21"/>
        </w:rPr>
        <w:t>1)</w:t>
      </w:r>
      <w:r>
        <w:rPr>
          <w:rFonts w:hint="eastAsia" w:hAnsi="宋体"/>
          <w:szCs w:val="21"/>
        </w:rPr>
        <w:tab/>
      </w:r>
      <w:r>
        <w:rPr>
          <w:rFonts w:hint="eastAsia" w:hAnsi="宋体"/>
          <w:szCs w:val="21"/>
        </w:rPr>
        <w:t>为降低备份数据存储量及传输量，投标产品需提供重复数据删除技术，减轻带宽压力，降低传输数据量和备份数据存储成本；【提供功能截图并加盖原厂商公章】</w:t>
      </w:r>
    </w:p>
    <w:p w14:paraId="53B04F63">
      <w:pPr>
        <w:spacing w:line="360" w:lineRule="auto"/>
        <w:rPr>
          <w:rFonts w:hint="eastAsia" w:hAnsi="宋体"/>
          <w:szCs w:val="21"/>
        </w:rPr>
      </w:pPr>
      <w:r>
        <w:rPr>
          <w:rFonts w:hint="eastAsia" w:hAnsi="宋体"/>
          <w:szCs w:val="21"/>
        </w:rPr>
        <w:t>2)</w:t>
      </w:r>
      <w:r>
        <w:rPr>
          <w:rFonts w:hint="eastAsia" w:hAnsi="宋体"/>
          <w:szCs w:val="21"/>
        </w:rPr>
        <w:tab/>
      </w:r>
      <w:r>
        <w:rPr>
          <w:rFonts w:hint="eastAsia" w:hAnsi="宋体"/>
          <w:szCs w:val="21"/>
        </w:rPr>
        <w:t>为降低数据备份时间并提高备份恢复效率，投标产品需提供增量备份技术，初次备份对数据进行完全备份，之后可实现每日一增量，每周一全量。【提供功能截图并加盖原厂商公章】</w:t>
      </w:r>
    </w:p>
    <w:p w14:paraId="2DE262E1">
      <w:pPr>
        <w:spacing w:line="360" w:lineRule="auto"/>
        <w:rPr>
          <w:rFonts w:hint="eastAsia" w:hAnsi="宋体"/>
          <w:szCs w:val="21"/>
        </w:rPr>
      </w:pPr>
      <w:r>
        <w:rPr>
          <w:rFonts w:hint="eastAsia" w:hAnsi="宋体"/>
          <w:szCs w:val="21"/>
        </w:rPr>
        <w:t>3)</w:t>
      </w:r>
      <w:r>
        <w:rPr>
          <w:rFonts w:hint="eastAsia" w:hAnsi="宋体"/>
          <w:szCs w:val="21"/>
        </w:rPr>
        <w:tab/>
      </w:r>
      <w:r>
        <w:rPr>
          <w:rFonts w:hint="eastAsia" w:hAnsi="宋体"/>
          <w:szCs w:val="21"/>
        </w:rPr>
        <w:t>为进一步提高备份空间利用率，要求投标产品的增量</w:t>
      </w:r>
      <w:r>
        <w:rPr>
          <w:rFonts w:hint="eastAsia"/>
        </w:rPr>
        <w:t>备份</w:t>
      </w:r>
      <w:r>
        <w:rPr>
          <w:rFonts w:hint="eastAsia" w:hAnsi="宋体"/>
          <w:szCs w:val="21"/>
        </w:rPr>
        <w:t>与重复数据删除可同时开启。【提供功能截图并加盖原厂商公章】</w:t>
      </w:r>
    </w:p>
    <w:p w14:paraId="104BC094">
      <w:pPr>
        <w:spacing w:line="360" w:lineRule="auto"/>
        <w:rPr>
          <w:rFonts w:hint="eastAsia" w:hAnsi="宋体"/>
          <w:b/>
          <w:bCs/>
          <w:szCs w:val="21"/>
        </w:rPr>
      </w:pPr>
      <w:r>
        <w:rPr>
          <w:rFonts w:hint="eastAsia" w:hAnsi="宋体"/>
          <w:b/>
          <w:bCs/>
          <w:szCs w:val="21"/>
        </w:rPr>
        <w:t>5、容灾要求</w:t>
      </w:r>
    </w:p>
    <w:p w14:paraId="022FBA72">
      <w:pPr>
        <w:spacing w:line="360" w:lineRule="auto"/>
        <w:rPr>
          <w:rFonts w:hint="eastAsia" w:hAnsi="宋体"/>
          <w:szCs w:val="21"/>
        </w:rPr>
      </w:pPr>
      <w:r>
        <w:rPr>
          <w:rFonts w:hint="eastAsia" w:hAnsi="宋体"/>
          <w:szCs w:val="21"/>
        </w:rPr>
        <w:t>1）  能够实现现有1套数据库的容灾要求，在主库发生故障时可切换至备库继续提供数据库访问服务，并提供容灾所需的软硬件设备</w:t>
      </w:r>
      <w:r>
        <w:rPr>
          <w:rFonts w:hint="eastAsia" w:hAnsi="宋体"/>
          <w:szCs w:val="21"/>
          <w:lang w:eastAsia="zh-CN"/>
        </w:rPr>
        <w:t>；</w:t>
      </w:r>
      <w:r>
        <w:rPr>
          <w:rFonts w:hint="eastAsia" w:hAnsi="宋体"/>
          <w:szCs w:val="21"/>
        </w:rPr>
        <w:t>【如需要许可证书,则需提供许可证明材料并加盖原厂商公章;不需要许可证书的情况，则提供承诺函，承诺提供容灾服务的同时不再支付额外许可费用】</w:t>
      </w:r>
    </w:p>
    <w:p w14:paraId="0232CE3D">
      <w:pPr>
        <w:spacing w:line="360" w:lineRule="auto"/>
        <w:rPr>
          <w:rFonts w:hint="eastAsia" w:hAnsi="宋体"/>
          <w:szCs w:val="21"/>
        </w:rPr>
      </w:pPr>
      <w:r>
        <w:rPr>
          <w:rFonts w:hint="eastAsia" w:hAnsi="宋体"/>
          <w:szCs w:val="21"/>
        </w:rPr>
        <w:t xml:space="preserve">2) </w:t>
      </w:r>
      <w:r>
        <w:rPr>
          <w:rFonts w:hint="eastAsia" w:hAnsi="宋体"/>
          <w:szCs w:val="21"/>
        </w:rPr>
        <w:tab/>
      </w:r>
      <w:r>
        <w:rPr>
          <w:rFonts w:hint="eastAsia" w:hAnsi="宋体"/>
          <w:szCs w:val="21"/>
        </w:rPr>
        <w:t>实现Oracle数据库</w:t>
      </w:r>
      <w:r>
        <w:rPr>
          <w:rFonts w:hint="eastAsia" w:hAnsi="宋体"/>
          <w:szCs w:val="21"/>
          <w:lang w:val="en-US" w:eastAsia="zh-CN"/>
        </w:rPr>
        <w:t>异地</w:t>
      </w:r>
      <w:r>
        <w:rPr>
          <w:rFonts w:hint="eastAsia" w:hAnsi="宋体"/>
          <w:szCs w:val="21"/>
        </w:rPr>
        <w:t>实时</w:t>
      </w:r>
      <w:r>
        <w:rPr>
          <w:rFonts w:hint="eastAsia" w:hAnsi="宋体"/>
          <w:szCs w:val="21"/>
          <w:lang w:val="en-US" w:eastAsia="zh-CN"/>
        </w:rPr>
        <w:t>容灾备份</w:t>
      </w:r>
      <w:r>
        <w:rPr>
          <w:rFonts w:hint="eastAsia" w:hAnsi="宋体"/>
          <w:szCs w:val="21"/>
        </w:rPr>
        <w:t>保护</w:t>
      </w:r>
      <w:r>
        <w:rPr>
          <w:rFonts w:hint="eastAsia" w:hAnsi="宋体"/>
          <w:szCs w:val="21"/>
          <w:lang w:eastAsia="zh-CN"/>
        </w:rPr>
        <w:t>。</w:t>
      </w:r>
    </w:p>
    <w:p w14:paraId="60F82A60">
      <w:pPr>
        <w:spacing w:line="360" w:lineRule="auto"/>
        <w:rPr>
          <w:rFonts w:hint="eastAsia" w:hAnsi="宋体"/>
          <w:b/>
          <w:bCs/>
          <w:szCs w:val="21"/>
        </w:rPr>
      </w:pPr>
      <w:r>
        <w:rPr>
          <w:rFonts w:hint="eastAsia" w:hAnsi="宋体"/>
          <w:b/>
          <w:bCs/>
          <w:szCs w:val="21"/>
        </w:rPr>
        <w:t>6、</w:t>
      </w:r>
      <w:r>
        <w:rPr>
          <w:rFonts w:hint="eastAsia" w:hAnsi="宋体"/>
          <w:b/>
          <w:bCs/>
          <w:szCs w:val="21"/>
        </w:rPr>
        <w:tab/>
      </w:r>
      <w:r>
        <w:rPr>
          <w:rFonts w:hint="eastAsia" w:hAnsi="宋体"/>
          <w:b/>
          <w:bCs/>
          <w:szCs w:val="21"/>
        </w:rPr>
        <w:t>数据安全要求：</w:t>
      </w:r>
    </w:p>
    <w:p w14:paraId="2B7EA082">
      <w:pPr>
        <w:spacing w:line="360" w:lineRule="auto"/>
        <w:rPr>
          <w:rFonts w:hint="eastAsia" w:hAnsi="宋体"/>
          <w:szCs w:val="21"/>
        </w:rPr>
      </w:pPr>
      <w:r>
        <w:rPr>
          <w:rFonts w:hint="eastAsia" w:hAnsi="宋体"/>
          <w:szCs w:val="21"/>
        </w:rPr>
        <w:t>1)</w:t>
      </w:r>
      <w:r>
        <w:rPr>
          <w:rFonts w:hint="eastAsia" w:hAnsi="宋体"/>
          <w:szCs w:val="21"/>
        </w:rPr>
        <w:tab/>
      </w:r>
      <w:r>
        <w:rPr>
          <w:rFonts w:hint="eastAsia" w:hAnsi="宋体"/>
          <w:szCs w:val="21"/>
        </w:rPr>
        <w:t>为避免勒索病毒篡改、删除备份数据，要求投标产品具备防勒索病毒的不可变存储功能；【提供功能截图或第三方测试报告并加盖原厂商公章】</w:t>
      </w:r>
    </w:p>
    <w:p w14:paraId="33E069D4">
      <w:pPr>
        <w:spacing w:line="360" w:lineRule="auto"/>
        <w:rPr>
          <w:rFonts w:hint="eastAsia" w:hAnsi="宋体"/>
          <w:szCs w:val="21"/>
        </w:rPr>
      </w:pPr>
      <w:r>
        <w:rPr>
          <w:rFonts w:hint="eastAsia" w:hAnsi="宋体"/>
          <w:szCs w:val="21"/>
        </w:rPr>
        <w:t>2)</w:t>
      </w:r>
      <w:r>
        <w:rPr>
          <w:rFonts w:hint="eastAsia" w:hAnsi="宋体"/>
          <w:szCs w:val="21"/>
        </w:rPr>
        <w:tab/>
      </w:r>
      <w:r>
        <w:rPr>
          <w:rFonts w:hint="eastAsia" w:hAnsi="宋体"/>
          <w:szCs w:val="21"/>
        </w:rPr>
        <w:t>为防止拥有备份管理员权限人员的恶意删除行为，要求投标产品具备强制数据保留功能；【提供功能截图或第三方测试报告并加盖原厂商公章】</w:t>
      </w:r>
    </w:p>
    <w:p w14:paraId="4348B23F">
      <w:pPr>
        <w:spacing w:line="360" w:lineRule="auto"/>
        <w:rPr>
          <w:rFonts w:hint="eastAsia" w:hAnsi="宋体"/>
          <w:szCs w:val="21"/>
        </w:rPr>
      </w:pPr>
      <w:r>
        <w:rPr>
          <w:rFonts w:hint="eastAsia" w:hAnsi="宋体"/>
          <w:szCs w:val="21"/>
        </w:rPr>
        <w:t>3)</w:t>
      </w:r>
      <w:r>
        <w:rPr>
          <w:rFonts w:hint="eastAsia" w:hAnsi="宋体"/>
          <w:szCs w:val="21"/>
        </w:rPr>
        <w:tab/>
      </w:r>
      <w:r>
        <w:rPr>
          <w:rFonts w:hint="eastAsia" w:hAnsi="宋体"/>
          <w:szCs w:val="21"/>
        </w:rPr>
        <w:t>为保障备份数据完整性，投标产品需提供备份数据一致性</w:t>
      </w:r>
      <w:r>
        <w:rPr>
          <w:rFonts w:hint="eastAsia" w:hAnsi="宋体"/>
          <w:color w:val="000000" w:themeColor="text1"/>
          <w:szCs w:val="21"/>
          <w14:textFill>
            <w14:solidFill>
              <w14:schemeClr w14:val="tx1"/>
            </w14:solidFill>
          </w14:textFill>
        </w:rPr>
        <w:t>校验功能，自动校</w:t>
      </w:r>
      <w:r>
        <w:rPr>
          <w:rFonts w:hint="eastAsia" w:hAnsi="宋体"/>
          <w:szCs w:val="21"/>
        </w:rPr>
        <w:t>验可进行校验周期设置、校验范围、校验可执行的时间段等参数设置，需包含MD5</w:t>
      </w:r>
      <w:r>
        <w:rPr>
          <w:rFonts w:hint="eastAsia"/>
        </w:rPr>
        <w:t>等一种或者多种</w:t>
      </w:r>
      <w:r>
        <w:rPr>
          <w:rFonts w:hint="eastAsia" w:hAnsi="宋体"/>
          <w:szCs w:val="21"/>
        </w:rPr>
        <w:t>校验方式；【提供功能截图或第三方测试报告并加盖原厂商公章】</w:t>
      </w:r>
    </w:p>
    <w:p w14:paraId="56EAF89F">
      <w:pPr>
        <w:spacing w:line="360" w:lineRule="auto"/>
        <w:rPr>
          <w:rFonts w:hint="eastAsia" w:hAnsi="宋体"/>
          <w:szCs w:val="21"/>
        </w:rPr>
      </w:pPr>
      <w:r>
        <w:rPr>
          <w:rFonts w:hint="eastAsia" w:hAnsi="宋体"/>
          <w:szCs w:val="21"/>
        </w:rPr>
        <w:t>4)</w:t>
      </w:r>
      <w:r>
        <w:rPr>
          <w:rFonts w:hint="eastAsia" w:hAnsi="宋体"/>
          <w:szCs w:val="21"/>
        </w:rPr>
        <w:tab/>
      </w:r>
      <w:r>
        <w:rPr>
          <w:rFonts w:hint="eastAsia" w:hAnsi="宋体"/>
          <w:szCs w:val="21"/>
        </w:rPr>
        <w:t>为避免备份数据恢复误操作，所有数据恢复任务最后一步，均需要操作者在提示界面人工进行确认，避免误操作导致生产数据被覆盖；【提供功能截图并加盖原厂商公章】</w:t>
      </w:r>
    </w:p>
    <w:p w14:paraId="0F50CE85">
      <w:pPr>
        <w:spacing w:line="360" w:lineRule="auto"/>
        <w:rPr>
          <w:rFonts w:hint="eastAsia" w:hAnsi="宋体"/>
          <w:szCs w:val="21"/>
        </w:rPr>
      </w:pPr>
      <w:r>
        <w:rPr>
          <w:rFonts w:hint="eastAsia" w:hAnsi="宋体"/>
          <w:szCs w:val="21"/>
        </w:rPr>
        <w:t>5)</w:t>
      </w:r>
      <w:r>
        <w:rPr>
          <w:rFonts w:hint="eastAsia" w:hAnsi="宋体"/>
          <w:szCs w:val="21"/>
        </w:rPr>
        <w:tab/>
      </w:r>
      <w:r>
        <w:rPr>
          <w:rFonts w:hint="eastAsia" w:hAnsi="宋体"/>
          <w:szCs w:val="21"/>
        </w:rPr>
        <w:t>为提升传输过程以及存储的安全性，投标产品需提供对备份数据进行加密传输和存储功能，支持AES256和SM4两种加密算法。【提供功能截图并加盖原厂商公章】</w:t>
      </w:r>
    </w:p>
    <w:p w14:paraId="2A0F873B">
      <w:pPr>
        <w:spacing w:line="360" w:lineRule="auto"/>
        <w:rPr>
          <w:rFonts w:hint="eastAsia" w:hAnsi="宋体"/>
          <w:b/>
          <w:bCs/>
          <w:szCs w:val="21"/>
        </w:rPr>
      </w:pPr>
      <w:r>
        <w:rPr>
          <w:rFonts w:hint="eastAsia" w:hAnsi="宋体"/>
          <w:b/>
          <w:bCs/>
          <w:szCs w:val="21"/>
        </w:rPr>
        <w:t>7、</w:t>
      </w:r>
      <w:r>
        <w:rPr>
          <w:rFonts w:hint="eastAsia" w:hAnsi="宋体"/>
          <w:b/>
          <w:bCs/>
          <w:szCs w:val="21"/>
        </w:rPr>
        <w:tab/>
      </w:r>
      <w:r>
        <w:rPr>
          <w:rFonts w:hint="eastAsia" w:hAnsi="宋体"/>
          <w:b/>
          <w:bCs/>
          <w:szCs w:val="21"/>
        </w:rPr>
        <w:t>管理要求：</w:t>
      </w:r>
    </w:p>
    <w:p w14:paraId="30C39DC7">
      <w:pPr>
        <w:spacing w:line="360" w:lineRule="auto"/>
        <w:rPr>
          <w:rFonts w:hint="eastAsia" w:hAnsi="宋体"/>
          <w:szCs w:val="21"/>
        </w:rPr>
      </w:pPr>
      <w:r>
        <w:rPr>
          <w:rFonts w:hint="eastAsia" w:hAnsi="宋体"/>
          <w:szCs w:val="21"/>
        </w:rPr>
        <w:t>1)</w:t>
      </w:r>
      <w:r>
        <w:rPr>
          <w:rFonts w:hint="eastAsia" w:hAnsi="宋体"/>
          <w:szCs w:val="21"/>
        </w:rPr>
        <w:tab/>
      </w:r>
      <w:r>
        <w:rPr>
          <w:rFonts w:hint="eastAsia" w:hAnsi="宋体"/>
          <w:szCs w:val="21"/>
        </w:rPr>
        <w:t>投标产品需提供分权管理的权限架构，管理角色至少包括系统管理员、审计管理员、安全管理员、操作员、租户和巡检员六类角色，通过分权管理提升备份系统的管理安全性；【提供功能截图并加盖原厂商公章】</w:t>
      </w:r>
    </w:p>
    <w:p w14:paraId="5B88AFBC">
      <w:pPr>
        <w:spacing w:line="360" w:lineRule="auto"/>
        <w:rPr>
          <w:rFonts w:hAnsi="宋体"/>
          <w:szCs w:val="21"/>
        </w:rPr>
      </w:pPr>
      <w:r>
        <w:rPr>
          <w:rFonts w:hint="eastAsia" w:hAnsi="宋体"/>
          <w:szCs w:val="21"/>
        </w:rPr>
        <w:t>2)</w:t>
      </w:r>
      <w:r>
        <w:rPr>
          <w:rFonts w:hint="eastAsia" w:hAnsi="宋体"/>
          <w:szCs w:val="21"/>
        </w:rPr>
        <w:tab/>
      </w:r>
      <w:r>
        <w:rPr>
          <w:rFonts w:hint="eastAsia" w:hAnsi="宋体"/>
          <w:szCs w:val="21"/>
        </w:rPr>
        <w:t>为了保证对</w:t>
      </w:r>
      <w:r>
        <w:rPr>
          <w:rFonts w:hint="eastAsia" w:hAnsi="宋体"/>
          <w:szCs w:val="21"/>
          <w:lang w:val="en-US" w:eastAsia="zh-CN"/>
        </w:rPr>
        <w:t>本项目的软硬件</w:t>
      </w:r>
      <w:r>
        <w:rPr>
          <w:rFonts w:hint="eastAsia" w:hAnsi="宋体"/>
          <w:szCs w:val="21"/>
        </w:rPr>
        <w:t>提供及时有效的运维监控，降低运维业务风险，要求投标产品提供可视化web页面的运维监控模块，包括定时备份、实时备份等模块，均可</w:t>
      </w:r>
      <w:r>
        <w:rPr>
          <w:rFonts w:hint="eastAsia" w:hAnsi="宋体"/>
          <w:szCs w:val="21"/>
          <w:lang w:val="en-US" w:eastAsia="zh-CN"/>
        </w:rPr>
        <w:t>在</w:t>
      </w:r>
      <w:r>
        <w:rPr>
          <w:rFonts w:hint="eastAsia" w:hAnsi="宋体"/>
          <w:szCs w:val="21"/>
        </w:rPr>
        <w:t>可视化web管理控制页面进行管理使用，可实时监测备份系统及硬件状态及时发现问题告警</w:t>
      </w:r>
      <w:r>
        <w:rPr>
          <w:rFonts w:hint="eastAsia" w:hAnsi="宋体"/>
          <w:szCs w:val="21"/>
          <w:lang w:eastAsia="zh-CN"/>
        </w:rPr>
        <w:t>（</w:t>
      </w:r>
      <w:r>
        <w:rPr>
          <w:rFonts w:hint="eastAsia" w:hAnsi="宋体"/>
          <w:szCs w:val="21"/>
          <w:lang w:val="en-US" w:eastAsia="zh-CN"/>
        </w:rPr>
        <w:t>管理页面可以依据学校管理需求进行页面优化</w:t>
      </w:r>
      <w:r>
        <w:rPr>
          <w:rFonts w:hint="eastAsia" w:hAnsi="宋体"/>
          <w:szCs w:val="21"/>
          <w:lang w:eastAsia="zh-CN"/>
        </w:rPr>
        <w:t>）</w:t>
      </w:r>
      <w:r>
        <w:rPr>
          <w:rFonts w:hint="eastAsia" w:hAnsi="宋体"/>
          <w:szCs w:val="21"/>
        </w:rPr>
        <w:t>；【提供功能截图并加盖原厂商公章】</w:t>
      </w:r>
    </w:p>
    <w:p w14:paraId="25CAB456">
      <w:pPr>
        <w:spacing w:line="360" w:lineRule="auto"/>
        <w:rPr>
          <w:rFonts w:hAnsi="宋体"/>
          <w:szCs w:val="21"/>
        </w:rPr>
      </w:pPr>
      <w:r>
        <w:rPr>
          <w:rFonts w:hint="eastAsia" w:hAnsi="宋体"/>
          <w:szCs w:val="21"/>
          <w:lang w:val="en-US" w:eastAsia="zh-CN"/>
        </w:rPr>
        <w:t>3</w:t>
      </w:r>
      <w:r>
        <w:rPr>
          <w:rFonts w:hint="eastAsia" w:hAnsi="宋体"/>
          <w:szCs w:val="21"/>
        </w:rPr>
        <w:t>)</w:t>
      </w:r>
      <w:r>
        <w:rPr>
          <w:rFonts w:hint="eastAsia" w:hAnsi="宋体"/>
          <w:szCs w:val="21"/>
        </w:rPr>
        <w:tab/>
      </w:r>
      <w:r>
        <w:rPr>
          <w:rFonts w:hint="eastAsia" w:hAnsi="宋体"/>
          <w:szCs w:val="21"/>
        </w:rPr>
        <w:t>为了对备份存储资源有效规划及预测，要求运维监控模块可采集备份产品存储使用情况，并可辅助进行备份资源规划；【提供功能截图并加盖原厂商公章】</w:t>
      </w:r>
    </w:p>
    <w:p w14:paraId="49C916EE">
      <w:pPr>
        <w:spacing w:line="360" w:lineRule="auto"/>
      </w:pPr>
      <w:r>
        <w:rPr>
          <w:rFonts w:hint="eastAsia" w:hAnsi="宋体"/>
          <w:szCs w:val="21"/>
          <w:lang w:val="en-US" w:eastAsia="zh-CN"/>
        </w:rPr>
        <w:t>4</w:t>
      </w:r>
      <w:r>
        <w:rPr>
          <w:rFonts w:hint="eastAsia" w:hAnsi="宋体"/>
          <w:szCs w:val="21"/>
        </w:rPr>
        <w:t>)</w:t>
      </w:r>
      <w:r>
        <w:rPr>
          <w:rFonts w:hint="eastAsia" w:hAnsi="宋体"/>
          <w:szCs w:val="21"/>
        </w:rPr>
        <w:tab/>
      </w:r>
      <w:r>
        <w:rPr>
          <w:rFonts w:hint="eastAsia"/>
        </w:rPr>
        <w:t>系统需具备可视化备份结果展示功能，</w:t>
      </w:r>
      <w:r>
        <w:rPr>
          <w:rFonts w:hint="eastAsia" w:hAnsi="宋体"/>
          <w:szCs w:val="21"/>
        </w:rPr>
        <w:t>帮助管理员根据分析结果及时调整备份策略，</w:t>
      </w:r>
      <w:r>
        <w:rPr>
          <w:rFonts w:hint="eastAsia"/>
        </w:rPr>
        <w:t>同时支持syslog等方式将运行日志集成入其他系统。</w:t>
      </w:r>
      <w:r>
        <w:rPr>
          <w:rFonts w:hint="eastAsia" w:hAnsi="宋体"/>
          <w:szCs w:val="21"/>
        </w:rPr>
        <w:t>【提供功能截图并加盖原厂商公章】</w:t>
      </w:r>
    </w:p>
    <w:p w14:paraId="62EAC6AA">
      <w:pPr>
        <w:spacing w:line="360" w:lineRule="auto"/>
        <w:rPr>
          <w:rFonts w:hint="eastAsia" w:hAnsi="宋体"/>
          <w:b/>
          <w:bCs/>
          <w:szCs w:val="21"/>
        </w:rPr>
      </w:pPr>
      <w:r>
        <w:rPr>
          <w:rFonts w:hint="eastAsia" w:hAnsi="宋体"/>
          <w:b/>
          <w:bCs/>
          <w:szCs w:val="21"/>
        </w:rPr>
        <w:t>8、</w:t>
      </w:r>
      <w:r>
        <w:rPr>
          <w:rFonts w:hint="eastAsia" w:hAnsi="宋体"/>
          <w:b/>
          <w:bCs/>
          <w:szCs w:val="21"/>
        </w:rPr>
        <w:tab/>
      </w:r>
      <w:r>
        <w:rPr>
          <w:rFonts w:hint="eastAsia" w:hAnsi="宋体"/>
          <w:b/>
          <w:bCs/>
          <w:szCs w:val="21"/>
        </w:rPr>
        <w:t>可扩展性要求：</w:t>
      </w:r>
    </w:p>
    <w:p w14:paraId="63D44AE3">
      <w:pPr>
        <w:spacing w:line="360" w:lineRule="auto"/>
        <w:rPr>
          <w:rFonts w:hint="eastAsia" w:hAnsi="宋体"/>
          <w:szCs w:val="21"/>
        </w:rPr>
      </w:pPr>
      <w:r>
        <w:rPr>
          <w:rFonts w:hint="eastAsia" w:hAnsi="宋体"/>
          <w:szCs w:val="21"/>
        </w:rPr>
        <w:t>1)</w:t>
      </w:r>
      <w:r>
        <w:rPr>
          <w:rFonts w:hint="eastAsia" w:hAnsi="宋体"/>
          <w:szCs w:val="21"/>
        </w:rPr>
        <w:tab/>
      </w:r>
      <w:r>
        <w:rPr>
          <w:rFonts w:hint="eastAsia" w:hAnsi="宋体"/>
          <w:szCs w:val="21"/>
        </w:rPr>
        <w:t>考虑到核心数据库的数据增长量，要求备份系统为集群架构，可从单节点平滑扩展至多个备份节点组成一个集群的备份系统，避免因软硬件故障、人为误操作等造成备份系统不可用的问题的发生；</w:t>
      </w:r>
    </w:p>
    <w:p w14:paraId="6249CC37">
      <w:pPr>
        <w:spacing w:line="360" w:lineRule="auto"/>
        <w:rPr>
          <w:rFonts w:hint="eastAsia" w:hAnsi="宋体"/>
          <w:szCs w:val="21"/>
        </w:rPr>
      </w:pPr>
      <w:r>
        <w:rPr>
          <w:rFonts w:hint="eastAsia" w:hAnsi="宋体"/>
          <w:szCs w:val="21"/>
        </w:rPr>
        <w:t>2)</w:t>
      </w:r>
      <w:r>
        <w:rPr>
          <w:rFonts w:hint="eastAsia" w:hAnsi="宋体"/>
          <w:szCs w:val="21"/>
        </w:rPr>
        <w:tab/>
      </w:r>
      <w:r>
        <w:rPr>
          <w:rFonts w:hint="eastAsia" w:hAnsi="宋体"/>
          <w:szCs w:val="21"/>
        </w:rPr>
        <w:t>为保障后期业务发展，投标产品后续可扩展Kubernetes的备份，可以集群、Namespace、Workload为粒度对云原生应用进行保护，支持快照及挂载恢复（CSI 场景），支持快照管理、策略管理等；【提供功能截图并加盖原厂商公章】</w:t>
      </w:r>
    </w:p>
    <w:p w14:paraId="442C4D72">
      <w:pPr>
        <w:spacing w:line="360" w:lineRule="auto"/>
        <w:rPr>
          <w:rFonts w:hint="eastAsia" w:hAnsi="宋体"/>
          <w:szCs w:val="21"/>
        </w:rPr>
      </w:pPr>
      <w:r>
        <w:rPr>
          <w:rFonts w:hint="eastAsia" w:hAnsi="宋体"/>
          <w:szCs w:val="21"/>
        </w:rPr>
        <w:t>3)</w:t>
      </w:r>
      <w:r>
        <w:rPr>
          <w:rFonts w:hint="eastAsia" w:hAnsi="宋体"/>
          <w:szCs w:val="21"/>
        </w:rPr>
        <w:tab/>
      </w:r>
      <w:r>
        <w:rPr>
          <w:rFonts w:hint="eastAsia" w:hAnsi="宋体"/>
          <w:szCs w:val="21"/>
        </w:rPr>
        <w:t>为满足后期数据长期归档需求，要求投标产品后续可扩展D2T磁带备份归档，将数据直接备份到磁带库，无需在备份系统中再存放一份数据，节省备份存储空间，支持将已备份到磁带中的数据，恢复至目标生产环境；【提供功能截图并加盖原厂商公章】</w:t>
      </w:r>
    </w:p>
    <w:p w14:paraId="72A3E4BB">
      <w:pPr>
        <w:spacing w:line="360" w:lineRule="auto"/>
        <w:rPr>
          <w:rFonts w:hint="eastAsia" w:hAnsi="宋体"/>
          <w:szCs w:val="21"/>
        </w:rPr>
      </w:pPr>
      <w:r>
        <w:rPr>
          <w:rFonts w:hint="eastAsia" w:hAnsi="宋体"/>
          <w:szCs w:val="21"/>
        </w:rPr>
        <w:t>4)</w:t>
      </w:r>
      <w:r>
        <w:rPr>
          <w:rFonts w:hint="eastAsia" w:hAnsi="宋体"/>
          <w:szCs w:val="21"/>
        </w:rPr>
        <w:tab/>
      </w:r>
      <w:r>
        <w:rPr>
          <w:rFonts w:hint="eastAsia" w:hAnsi="宋体"/>
          <w:szCs w:val="21"/>
        </w:rPr>
        <w:t>为满足后期通过自动化恢复演练替代人工恢复演练的需求，要求投标产品后续可扩展灾难恢复演练模块，需基于外置恢复资源自动恢复演练（非内置模拟恢复），同时为保证自动化恢复演练的可操作性，要求恢复演练功能可通过流程图的方式进行恢复工作流程的自定义、组合编排，并且支持在每个图形化的流程节点上进行任务或资源的配置，多个业务层面相关联的数据保护任务可串行调度或并行调度，从而简化恢复流程编排工作的复杂度，并自动生成灾难恢复报告，呈现恢复演练结果，包括数据恢复结果、数据可用性、RTO和RPO等。【提供功能截图并加盖原厂商公章】</w:t>
      </w:r>
    </w:p>
    <w:p w14:paraId="096DF034">
      <w:pPr>
        <w:numPr>
          <w:ilvl w:val="0"/>
          <w:numId w:val="2"/>
        </w:numPr>
        <w:tabs>
          <w:tab w:val="left" w:pos="900"/>
        </w:tabs>
        <w:spacing w:before="156" w:beforeLines="50" w:line="360" w:lineRule="auto"/>
        <w:rPr>
          <w:rFonts w:hint="eastAsia" w:hAnsi="宋体"/>
          <w:b/>
          <w:szCs w:val="21"/>
        </w:rPr>
      </w:pPr>
      <w:r>
        <w:rPr>
          <w:rFonts w:hint="eastAsia" w:hAnsi="宋体"/>
          <w:b/>
          <w:szCs w:val="21"/>
        </w:rPr>
        <w:t>采购标的需满足的服务标准、期限、效率等要求</w:t>
      </w:r>
    </w:p>
    <w:p w14:paraId="46BF3151">
      <w:pPr>
        <w:pStyle w:val="18"/>
        <w:numPr>
          <w:ilvl w:val="0"/>
          <w:numId w:val="3"/>
        </w:numPr>
        <w:spacing w:line="360" w:lineRule="auto"/>
        <w:ind w:firstLineChars="0"/>
      </w:pPr>
      <w:r>
        <w:rPr>
          <w:rFonts w:hint="eastAsia"/>
        </w:rPr>
        <w:t>提供设备制造厂商针对本项目原厂授权函及售后服务承诺函。</w:t>
      </w:r>
    </w:p>
    <w:p w14:paraId="4C19B191">
      <w:pPr>
        <w:pStyle w:val="18"/>
        <w:numPr>
          <w:ilvl w:val="0"/>
          <w:numId w:val="3"/>
        </w:numPr>
        <w:spacing w:line="360" w:lineRule="auto"/>
        <w:ind w:firstLineChars="0"/>
      </w:pPr>
      <w:r>
        <w:rPr>
          <w:rFonts w:hint="eastAsia"/>
        </w:rPr>
        <w:t>设备安装后投标方需根据现场情况进行包括网络，备份服务器，备份系统的配置测试，同时根据甲方要求进行数据库备份与恢复测试确保备份系统稳定运行。</w:t>
      </w:r>
    </w:p>
    <w:p w14:paraId="37CE37B0">
      <w:pPr>
        <w:numPr>
          <w:ilvl w:val="0"/>
          <w:numId w:val="4"/>
        </w:numPr>
        <w:tabs>
          <w:tab w:val="left" w:pos="420"/>
          <w:tab w:val="left" w:pos="900"/>
        </w:tabs>
        <w:spacing w:before="156" w:beforeLines="50" w:line="360" w:lineRule="auto"/>
        <w:rPr>
          <w:rFonts w:hint="eastAsia" w:ascii="宋体" w:hAnsi="宋体"/>
          <w:szCs w:val="21"/>
        </w:rPr>
      </w:pPr>
      <w:r>
        <w:rPr>
          <w:rFonts w:hint="eastAsia" w:hAnsi="宋体"/>
          <w:szCs w:val="21"/>
        </w:rPr>
        <w:t>▲</w:t>
      </w:r>
      <w:r>
        <w:rPr>
          <w:rFonts w:hint="eastAsia" w:ascii="宋体" w:hAnsi="宋体"/>
          <w:szCs w:val="21"/>
        </w:rPr>
        <w:t xml:space="preserve">质保期： </w:t>
      </w:r>
      <w:r>
        <w:rPr>
          <w:rFonts w:ascii="宋体" w:hAnsi="宋体"/>
          <w:szCs w:val="21"/>
          <w:u w:val="single"/>
        </w:rPr>
        <w:t xml:space="preserve">  </w:t>
      </w:r>
      <w:r>
        <w:rPr>
          <w:rFonts w:hint="eastAsia" w:ascii="宋体" w:hAnsi="宋体" w:cs="宋体"/>
          <w:u w:val="single"/>
        </w:rPr>
        <w:t>3</w:t>
      </w:r>
      <w:r>
        <w:rPr>
          <w:rFonts w:ascii="宋体" w:hAnsi="宋体"/>
          <w:szCs w:val="21"/>
          <w:u w:val="single"/>
        </w:rPr>
        <w:t xml:space="preserve">     </w:t>
      </w:r>
      <w:r>
        <w:rPr>
          <w:rFonts w:hint="eastAsia" w:ascii="宋体" w:hAnsi="宋体"/>
          <w:szCs w:val="21"/>
        </w:rPr>
        <w:t>年，</w:t>
      </w:r>
      <w:r>
        <w:rPr>
          <w:rFonts w:ascii="宋体" w:hAnsi="宋体" w:cs="宋体"/>
        </w:rPr>
        <w:t>质保期内免费维保，免人工服务费。</w:t>
      </w:r>
      <w:r>
        <w:rPr>
          <w:rFonts w:hint="eastAsia" w:ascii="宋体" w:hAnsi="宋体"/>
          <w:szCs w:val="21"/>
        </w:rPr>
        <w:t>质保期满后，仍需提供专业维修服务，投标人在投标文件中需注明维修服务单项报价。</w:t>
      </w:r>
    </w:p>
    <w:p w14:paraId="3B5406A7">
      <w:pPr>
        <w:numPr>
          <w:ilvl w:val="0"/>
          <w:numId w:val="4"/>
        </w:numPr>
        <w:tabs>
          <w:tab w:val="left" w:pos="420"/>
          <w:tab w:val="left" w:pos="900"/>
        </w:tabs>
        <w:spacing w:before="156" w:beforeLines="50" w:line="360" w:lineRule="auto"/>
        <w:rPr>
          <w:rFonts w:hint="eastAsia" w:ascii="宋体" w:hAnsi="宋体"/>
          <w:szCs w:val="21"/>
        </w:rPr>
      </w:pPr>
      <w:r>
        <w:rPr>
          <w:rFonts w:hint="eastAsia" w:ascii="宋体" w:hAnsi="宋体"/>
          <w:szCs w:val="21"/>
        </w:rPr>
        <w:t>服务响应时间：接到维修电话后4小时内给予明确答复，8小时内到达现场维修。维修人员到现场后若问题特殊无法现场修复的，供货方需在24小时内给出合理解决方案。</w:t>
      </w:r>
    </w:p>
    <w:p w14:paraId="3DEB6FC7">
      <w:pPr>
        <w:pStyle w:val="18"/>
        <w:numPr>
          <w:ilvl w:val="0"/>
          <w:numId w:val="4"/>
        </w:numPr>
        <w:tabs>
          <w:tab w:val="left" w:pos="420"/>
          <w:tab w:val="left" w:pos="709"/>
        </w:tabs>
        <w:spacing w:before="156" w:line="360" w:lineRule="auto"/>
        <w:ind w:firstLineChars="0"/>
        <w:rPr>
          <w:rFonts w:hint="eastAsia" w:ascii="宋体" w:hAnsi="宋体" w:cs="宋体"/>
        </w:rPr>
      </w:pPr>
      <w:r>
        <w:rPr>
          <w:rFonts w:ascii="宋体" w:hAnsi="宋体"/>
          <w:szCs w:val="21"/>
        </w:rPr>
        <w:t>培训</w:t>
      </w:r>
      <w:r>
        <w:rPr>
          <w:rFonts w:hint="eastAsia" w:ascii="宋体" w:hAnsi="宋体"/>
          <w:szCs w:val="21"/>
        </w:rPr>
        <w:t>要求：</w:t>
      </w:r>
      <w:r>
        <w:rPr>
          <w:rFonts w:ascii="宋体" w:hAnsi="宋体" w:cs="宋体"/>
        </w:rPr>
        <w:t>提供培训电子资料及视频；供方免费为用户培训至少</w:t>
      </w:r>
      <w:r>
        <w:rPr>
          <w:rFonts w:hint="eastAsia" w:ascii="宋体" w:hAnsi="宋体" w:cs="宋体"/>
          <w:u w:val="single"/>
        </w:rPr>
        <w:t>2</w:t>
      </w:r>
      <w:r>
        <w:rPr>
          <w:rFonts w:ascii="宋体" w:hAnsi="宋体" w:cs="宋体"/>
          <w:u w:val="single"/>
        </w:rPr>
        <w:t xml:space="preserve">  </w:t>
      </w:r>
      <w:r>
        <w:rPr>
          <w:rFonts w:ascii="宋体" w:hAnsi="宋体" w:cs="宋体"/>
        </w:rPr>
        <w:t>名操作人员进行为期至少</w:t>
      </w:r>
      <w:r>
        <w:rPr>
          <w:rFonts w:ascii="宋体" w:hAnsi="宋体" w:cs="宋体"/>
          <w:u w:val="single"/>
        </w:rPr>
        <w:t xml:space="preserve">  </w:t>
      </w:r>
      <w:r>
        <w:rPr>
          <w:rFonts w:hint="eastAsia" w:ascii="宋体" w:hAnsi="宋体" w:cs="宋体"/>
          <w:u w:val="single"/>
        </w:rPr>
        <w:t>7</w:t>
      </w:r>
      <w:r>
        <w:rPr>
          <w:rFonts w:ascii="宋体" w:hAnsi="宋体" w:cs="宋体"/>
          <w:u w:val="single"/>
        </w:rPr>
        <w:t xml:space="preserve"> </w:t>
      </w:r>
      <w:r>
        <w:rPr>
          <w:rFonts w:ascii="宋体" w:hAnsi="宋体" w:cs="宋体"/>
        </w:rPr>
        <w:t xml:space="preserve">天的现场操作培训以及应用培训，保证用户掌握有关设备的使用、维护、管理和应用等工作要求。不定期的免费提供相关设备应用方面的技术咨询等。 </w:t>
      </w:r>
    </w:p>
    <w:p w14:paraId="14938714">
      <w:pPr>
        <w:numPr>
          <w:ilvl w:val="0"/>
          <w:numId w:val="4"/>
        </w:numPr>
        <w:tabs>
          <w:tab w:val="left" w:pos="420"/>
          <w:tab w:val="left" w:pos="900"/>
        </w:tabs>
        <w:spacing w:before="156" w:beforeLines="50" w:line="360" w:lineRule="auto"/>
        <w:rPr>
          <w:rFonts w:hint="eastAsia" w:ascii="宋体" w:hAnsi="宋体"/>
          <w:szCs w:val="21"/>
        </w:rPr>
      </w:pPr>
      <w:r>
        <w:rPr>
          <w:rFonts w:hint="eastAsia" w:ascii="宋体" w:hAnsi="宋体"/>
          <w:szCs w:val="21"/>
        </w:rPr>
        <w:t>其他需求：</w:t>
      </w:r>
    </w:p>
    <w:p w14:paraId="0A882394">
      <w:pPr>
        <w:numPr>
          <w:ilvl w:val="0"/>
          <w:numId w:val="5"/>
        </w:numPr>
        <w:tabs>
          <w:tab w:val="left" w:pos="420"/>
          <w:tab w:val="left" w:pos="900"/>
        </w:tabs>
        <w:spacing w:before="156" w:beforeLines="50" w:line="360" w:lineRule="auto"/>
        <w:ind w:left="420"/>
        <w:rPr>
          <w:rFonts w:hint="eastAsia" w:ascii="宋体" w:hAnsi="宋体"/>
          <w:szCs w:val="21"/>
        </w:rPr>
      </w:pPr>
      <w:r>
        <w:rPr>
          <w:rFonts w:hint="eastAsia" w:ascii="宋体" w:hAnsi="宋体"/>
          <w:szCs w:val="21"/>
        </w:rPr>
        <w:t>服务器供应商提供全部软硬件支持，且每月进行一次巡检并出具报告</w:t>
      </w:r>
      <w:r>
        <w:rPr>
          <w:rFonts w:hint="eastAsia" w:ascii="宋体" w:hAnsi="宋体" w:cs="宋体"/>
        </w:rPr>
        <w:t>（本项目采购的硬件及其集成的软件巡检报告），对巡检中发现的问题及时处理</w:t>
      </w:r>
      <w:r>
        <w:rPr>
          <w:rFonts w:hint="eastAsia" w:ascii="宋体" w:hAnsi="宋体"/>
          <w:szCs w:val="21"/>
        </w:rPr>
        <w:t>。</w:t>
      </w:r>
    </w:p>
    <w:p w14:paraId="35369311">
      <w:pPr>
        <w:numPr>
          <w:ilvl w:val="0"/>
          <w:numId w:val="5"/>
        </w:numPr>
        <w:tabs>
          <w:tab w:val="left" w:pos="420"/>
          <w:tab w:val="left" w:pos="900"/>
        </w:tabs>
        <w:spacing w:before="156" w:beforeLines="50" w:line="360" w:lineRule="auto"/>
        <w:ind w:left="420"/>
        <w:rPr>
          <w:rFonts w:hint="eastAsia" w:ascii="宋体" w:hAnsi="宋体"/>
          <w:szCs w:val="21"/>
        </w:rPr>
      </w:pPr>
      <w:r>
        <w:rPr>
          <w:rFonts w:hint="eastAsia" w:ascii="宋体" w:hAnsi="宋体"/>
          <w:szCs w:val="21"/>
        </w:rPr>
        <w:t>每年至少进行一次备份恢复容灾演练。</w:t>
      </w:r>
    </w:p>
    <w:p w14:paraId="08DD911A">
      <w:pPr>
        <w:numPr>
          <w:ilvl w:val="0"/>
          <w:numId w:val="5"/>
        </w:numPr>
        <w:tabs>
          <w:tab w:val="left" w:pos="420"/>
          <w:tab w:val="left" w:pos="900"/>
        </w:tabs>
        <w:spacing w:before="156" w:beforeLines="50" w:line="360" w:lineRule="auto"/>
        <w:ind w:left="420"/>
        <w:rPr>
          <w:rFonts w:hint="eastAsia" w:ascii="宋体" w:hAnsi="宋体" w:cs="宋体"/>
        </w:rPr>
      </w:pPr>
      <w:r>
        <w:rPr>
          <w:rFonts w:hint="eastAsia" w:ascii="宋体" w:hAnsi="宋体"/>
          <w:szCs w:val="21"/>
        </w:rPr>
        <w:t>在保质期内因货物本身的质量问题，中标方负责免费修理、更换零部件或退换，并须对货物出现的有关技术性问题或安全问题负责处理、解决。</w:t>
      </w:r>
    </w:p>
    <w:p w14:paraId="6F619563">
      <w:pPr>
        <w:numPr>
          <w:ilvl w:val="0"/>
          <w:numId w:val="5"/>
        </w:numPr>
        <w:tabs>
          <w:tab w:val="left" w:pos="420"/>
          <w:tab w:val="left" w:pos="900"/>
        </w:tabs>
        <w:spacing w:before="156" w:beforeLines="50" w:line="360" w:lineRule="auto"/>
        <w:ind w:left="420"/>
        <w:rPr>
          <w:rFonts w:hint="eastAsia" w:ascii="宋体" w:hAnsi="宋体" w:cs="宋体"/>
        </w:rPr>
      </w:pPr>
      <w:r>
        <w:rPr>
          <w:rFonts w:hint="eastAsia" w:ascii="宋体" w:hAnsi="宋体"/>
          <w:szCs w:val="21"/>
        </w:rPr>
        <w:t>本次采购产品所有开发、安装、部署等费用均包含在此次采购范围内，与其他系统的对接产生的费用等包含在招标总体费用中，且不涉及其他商业版权问题，西安交通大学网络信息中心将不支付其他任何费用。</w:t>
      </w:r>
    </w:p>
    <w:p w14:paraId="0F8FFFBC">
      <w:pPr>
        <w:tabs>
          <w:tab w:val="left" w:pos="420"/>
          <w:tab w:val="left" w:pos="900"/>
        </w:tabs>
        <w:spacing w:before="156" w:beforeLines="50" w:line="360" w:lineRule="auto"/>
        <w:rPr>
          <w:rFonts w:hint="eastAsia"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9"/>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14:paraId="094F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01" w:type="dxa"/>
            <w:gridSpan w:val="4"/>
            <w:vAlign w:val="center"/>
          </w:tcPr>
          <w:p w14:paraId="7D4E72E5">
            <w:pPr>
              <w:widowControl/>
              <w:jc w:val="center"/>
              <w:textAlignment w:val="baseline"/>
              <w:rPr>
                <w:color w:val="000000"/>
                <w:kern w:val="0"/>
                <w:sz w:val="20"/>
                <w:szCs w:val="21"/>
              </w:rPr>
            </w:pPr>
            <w:r>
              <w:rPr>
                <w:color w:val="000000"/>
                <w:kern w:val="0"/>
                <w:sz w:val="20"/>
                <w:szCs w:val="21"/>
              </w:rPr>
              <w:t>现场的检验指标及方法</w:t>
            </w:r>
          </w:p>
        </w:tc>
      </w:tr>
      <w:tr w14:paraId="2B36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3B8FDE69">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50E45436">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67C5540D">
            <w:pPr>
              <w:widowControl/>
              <w:jc w:val="center"/>
              <w:textAlignment w:val="baseline"/>
              <w:rPr>
                <w:color w:val="000000"/>
                <w:kern w:val="0"/>
                <w:sz w:val="20"/>
                <w:szCs w:val="21"/>
              </w:rPr>
            </w:pPr>
            <w:r>
              <w:rPr>
                <w:color w:val="000000"/>
                <w:kern w:val="0"/>
                <w:sz w:val="20"/>
                <w:szCs w:val="21"/>
              </w:rPr>
              <w:t>验收或测试方法</w:t>
            </w:r>
          </w:p>
        </w:tc>
      </w:tr>
      <w:tr w14:paraId="0742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487738BF">
            <w:pPr>
              <w:widowControl/>
              <w:jc w:val="left"/>
              <w:textAlignment w:val="baseline"/>
              <w:rPr>
                <w:rFonts w:hint="eastAsia" w:ascii="黑体" w:hAnsi="黑体" w:eastAsia="黑体"/>
                <w:b/>
                <w:color w:val="000000"/>
                <w:kern w:val="0"/>
                <w:sz w:val="18"/>
                <w:szCs w:val="18"/>
              </w:rPr>
            </w:pPr>
            <w:r>
              <w:rPr>
                <w:rFonts w:hint="eastAsia" w:ascii="黑体" w:hAnsi="黑体" w:eastAsia="黑体"/>
                <w:b/>
                <w:color w:val="000000"/>
                <w:kern w:val="0"/>
                <w:sz w:val="18"/>
                <w:szCs w:val="18"/>
              </w:rPr>
              <w:t>项目建设单位验收要求：</w:t>
            </w:r>
          </w:p>
        </w:tc>
      </w:tr>
      <w:tr w14:paraId="2761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2EA39B6">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58B413E2">
            <w:pPr>
              <w:widowControl/>
              <w:textAlignment w:val="baseline"/>
              <w:rPr>
                <w:color w:val="000000"/>
                <w:kern w:val="0"/>
                <w:sz w:val="18"/>
                <w:szCs w:val="18"/>
              </w:rPr>
            </w:pPr>
            <w:r>
              <w:rPr>
                <w:rFonts w:hint="eastAsia"/>
                <w:color w:val="000000"/>
                <w:kern w:val="0"/>
                <w:sz w:val="18"/>
                <w:szCs w:val="18"/>
              </w:rPr>
              <w:t>货物外观无损伤</w:t>
            </w:r>
          </w:p>
        </w:tc>
        <w:tc>
          <w:tcPr>
            <w:tcW w:w="4368" w:type="dxa"/>
            <w:gridSpan w:val="2"/>
            <w:vAlign w:val="center"/>
          </w:tcPr>
          <w:p w14:paraId="1BE3E26E">
            <w:pPr>
              <w:widowControl/>
              <w:textAlignment w:val="baseline"/>
              <w:rPr>
                <w:color w:val="000000"/>
                <w:kern w:val="0"/>
                <w:sz w:val="18"/>
                <w:szCs w:val="18"/>
              </w:rPr>
            </w:pPr>
            <w:r>
              <w:rPr>
                <w:rFonts w:hint="eastAsia"/>
                <w:color w:val="000000"/>
                <w:kern w:val="0"/>
                <w:sz w:val="18"/>
                <w:szCs w:val="18"/>
              </w:rPr>
              <w:t>现场核查</w:t>
            </w:r>
          </w:p>
        </w:tc>
      </w:tr>
      <w:tr w14:paraId="6163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1CA5934">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50EC64B7">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2A0477A9">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14:paraId="19E0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F30A6FE">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680A8F32">
            <w:pPr>
              <w:widowControl/>
              <w:textAlignment w:val="baseline"/>
              <w:rPr>
                <w:color w:val="000000" w:themeColor="text1"/>
                <w:kern w:val="0"/>
                <w:sz w:val="18"/>
                <w:szCs w:val="18"/>
                <w14:textFill>
                  <w14:solidFill>
                    <w14:schemeClr w14:val="tx1"/>
                  </w14:solidFill>
                </w14:textFill>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7FC9B2CE">
            <w:pPr>
              <w:rPr>
                <w:rFonts w:hint="eastAsia"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14:paraId="5BC7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CAF5D02">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49CF6E21">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4354CB78">
            <w:pPr>
              <w:widowControl/>
              <w:textAlignment w:val="baseline"/>
              <w:rPr>
                <w:color w:val="000000"/>
                <w:kern w:val="0"/>
                <w:sz w:val="18"/>
                <w:szCs w:val="18"/>
              </w:rPr>
            </w:pPr>
            <w:r>
              <w:rPr>
                <w:color w:val="000000"/>
                <w:kern w:val="0"/>
                <w:sz w:val="18"/>
                <w:szCs w:val="18"/>
              </w:rPr>
              <w:t>现场核查</w:t>
            </w:r>
          </w:p>
        </w:tc>
      </w:tr>
      <w:tr w14:paraId="466E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30E7093">
            <w:pPr>
              <w:widowControl/>
              <w:spacing w:line="450" w:lineRule="atLeast"/>
              <w:jc w:val="center"/>
              <w:textAlignment w:val="baseline"/>
              <w:rPr>
                <w:color w:val="0000FF"/>
                <w:kern w:val="0"/>
                <w:sz w:val="20"/>
                <w:szCs w:val="21"/>
              </w:rPr>
            </w:pPr>
          </w:p>
        </w:tc>
        <w:tc>
          <w:tcPr>
            <w:tcW w:w="3507" w:type="dxa"/>
            <w:vAlign w:val="center"/>
          </w:tcPr>
          <w:p w14:paraId="751AC058">
            <w:pPr>
              <w:widowControl/>
              <w:spacing w:line="450" w:lineRule="atLeast"/>
              <w:jc w:val="left"/>
              <w:textAlignment w:val="baseline"/>
              <w:rPr>
                <w:rFonts w:hint="eastAsia" w:cs="宋体" w:asciiTheme="minorEastAsia" w:hAnsiTheme="minorEastAsia" w:eastAsiaTheme="minorEastAsia"/>
                <w:color w:val="0000FF"/>
                <w:kern w:val="0"/>
                <w:szCs w:val="21"/>
              </w:rPr>
            </w:pPr>
          </w:p>
        </w:tc>
        <w:tc>
          <w:tcPr>
            <w:tcW w:w="4368" w:type="dxa"/>
            <w:gridSpan w:val="2"/>
          </w:tcPr>
          <w:p w14:paraId="6F0F7F1E">
            <w:pPr>
              <w:widowControl/>
              <w:spacing w:line="450" w:lineRule="atLeast"/>
              <w:jc w:val="left"/>
              <w:textAlignment w:val="baseline"/>
              <w:rPr>
                <w:rFonts w:hint="eastAsia" w:cs="宋体" w:asciiTheme="minorEastAsia" w:hAnsiTheme="minorEastAsia" w:eastAsiaTheme="minorEastAsia"/>
                <w:color w:val="0000FF"/>
                <w:kern w:val="0"/>
                <w:szCs w:val="21"/>
              </w:rPr>
            </w:pPr>
          </w:p>
        </w:tc>
      </w:tr>
      <w:tr w14:paraId="29E0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B0FD287">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7875" w:type="dxa"/>
            <w:gridSpan w:val="3"/>
            <w:vAlign w:val="center"/>
          </w:tcPr>
          <w:p w14:paraId="299FF8E9">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14:paraId="40A0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584C5F5C">
            <w:pPr>
              <w:widowControl/>
              <w:jc w:val="left"/>
              <w:textAlignment w:val="baseline"/>
              <w:rPr>
                <w:color w:val="000000"/>
                <w:kern w:val="0"/>
                <w:sz w:val="18"/>
                <w:szCs w:val="18"/>
              </w:rPr>
            </w:pPr>
            <w:r>
              <w:rPr>
                <w:rFonts w:hint="eastAsia" w:ascii="黑体" w:hAnsi="黑体" w:eastAsia="黑体"/>
                <w:b/>
                <w:color w:val="000000"/>
                <w:kern w:val="0"/>
                <w:sz w:val="18"/>
                <w:szCs w:val="18"/>
              </w:rPr>
              <w:t>学校验收复核要求：</w:t>
            </w:r>
          </w:p>
        </w:tc>
      </w:tr>
      <w:tr w14:paraId="1CC2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40BEF1C">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03D4308B">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14:paraId="260E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FFE9EE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08275452">
            <w:pPr>
              <w:widowControl/>
              <w:textAlignment w:val="baseline"/>
              <w:rPr>
                <w:color w:val="000000"/>
                <w:kern w:val="0"/>
                <w:sz w:val="18"/>
                <w:szCs w:val="18"/>
              </w:rPr>
            </w:pPr>
            <w:r>
              <w:rPr>
                <w:rFonts w:hint="eastAsia"/>
                <w:color w:val="000000"/>
                <w:kern w:val="0"/>
                <w:sz w:val="18"/>
                <w:szCs w:val="18"/>
              </w:rPr>
              <w:t>提供《供应商货物类项目完工报告》</w:t>
            </w:r>
          </w:p>
        </w:tc>
      </w:tr>
      <w:tr w14:paraId="5180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0D8626C">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69950414">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14:paraId="48A4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00BB10D9">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259962B1">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14:paraId="2E13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745F28CC">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7248915A">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0F60AC4E">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color w:val="000000"/>
                <w:kern w:val="0"/>
                <w:sz w:val="20"/>
                <w:szCs w:val="21"/>
              </w:rPr>
              <w:t>☑</w:t>
            </w:r>
          </w:p>
        </w:tc>
      </w:tr>
      <w:tr w14:paraId="212F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22C97FF6">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1321B0A6">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42F4E28F">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color w:val="000000"/>
                <w:kern w:val="0"/>
                <w:sz w:val="20"/>
                <w:szCs w:val="21"/>
              </w:rPr>
              <w:t>☑</w:t>
            </w:r>
          </w:p>
        </w:tc>
      </w:tr>
      <w:tr w14:paraId="3426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14:paraId="0422ABEE">
            <w:pPr>
              <w:widowControl/>
              <w:textAlignment w:val="baseline"/>
              <w:rPr>
                <w:color w:val="000000"/>
                <w:kern w:val="0"/>
                <w:sz w:val="20"/>
                <w:szCs w:val="21"/>
              </w:rPr>
            </w:pPr>
            <w:r>
              <w:rPr>
                <w:color w:val="000000"/>
                <w:kern w:val="0"/>
                <w:sz w:val="20"/>
                <w:szCs w:val="21"/>
              </w:rPr>
              <w:t>除现场验收外，需提供的其他验收要求</w:t>
            </w:r>
          </w:p>
        </w:tc>
      </w:tr>
      <w:tr w14:paraId="6C59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33" w:type="dxa"/>
            <w:gridSpan w:val="2"/>
            <w:vAlign w:val="center"/>
          </w:tcPr>
          <w:p w14:paraId="1621E661">
            <w:pPr>
              <w:widowControl/>
              <w:spacing w:line="450" w:lineRule="atLeast"/>
              <w:textAlignment w:val="baseline"/>
              <w:rPr>
                <w:color w:val="000000"/>
                <w:kern w:val="0"/>
                <w:sz w:val="20"/>
                <w:szCs w:val="21"/>
              </w:rPr>
            </w:pPr>
            <w:r>
              <w:rPr>
                <w:color w:val="000000"/>
                <w:kern w:val="0"/>
                <w:sz w:val="20"/>
                <w:szCs w:val="21"/>
              </w:rPr>
              <w:t>除现场验收外，是</w:t>
            </w:r>
            <w:r>
              <w:rPr>
                <w:rFonts w:hint="eastAsia" w:cs="宋体" w:asciiTheme="minorEastAsia" w:hAnsiTheme="minorEastAsia"/>
                <w:color w:val="000000"/>
                <w:kern w:val="0"/>
                <w:sz w:val="20"/>
                <w:szCs w:val="21"/>
              </w:rPr>
              <w:t>□</w:t>
            </w:r>
            <w:r>
              <w:rPr>
                <w:color w:val="000000"/>
                <w:kern w:val="0"/>
                <w:sz w:val="20"/>
                <w:szCs w:val="21"/>
              </w:rPr>
              <w:t>否</w:t>
            </w:r>
            <w:r>
              <w:rPr>
                <w:rFonts w:hint="eastAsia" w:cs="宋体" w:asciiTheme="minorEastAsia" w:hAnsiTheme="minorEastAsia"/>
                <w:color w:val="000000"/>
                <w:kern w:val="0"/>
                <w:sz w:val="20"/>
                <w:szCs w:val="21"/>
              </w:rPr>
              <w:t>☑</w:t>
            </w:r>
            <w:r>
              <w:rPr>
                <w:color w:val="000000"/>
                <w:kern w:val="0"/>
                <w:sz w:val="20"/>
                <w:szCs w:val="21"/>
              </w:rPr>
              <w:t>需提供第三方检测报告</w:t>
            </w:r>
          </w:p>
          <w:p w14:paraId="22F22AC0">
            <w:pPr>
              <w:widowControl/>
              <w:spacing w:line="450" w:lineRule="atLeast"/>
              <w:textAlignment w:val="baseline"/>
              <w:rPr>
                <w:color w:val="000000"/>
                <w:kern w:val="0"/>
                <w:sz w:val="20"/>
                <w:szCs w:val="21"/>
              </w:rPr>
            </w:pPr>
          </w:p>
        </w:tc>
        <w:tc>
          <w:tcPr>
            <w:tcW w:w="4368" w:type="dxa"/>
            <w:gridSpan w:val="2"/>
            <w:vAlign w:val="center"/>
          </w:tcPr>
          <w:p w14:paraId="7B379753">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34A820C6">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5E4FCCD6"/>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4EA8D">
    <w:pPr>
      <w:pStyle w:val="5"/>
      <w:jc w:val="center"/>
    </w:pPr>
    <w:r>
      <w:fldChar w:fldCharType="begin"/>
    </w:r>
    <w:r>
      <w:instrText xml:space="preserve">PAGE   \* MERGEFORMAT</w:instrText>
    </w:r>
    <w:r>
      <w:fldChar w:fldCharType="separate"/>
    </w:r>
    <w:r>
      <w:rPr>
        <w:lang w:val="zh-CN"/>
      </w:rPr>
      <w:t>4</w:t>
    </w:r>
    <w:r>
      <w:fldChar w:fldCharType="end"/>
    </w:r>
  </w:p>
  <w:p w14:paraId="0E3E54B3">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3A55FA"/>
    <w:multiLevelType w:val="singleLevel"/>
    <w:tmpl w:val="E13A55FA"/>
    <w:lvl w:ilvl="0" w:tentative="0">
      <w:start w:val="5"/>
      <w:numFmt w:val="chineseCounting"/>
      <w:suff w:val="nothing"/>
      <w:lvlText w:val="%1、"/>
      <w:lvlJc w:val="left"/>
      <w:rPr>
        <w:rFonts w:hint="eastAsia"/>
      </w:rPr>
    </w:lvl>
  </w:abstractNum>
  <w:abstractNum w:abstractNumId="1">
    <w:nsid w:val="041EFB10"/>
    <w:multiLevelType w:val="singleLevel"/>
    <w:tmpl w:val="041EFB10"/>
    <w:lvl w:ilvl="0" w:tentative="0">
      <w:start w:val="1"/>
      <w:numFmt w:val="decimal"/>
      <w:suff w:val="nothing"/>
      <w:lvlText w:val="%1）"/>
      <w:lvlJc w:val="left"/>
    </w:lvl>
  </w:abstractNum>
  <w:abstractNum w:abstractNumId="2">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54A80F0"/>
    <w:multiLevelType w:val="singleLevel"/>
    <w:tmpl w:val="654A80F0"/>
    <w:lvl w:ilvl="0" w:tentative="0">
      <w:start w:val="1"/>
      <w:numFmt w:val="decimalEnclosedCircleChinese"/>
      <w:suff w:val="nothing"/>
      <w:lvlText w:val="%1　"/>
      <w:lvlJc w:val="left"/>
      <w:pPr>
        <w:ind w:left="0" w:firstLine="400"/>
      </w:pPr>
      <w:rPr>
        <w:rFonts w:hint="eastAsia"/>
      </w:r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70BA"/>
    <w:rsid w:val="00017C9A"/>
    <w:rsid w:val="00021B04"/>
    <w:rsid w:val="00090056"/>
    <w:rsid w:val="000A209A"/>
    <w:rsid w:val="000C588B"/>
    <w:rsid w:val="00105428"/>
    <w:rsid w:val="0012727F"/>
    <w:rsid w:val="00140AF0"/>
    <w:rsid w:val="001507CE"/>
    <w:rsid w:val="00157667"/>
    <w:rsid w:val="001609FC"/>
    <w:rsid w:val="00162A76"/>
    <w:rsid w:val="00176534"/>
    <w:rsid w:val="0018461B"/>
    <w:rsid w:val="00192B6A"/>
    <w:rsid w:val="001B03C0"/>
    <w:rsid w:val="001B712C"/>
    <w:rsid w:val="001C0880"/>
    <w:rsid w:val="001C41C3"/>
    <w:rsid w:val="001C7C84"/>
    <w:rsid w:val="002204EA"/>
    <w:rsid w:val="00237253"/>
    <w:rsid w:val="002564DD"/>
    <w:rsid w:val="00276249"/>
    <w:rsid w:val="002815C8"/>
    <w:rsid w:val="002A4902"/>
    <w:rsid w:val="002A6571"/>
    <w:rsid w:val="002B05E3"/>
    <w:rsid w:val="002B3A1B"/>
    <w:rsid w:val="002D68DE"/>
    <w:rsid w:val="003027D7"/>
    <w:rsid w:val="00310E17"/>
    <w:rsid w:val="003113D4"/>
    <w:rsid w:val="003458D7"/>
    <w:rsid w:val="00345D8D"/>
    <w:rsid w:val="00353EC3"/>
    <w:rsid w:val="00354D5D"/>
    <w:rsid w:val="0036352F"/>
    <w:rsid w:val="003649AF"/>
    <w:rsid w:val="003B1B61"/>
    <w:rsid w:val="003D06DB"/>
    <w:rsid w:val="003E4113"/>
    <w:rsid w:val="003E4FDA"/>
    <w:rsid w:val="00426CB3"/>
    <w:rsid w:val="00453832"/>
    <w:rsid w:val="004951D7"/>
    <w:rsid w:val="004A43F0"/>
    <w:rsid w:val="004B3DFE"/>
    <w:rsid w:val="004E36C2"/>
    <w:rsid w:val="004E4B14"/>
    <w:rsid w:val="00501176"/>
    <w:rsid w:val="0051081D"/>
    <w:rsid w:val="00510891"/>
    <w:rsid w:val="0052535A"/>
    <w:rsid w:val="0053111A"/>
    <w:rsid w:val="00562C62"/>
    <w:rsid w:val="005633CE"/>
    <w:rsid w:val="00571ADE"/>
    <w:rsid w:val="005853E9"/>
    <w:rsid w:val="0059304A"/>
    <w:rsid w:val="005951EF"/>
    <w:rsid w:val="005B62C9"/>
    <w:rsid w:val="005C3DA0"/>
    <w:rsid w:val="005E6A0A"/>
    <w:rsid w:val="005F1571"/>
    <w:rsid w:val="005F401F"/>
    <w:rsid w:val="00611202"/>
    <w:rsid w:val="006237BE"/>
    <w:rsid w:val="00636F27"/>
    <w:rsid w:val="00640733"/>
    <w:rsid w:val="006878E9"/>
    <w:rsid w:val="006C2918"/>
    <w:rsid w:val="006C782C"/>
    <w:rsid w:val="006D095D"/>
    <w:rsid w:val="00703AC6"/>
    <w:rsid w:val="00710AA5"/>
    <w:rsid w:val="00715B3F"/>
    <w:rsid w:val="007554BB"/>
    <w:rsid w:val="00763C22"/>
    <w:rsid w:val="0076501A"/>
    <w:rsid w:val="007839AE"/>
    <w:rsid w:val="00785146"/>
    <w:rsid w:val="007A5DE1"/>
    <w:rsid w:val="007F4BD9"/>
    <w:rsid w:val="00800E12"/>
    <w:rsid w:val="00801053"/>
    <w:rsid w:val="0080610F"/>
    <w:rsid w:val="008153D5"/>
    <w:rsid w:val="00823CA9"/>
    <w:rsid w:val="008403A0"/>
    <w:rsid w:val="0084652E"/>
    <w:rsid w:val="00860346"/>
    <w:rsid w:val="00870113"/>
    <w:rsid w:val="00873F09"/>
    <w:rsid w:val="0089621F"/>
    <w:rsid w:val="008C0BE7"/>
    <w:rsid w:val="008D094B"/>
    <w:rsid w:val="008F2ED3"/>
    <w:rsid w:val="008F5993"/>
    <w:rsid w:val="008F7C45"/>
    <w:rsid w:val="00902581"/>
    <w:rsid w:val="00912013"/>
    <w:rsid w:val="00925E61"/>
    <w:rsid w:val="00946EF5"/>
    <w:rsid w:val="00965965"/>
    <w:rsid w:val="0099177F"/>
    <w:rsid w:val="00995789"/>
    <w:rsid w:val="009B2EF0"/>
    <w:rsid w:val="009D3518"/>
    <w:rsid w:val="009E6F9C"/>
    <w:rsid w:val="009F6CAB"/>
    <w:rsid w:val="009F7A2C"/>
    <w:rsid w:val="00A047F0"/>
    <w:rsid w:val="00A161FC"/>
    <w:rsid w:val="00A37098"/>
    <w:rsid w:val="00A61746"/>
    <w:rsid w:val="00A765E9"/>
    <w:rsid w:val="00A865ED"/>
    <w:rsid w:val="00A914C6"/>
    <w:rsid w:val="00AB48E9"/>
    <w:rsid w:val="00AC005D"/>
    <w:rsid w:val="00AC3B26"/>
    <w:rsid w:val="00AC625F"/>
    <w:rsid w:val="00AC6F95"/>
    <w:rsid w:val="00AE1AFA"/>
    <w:rsid w:val="00AE67A6"/>
    <w:rsid w:val="00AF7468"/>
    <w:rsid w:val="00B015CE"/>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C0406D"/>
    <w:rsid w:val="00C1098B"/>
    <w:rsid w:val="00C15054"/>
    <w:rsid w:val="00C36A51"/>
    <w:rsid w:val="00C63818"/>
    <w:rsid w:val="00C82348"/>
    <w:rsid w:val="00CD153F"/>
    <w:rsid w:val="00CD2230"/>
    <w:rsid w:val="00CD50E0"/>
    <w:rsid w:val="00D04B4C"/>
    <w:rsid w:val="00D3029F"/>
    <w:rsid w:val="00D324D9"/>
    <w:rsid w:val="00D356C1"/>
    <w:rsid w:val="00D41788"/>
    <w:rsid w:val="00D45ED1"/>
    <w:rsid w:val="00D56E82"/>
    <w:rsid w:val="00D94396"/>
    <w:rsid w:val="00D97FEA"/>
    <w:rsid w:val="00DB6ED1"/>
    <w:rsid w:val="00DC1928"/>
    <w:rsid w:val="00DF1EA0"/>
    <w:rsid w:val="00DF5062"/>
    <w:rsid w:val="00E02FC1"/>
    <w:rsid w:val="00E0581E"/>
    <w:rsid w:val="00E1130A"/>
    <w:rsid w:val="00E22081"/>
    <w:rsid w:val="00E4264C"/>
    <w:rsid w:val="00E52775"/>
    <w:rsid w:val="00E73399"/>
    <w:rsid w:val="00E74CB1"/>
    <w:rsid w:val="00E7573D"/>
    <w:rsid w:val="00E821CF"/>
    <w:rsid w:val="00E85911"/>
    <w:rsid w:val="00E931F1"/>
    <w:rsid w:val="00F072C1"/>
    <w:rsid w:val="00F07693"/>
    <w:rsid w:val="00F10369"/>
    <w:rsid w:val="00F17DEA"/>
    <w:rsid w:val="00F35137"/>
    <w:rsid w:val="00F43286"/>
    <w:rsid w:val="00F53355"/>
    <w:rsid w:val="00F57DCD"/>
    <w:rsid w:val="00F9789E"/>
    <w:rsid w:val="00FB00E1"/>
    <w:rsid w:val="00FC1111"/>
    <w:rsid w:val="00FC3BB8"/>
    <w:rsid w:val="00FE1B41"/>
    <w:rsid w:val="00FF21F2"/>
    <w:rsid w:val="00FF339E"/>
    <w:rsid w:val="00FF47AD"/>
    <w:rsid w:val="00FF698C"/>
    <w:rsid w:val="017E6156"/>
    <w:rsid w:val="023A1B5A"/>
    <w:rsid w:val="025C61E7"/>
    <w:rsid w:val="02C80F58"/>
    <w:rsid w:val="03580109"/>
    <w:rsid w:val="03DB0FA7"/>
    <w:rsid w:val="05453EAB"/>
    <w:rsid w:val="077A6F9D"/>
    <w:rsid w:val="08754A25"/>
    <w:rsid w:val="08D16A41"/>
    <w:rsid w:val="0A5D1DCF"/>
    <w:rsid w:val="0B7E74F7"/>
    <w:rsid w:val="0BB35A1E"/>
    <w:rsid w:val="0BCD4796"/>
    <w:rsid w:val="0D0F12A3"/>
    <w:rsid w:val="0DA55E36"/>
    <w:rsid w:val="0E7019A5"/>
    <w:rsid w:val="0F1A64E0"/>
    <w:rsid w:val="10022AD1"/>
    <w:rsid w:val="10354EF6"/>
    <w:rsid w:val="128E47CA"/>
    <w:rsid w:val="13086650"/>
    <w:rsid w:val="13827C50"/>
    <w:rsid w:val="14470498"/>
    <w:rsid w:val="15EF3AF7"/>
    <w:rsid w:val="172C266D"/>
    <w:rsid w:val="18DA7F9E"/>
    <w:rsid w:val="19BE22CF"/>
    <w:rsid w:val="1A293A7B"/>
    <w:rsid w:val="1A2A6C94"/>
    <w:rsid w:val="1A994EDE"/>
    <w:rsid w:val="1B7304B5"/>
    <w:rsid w:val="1BC72B84"/>
    <w:rsid w:val="1D4B0C3A"/>
    <w:rsid w:val="1D6F5C49"/>
    <w:rsid w:val="1E164317"/>
    <w:rsid w:val="205B0707"/>
    <w:rsid w:val="206A6B9C"/>
    <w:rsid w:val="20F440DD"/>
    <w:rsid w:val="21876D23"/>
    <w:rsid w:val="23040ECE"/>
    <w:rsid w:val="24181502"/>
    <w:rsid w:val="25E55749"/>
    <w:rsid w:val="26CB521C"/>
    <w:rsid w:val="27BD3EC2"/>
    <w:rsid w:val="29A21A89"/>
    <w:rsid w:val="2A4B2A00"/>
    <w:rsid w:val="2B7D5378"/>
    <w:rsid w:val="2B9D4766"/>
    <w:rsid w:val="2C901314"/>
    <w:rsid w:val="2D3E058D"/>
    <w:rsid w:val="2D662A04"/>
    <w:rsid w:val="2DA73141"/>
    <w:rsid w:val="2E7447BF"/>
    <w:rsid w:val="2F2C1D96"/>
    <w:rsid w:val="302C2D38"/>
    <w:rsid w:val="327E0B21"/>
    <w:rsid w:val="33ED1616"/>
    <w:rsid w:val="35562C81"/>
    <w:rsid w:val="35DB616D"/>
    <w:rsid w:val="36C5016B"/>
    <w:rsid w:val="37154E06"/>
    <w:rsid w:val="39964817"/>
    <w:rsid w:val="3A0175E5"/>
    <w:rsid w:val="3A2E59CB"/>
    <w:rsid w:val="3A324A06"/>
    <w:rsid w:val="3B07350D"/>
    <w:rsid w:val="3E5B0252"/>
    <w:rsid w:val="3FC849C8"/>
    <w:rsid w:val="40D84160"/>
    <w:rsid w:val="40FA31CC"/>
    <w:rsid w:val="41247C36"/>
    <w:rsid w:val="41B85A41"/>
    <w:rsid w:val="41E023C2"/>
    <w:rsid w:val="41EB78A8"/>
    <w:rsid w:val="426F546C"/>
    <w:rsid w:val="43F36ADE"/>
    <w:rsid w:val="43F65569"/>
    <w:rsid w:val="44642874"/>
    <w:rsid w:val="44AA684F"/>
    <w:rsid w:val="44BA5646"/>
    <w:rsid w:val="462A4554"/>
    <w:rsid w:val="47794535"/>
    <w:rsid w:val="47FA0D0E"/>
    <w:rsid w:val="48F54724"/>
    <w:rsid w:val="49957F36"/>
    <w:rsid w:val="49B47D52"/>
    <w:rsid w:val="4A1A5872"/>
    <w:rsid w:val="4A403251"/>
    <w:rsid w:val="4A431F5B"/>
    <w:rsid w:val="4A8172DE"/>
    <w:rsid w:val="4AB76F09"/>
    <w:rsid w:val="4B00189E"/>
    <w:rsid w:val="4C0A4C0B"/>
    <w:rsid w:val="4C213D03"/>
    <w:rsid w:val="4E2E49FF"/>
    <w:rsid w:val="4F8634B8"/>
    <w:rsid w:val="4FAF6015"/>
    <w:rsid w:val="514D5499"/>
    <w:rsid w:val="515C1C81"/>
    <w:rsid w:val="52877104"/>
    <w:rsid w:val="528A034C"/>
    <w:rsid w:val="53395AAD"/>
    <w:rsid w:val="54BE2DDF"/>
    <w:rsid w:val="55F14141"/>
    <w:rsid w:val="56F35E67"/>
    <w:rsid w:val="5D0E17BE"/>
    <w:rsid w:val="5DB3578E"/>
    <w:rsid w:val="5DE577B3"/>
    <w:rsid w:val="5E32544C"/>
    <w:rsid w:val="5EB17190"/>
    <w:rsid w:val="5FAA7120"/>
    <w:rsid w:val="5FFD059A"/>
    <w:rsid w:val="604218CA"/>
    <w:rsid w:val="60996106"/>
    <w:rsid w:val="611B6B1B"/>
    <w:rsid w:val="61F7577D"/>
    <w:rsid w:val="62854031"/>
    <w:rsid w:val="632324F3"/>
    <w:rsid w:val="64AC465A"/>
    <w:rsid w:val="657879C3"/>
    <w:rsid w:val="663A31CF"/>
    <w:rsid w:val="669E0497"/>
    <w:rsid w:val="67537B81"/>
    <w:rsid w:val="6B0E76DE"/>
    <w:rsid w:val="6C281AD4"/>
    <w:rsid w:val="6E38322D"/>
    <w:rsid w:val="6F06705D"/>
    <w:rsid w:val="6F324E4B"/>
    <w:rsid w:val="6FF675CE"/>
    <w:rsid w:val="71E03B95"/>
    <w:rsid w:val="72BD77F9"/>
    <w:rsid w:val="72EB2034"/>
    <w:rsid w:val="732B70FF"/>
    <w:rsid w:val="765125F5"/>
    <w:rsid w:val="76F67C8F"/>
    <w:rsid w:val="77EE068E"/>
    <w:rsid w:val="798A0E33"/>
    <w:rsid w:val="7BD219B7"/>
    <w:rsid w:val="7CB52F6E"/>
    <w:rsid w:val="7DB33A33"/>
    <w:rsid w:val="7E2F4A6C"/>
    <w:rsid w:val="7F595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Plain Text"/>
    <w:basedOn w:val="1"/>
    <w:link w:val="11"/>
    <w:qFormat/>
    <w:uiPriority w:val="0"/>
    <w:rPr>
      <w:rFonts w:ascii="宋体" w:hAnsi="Courier New" w:cstheme="minorBidi"/>
      <w:szCs w:val="22"/>
    </w:rPr>
  </w:style>
  <w:style w:type="paragraph" w:styleId="4">
    <w:name w:val="Balloon Text"/>
    <w:basedOn w:val="1"/>
    <w:link w:val="19"/>
    <w:semiHidden/>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link w:val="13"/>
    <w:qFormat/>
    <w:uiPriority w:val="0"/>
    <w:pPr>
      <w:spacing w:before="240" w:after="60"/>
      <w:jc w:val="center"/>
      <w:outlineLvl w:val="0"/>
    </w:pPr>
    <w:rPr>
      <w:rFonts w:ascii="Arial" w:hAnsi="Arial" w:cs="Arial"/>
      <w:b/>
      <w:bCs/>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纯文本 字符"/>
    <w:link w:val="3"/>
    <w:qFormat/>
    <w:uiPriority w:val="0"/>
    <w:rPr>
      <w:rFonts w:ascii="宋体" w:hAnsi="Courier New" w:eastAsia="宋体"/>
    </w:rPr>
  </w:style>
  <w:style w:type="character" w:customStyle="1" w:styleId="12">
    <w:name w:val="页脚 字符"/>
    <w:link w:val="5"/>
    <w:qFormat/>
    <w:uiPriority w:val="0"/>
    <w:rPr>
      <w:sz w:val="18"/>
    </w:rPr>
  </w:style>
  <w:style w:type="character" w:customStyle="1" w:styleId="13">
    <w:name w:val="标题 字符"/>
    <w:link w:val="7"/>
    <w:qFormat/>
    <w:uiPriority w:val="0"/>
    <w:rPr>
      <w:rFonts w:ascii="Arial" w:hAnsi="Arial" w:eastAsia="宋体" w:cs="Arial"/>
      <w:b/>
      <w:bCs/>
      <w:sz w:val="32"/>
      <w:szCs w:val="32"/>
    </w:rPr>
  </w:style>
  <w:style w:type="character" w:customStyle="1" w:styleId="14">
    <w:name w:val="页脚 Char"/>
    <w:basedOn w:val="10"/>
    <w:semiHidden/>
    <w:qFormat/>
    <w:uiPriority w:val="99"/>
    <w:rPr>
      <w:rFonts w:ascii="Times New Roman" w:hAnsi="Times New Roman" w:eastAsia="宋体" w:cs="Times New Roman"/>
      <w:sz w:val="18"/>
      <w:szCs w:val="18"/>
    </w:rPr>
  </w:style>
  <w:style w:type="character" w:customStyle="1" w:styleId="15">
    <w:name w:val="标题 Char"/>
    <w:basedOn w:val="10"/>
    <w:qFormat/>
    <w:uiPriority w:val="10"/>
    <w:rPr>
      <w:rFonts w:eastAsia="宋体" w:asciiTheme="majorHAnsi" w:hAnsiTheme="majorHAnsi" w:cstheme="majorBidi"/>
      <w:b/>
      <w:bCs/>
      <w:sz w:val="32"/>
      <w:szCs w:val="32"/>
    </w:rPr>
  </w:style>
  <w:style w:type="character" w:customStyle="1" w:styleId="16">
    <w:name w:val="纯文本 Char"/>
    <w:basedOn w:val="10"/>
    <w:semiHidden/>
    <w:qFormat/>
    <w:uiPriority w:val="99"/>
    <w:rPr>
      <w:rFonts w:ascii="宋体" w:hAnsi="Courier New" w:eastAsia="宋体" w:cs="Courier New"/>
      <w:szCs w:val="21"/>
    </w:rPr>
  </w:style>
  <w:style w:type="character" w:customStyle="1" w:styleId="17">
    <w:name w:val="页眉 字符"/>
    <w:basedOn w:val="10"/>
    <w:link w:val="6"/>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批注框文本 字符"/>
    <w:basedOn w:val="10"/>
    <w:link w:val="4"/>
    <w:semiHidden/>
    <w:qFormat/>
    <w:uiPriority w:val="99"/>
    <w:rPr>
      <w:rFonts w:ascii="Times New Roman" w:hAnsi="Times New Roman" w:eastAsia="宋体" w:cs="Times New Roman"/>
      <w:sz w:val="18"/>
      <w:szCs w:val="18"/>
    </w:rPr>
  </w:style>
  <w:style w:type="paragraph" w:customStyle="1" w:styleId="20">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paragraph" w:customStyle="1" w:styleId="21">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1204</Words>
  <Characters>1236</Characters>
  <Lines>43</Lines>
  <Paragraphs>12</Paragraphs>
  <TotalTime>5</TotalTime>
  <ScaleCrop>false</ScaleCrop>
  <LinksUpToDate>false</LinksUpToDate>
  <CharactersWithSpaces>1329</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2025-07-16T09:34:00Z</dcterms:created>
  <dc:creator>User</dc:creator>
  <cp:lastModifiedBy>ddhong</cp:lastModifiedBy>
  <dcterms:modified xsi:type="dcterms:W3CDTF">2025-08-15T05:05:43Z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C60FB65C1E3C45E7B6E08F3E2BE7EF2E_13</vt:lpwstr>
  </property>
  <property fmtid="{D5CDD505-2E9C-101B-9397-08002B2CF9AE}" pid="4" name="KSOTemplateDocerSaveRecord">
    <vt:lpwstr>eyJoZGlkIjoiYzA0NWI4ZGRlODQ4OGI2Yjk4Njk4NGJlNTE4YTkwMGIiLCJ1c2VySWQiOiI0MTQxNTY0NzMifQ==</vt:lpwstr>
  </property>
</Properties>
</file>