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7"/>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【半导体参数分析仪】采购需求</w:t>
      </w:r>
      <w:bookmarkEnd w:id="0"/>
    </w:p>
    <w:p w14:paraId="77C2D7A7">
      <w:pPr>
        <w:tabs>
          <w:tab w:val="left" w:pos="900"/>
        </w:tabs>
        <w:adjustRightInd w:val="0"/>
        <w:snapToGrid w:val="0"/>
        <w:spacing w:line="360" w:lineRule="auto"/>
        <w:ind w:firstLine="422" w:firstLineChars="200"/>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E2A566C">
      <w:pPr>
        <w:adjustRightInd w:val="0"/>
        <w:snapToGrid w:val="0"/>
        <w:spacing w:line="360" w:lineRule="auto"/>
        <w:ind w:firstLine="420" w:firstLineChars="200"/>
        <w:rPr>
          <w:rFonts w:hAnsi="宋体"/>
        </w:rPr>
      </w:pPr>
      <w:r>
        <w:rPr>
          <w:rFonts w:hint="eastAsia" w:hAnsi="宋体"/>
        </w:rPr>
        <w:t>本项目采购半导体参数分析仪1套，主要用于对器件、材料、半导体、有源/无源元件以及任意电气器件进行各种电气表征和评测，要求实现亚fA量级电流测量，对材料在不同偏置电压条件下的电容特性进行分析表征，实现对薄膜介电性能和电阻特性的精确分析。</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sym w:font="Wingdings 2" w:char="F052"/>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D759371">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半导体参数分析仪</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700000     </w:t>
      </w:r>
      <w:r>
        <w:rPr>
          <w:rFonts w:hint="eastAsia" w:hAnsi="宋体"/>
          <w:szCs w:val="21"/>
        </w:rPr>
        <w:t>元（大写：</w:t>
      </w:r>
      <w:r>
        <w:rPr>
          <w:rFonts w:hAnsi="宋体"/>
          <w:szCs w:val="21"/>
          <w:u w:val="single"/>
        </w:rPr>
        <w:t xml:space="preserve">           柒拾万元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lang w:val="en-US" w:eastAsia="zh-CN"/>
        </w:rPr>
        <w:t>6</w:t>
      </w:r>
      <w:r>
        <w:rPr>
          <w:rFonts w:hAnsi="宋体"/>
          <w:szCs w:val="21"/>
          <w:u w:val="single"/>
        </w:rPr>
        <w:t xml:space="preserve">0                       </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西安交通大学创新港校区四号巨构2</w:t>
      </w:r>
      <w:r>
        <w:rPr>
          <w:rFonts w:hAnsi="宋体"/>
          <w:szCs w:val="21"/>
          <w:u w:val="single"/>
        </w:rPr>
        <w:t>089</w:t>
      </w:r>
      <w:r>
        <w:rPr>
          <w:rFonts w:hint="eastAsia" w:hAnsi="宋体"/>
          <w:szCs w:val="21"/>
          <w:u w:val="single"/>
        </w:rPr>
        <w:t>室</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hAnsi="宋体"/>
          <w:szCs w:val="21"/>
        </w:rPr>
        <w:sym w:font="Wingdings 2" w:char="F052"/>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1702D357">
      <w:pPr>
        <w:spacing w:before="156" w:beforeLines="50" w:line="360" w:lineRule="auto"/>
        <w:ind w:firstLine="420" w:firstLineChars="200"/>
        <w:rPr>
          <w:szCs w:val="21"/>
        </w:rPr>
      </w:pPr>
      <w:r>
        <w:rPr>
          <w:rFonts w:hint="eastAsia"/>
          <w:szCs w:val="21"/>
        </w:rPr>
        <w:t>具体的性能参数要求如下（</w:t>
      </w:r>
      <w:r>
        <w:rPr>
          <w:rFonts w:hint="eastAsia" w:ascii="宋体" w:hAnsi="宋体" w:cs="宋体"/>
          <w:szCs w:val="21"/>
        </w:rPr>
        <w:t>★表示必须满足需求</w:t>
      </w:r>
      <w:r>
        <w:rPr>
          <w:rFonts w:hint="eastAsia"/>
          <w:szCs w:val="21"/>
        </w:rPr>
        <w:t>）：</w:t>
      </w:r>
    </w:p>
    <w:tbl>
      <w:tblPr>
        <w:tblStyle w:val="2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5105"/>
        <w:gridCol w:w="1834"/>
      </w:tblGrid>
      <w:tr w14:paraId="60D6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14:paraId="58F4F11F">
            <w:pPr>
              <w:jc w:val="center"/>
              <w:rPr>
                <w:rFonts w:ascii="宋体" w:hAnsi="宋体" w:cs="宋体"/>
                <w:b/>
                <w:bCs/>
                <w:szCs w:val="21"/>
              </w:rPr>
            </w:pPr>
            <w:r>
              <w:rPr>
                <w:rFonts w:hint="eastAsia" w:ascii="宋体" w:hAnsi="宋体" w:cs="宋体"/>
                <w:b/>
                <w:bCs/>
                <w:szCs w:val="21"/>
              </w:rPr>
              <w:t>名称</w:t>
            </w:r>
          </w:p>
        </w:tc>
        <w:tc>
          <w:tcPr>
            <w:tcW w:w="5105" w:type="dxa"/>
          </w:tcPr>
          <w:p w14:paraId="47D30548">
            <w:pPr>
              <w:jc w:val="center"/>
              <w:rPr>
                <w:rFonts w:ascii="宋体" w:hAnsi="宋体" w:cs="宋体"/>
                <w:b/>
                <w:bCs/>
                <w:szCs w:val="21"/>
              </w:rPr>
            </w:pPr>
            <w:r>
              <w:rPr>
                <w:rFonts w:hint="eastAsia" w:ascii="宋体" w:hAnsi="宋体" w:cs="宋体"/>
                <w:b/>
                <w:bCs/>
                <w:szCs w:val="21"/>
              </w:rPr>
              <w:t>规格参数</w:t>
            </w:r>
          </w:p>
        </w:tc>
        <w:tc>
          <w:tcPr>
            <w:tcW w:w="1834" w:type="dxa"/>
          </w:tcPr>
          <w:p w14:paraId="057E7EE4">
            <w:pPr>
              <w:jc w:val="center"/>
              <w:rPr>
                <w:rFonts w:ascii="宋体" w:hAnsi="宋体" w:cs="宋体"/>
                <w:b/>
                <w:bCs/>
                <w:szCs w:val="21"/>
              </w:rPr>
            </w:pPr>
            <w:r>
              <w:rPr>
                <w:rFonts w:hint="eastAsia" w:ascii="宋体" w:hAnsi="宋体" w:cs="宋体"/>
                <w:b/>
                <w:bCs/>
                <w:szCs w:val="21"/>
              </w:rPr>
              <w:t>备注</w:t>
            </w:r>
          </w:p>
        </w:tc>
      </w:tr>
      <w:tr w14:paraId="052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52931758">
            <w:pPr>
              <w:jc w:val="center"/>
              <w:rPr>
                <w:rFonts w:ascii="宋体" w:hAnsi="宋体" w:cs="宋体"/>
                <w:szCs w:val="21"/>
              </w:rPr>
            </w:pPr>
            <w:r>
              <w:rPr>
                <w:rFonts w:hint="eastAsia" w:ascii="宋体" w:hAnsi="宋体" w:cs="宋体"/>
                <w:szCs w:val="21"/>
              </w:rPr>
              <w:t>半导体特性分析仪</w:t>
            </w:r>
          </w:p>
        </w:tc>
        <w:tc>
          <w:tcPr>
            <w:tcW w:w="5105" w:type="dxa"/>
            <w:vAlign w:val="center"/>
          </w:tcPr>
          <w:p w14:paraId="6FF37896">
            <w:pPr>
              <w:jc w:val="left"/>
              <w:rPr>
                <w:rFonts w:ascii="宋体" w:hAnsi="宋体" w:cs="宋体"/>
                <w:szCs w:val="21"/>
              </w:rPr>
            </w:pPr>
            <w:r>
              <w:rPr>
                <w:rFonts w:hint="eastAsia" w:ascii="宋体" w:hAnsi="宋体" w:cs="宋体"/>
                <w:szCs w:val="21"/>
              </w:rPr>
              <w:t>1）★最大电压源输出：≥210V；</w:t>
            </w:r>
          </w:p>
          <w:p w14:paraId="6A6608BA">
            <w:pPr>
              <w:jc w:val="left"/>
              <w:rPr>
                <w:rFonts w:ascii="宋体" w:hAnsi="宋体" w:cs="宋体"/>
                <w:szCs w:val="21"/>
              </w:rPr>
            </w:pPr>
            <w:r>
              <w:rPr>
                <w:rFonts w:hint="eastAsia" w:ascii="宋体" w:hAnsi="宋体" w:cs="宋体"/>
                <w:szCs w:val="21"/>
              </w:rPr>
              <w:t>2）最大电流输出：≥100mA；</w:t>
            </w:r>
          </w:p>
          <w:p w14:paraId="6769B9AF">
            <w:pPr>
              <w:jc w:val="left"/>
              <w:rPr>
                <w:rFonts w:ascii="宋体" w:hAnsi="宋体" w:cs="宋体"/>
                <w:szCs w:val="21"/>
              </w:rPr>
            </w:pPr>
            <w:r>
              <w:rPr>
                <w:rFonts w:hint="eastAsia" w:ascii="宋体" w:hAnsi="宋体" w:cs="宋体"/>
                <w:szCs w:val="21"/>
              </w:rPr>
              <w:t>3）电压测量范围：1μV-200V；</w:t>
            </w:r>
          </w:p>
          <w:p w14:paraId="5E0560EA">
            <w:pPr>
              <w:jc w:val="left"/>
              <w:rPr>
                <w:rFonts w:ascii="宋体" w:hAnsi="宋体" w:cs="宋体"/>
                <w:szCs w:val="21"/>
              </w:rPr>
            </w:pPr>
            <w:r>
              <w:rPr>
                <w:rFonts w:hint="eastAsia" w:ascii="宋体" w:hAnsi="宋体" w:cs="宋体"/>
                <w:szCs w:val="21"/>
              </w:rPr>
              <w:t>4）★电压源设定最小分辨率：≤5μV；</w:t>
            </w:r>
          </w:p>
          <w:p w14:paraId="0F63D1E5">
            <w:pPr>
              <w:jc w:val="left"/>
              <w:rPr>
                <w:rFonts w:ascii="宋体" w:hAnsi="宋体" w:cs="宋体"/>
                <w:szCs w:val="21"/>
              </w:rPr>
            </w:pPr>
            <w:r>
              <w:rPr>
                <w:rFonts w:hint="eastAsia" w:ascii="宋体" w:hAnsi="宋体" w:cs="宋体"/>
                <w:szCs w:val="21"/>
              </w:rPr>
              <w:t>5）电流测量范围：0-100mA；</w:t>
            </w:r>
          </w:p>
          <w:p w14:paraId="0377EC5A">
            <w:pPr>
              <w:jc w:val="left"/>
              <w:rPr>
                <w:rFonts w:ascii="宋体" w:hAnsi="宋体" w:cs="宋体"/>
                <w:szCs w:val="21"/>
              </w:rPr>
            </w:pPr>
            <w:r>
              <w:rPr>
                <w:rFonts w:hint="eastAsia" w:ascii="宋体" w:hAnsi="宋体" w:cs="宋体"/>
                <w:szCs w:val="21"/>
              </w:rPr>
              <w:t>6）★电流源设定最小分辨率：≤1.5fA；</w:t>
            </w:r>
          </w:p>
          <w:p w14:paraId="2AB2E7FA">
            <w:pPr>
              <w:jc w:val="left"/>
              <w:rPr>
                <w:rFonts w:ascii="宋体" w:hAnsi="宋体" w:cs="宋体"/>
                <w:szCs w:val="21"/>
              </w:rPr>
            </w:pPr>
            <w:r>
              <w:rPr>
                <w:rFonts w:hint="eastAsia" w:ascii="宋体" w:hAnsi="宋体" w:cs="宋体"/>
                <w:szCs w:val="21"/>
              </w:rPr>
              <w:t>7）★电流测量最小分辨率：≤0.01fA；</w:t>
            </w:r>
          </w:p>
          <w:p w14:paraId="2C7A2CE6">
            <w:pPr>
              <w:jc w:val="left"/>
              <w:rPr>
                <w:rFonts w:ascii="宋体" w:hAnsi="宋体" w:cs="宋体"/>
                <w:szCs w:val="21"/>
              </w:rPr>
            </w:pPr>
            <w:r>
              <w:rPr>
                <w:rFonts w:hint="eastAsia" w:ascii="宋体" w:hAnsi="宋体" w:cs="宋体"/>
                <w:szCs w:val="21"/>
              </w:rPr>
              <w:t>8）★C-V参数测量频率：1KHz-10MHz变频；</w:t>
            </w:r>
          </w:p>
          <w:p w14:paraId="66194D8B">
            <w:pPr>
              <w:jc w:val="left"/>
              <w:rPr>
                <w:rFonts w:ascii="宋体" w:hAnsi="宋体" w:cs="宋体"/>
                <w:szCs w:val="21"/>
              </w:rPr>
            </w:pPr>
            <w:r>
              <w:rPr>
                <w:rFonts w:hint="eastAsia" w:ascii="宋体" w:hAnsi="宋体" w:cs="宋体"/>
                <w:szCs w:val="21"/>
              </w:rPr>
              <w:t>9）电流测量精度：≤10fA；</w:t>
            </w:r>
          </w:p>
          <w:p w14:paraId="73C0AD1A">
            <w:pPr>
              <w:jc w:val="left"/>
              <w:rPr>
                <w:rFonts w:ascii="宋体" w:hAnsi="宋体" w:cs="宋体"/>
                <w:szCs w:val="21"/>
              </w:rPr>
            </w:pPr>
            <w:r>
              <w:rPr>
                <w:rFonts w:hint="eastAsia" w:ascii="宋体" w:hAnsi="宋体" w:cs="宋体"/>
                <w:szCs w:val="21"/>
              </w:rPr>
              <w:t>10）C-V测量偏置电压：≥±30V；</w:t>
            </w:r>
          </w:p>
          <w:p w14:paraId="41BDB5F5">
            <w:pPr>
              <w:jc w:val="left"/>
              <w:rPr>
                <w:rFonts w:ascii="宋体" w:hAnsi="宋体" w:cs="宋体"/>
                <w:szCs w:val="21"/>
              </w:rPr>
            </w:pPr>
            <w:r>
              <w:rPr>
                <w:rFonts w:hint="eastAsia" w:ascii="宋体" w:hAnsi="宋体" w:cs="宋体"/>
                <w:szCs w:val="21"/>
              </w:rPr>
              <w:t>11）设备环境温度：23℃±5℃，相对湿度 5%-60%；</w:t>
            </w:r>
          </w:p>
          <w:p w14:paraId="25FA470E">
            <w:pPr>
              <w:jc w:val="left"/>
              <w:rPr>
                <w:rFonts w:ascii="宋体" w:hAnsi="宋体" w:cs="宋体"/>
                <w:szCs w:val="21"/>
              </w:rPr>
            </w:pPr>
            <w:r>
              <w:rPr>
                <w:rFonts w:hint="eastAsia" w:ascii="宋体" w:hAnsi="宋体" w:cs="宋体"/>
                <w:szCs w:val="21"/>
              </w:rPr>
              <w:t>12）软件：提供统一测量界面，引导完成复杂的特性分析测试，可通过GPIB 总线从外部计算机控制，提供诊断工具，标配用户界面软件，在嵌入式Windows7操作系统上运行，支持创建及数据库集成，支持外部配置，仪器系统自检；</w:t>
            </w:r>
          </w:p>
          <w:p w14:paraId="0D84AFC4">
            <w:pPr>
              <w:jc w:val="left"/>
              <w:rPr>
                <w:rFonts w:ascii="宋体" w:hAnsi="宋体" w:cs="宋体"/>
                <w:szCs w:val="21"/>
              </w:rPr>
            </w:pPr>
            <w:r>
              <w:rPr>
                <w:rFonts w:hint="eastAsia" w:ascii="宋体" w:hAnsi="宋体" w:cs="宋体"/>
                <w:szCs w:val="21"/>
              </w:rPr>
              <w:t>13）系统扩展性：半导体特性分析系统后面板具有不少于9个基于PCI总线的插槽，用于插入核心测量部件—SMU，插槽的设计采用竖型插入方式，这样可以最大程度地进行系统散热；</w:t>
            </w:r>
          </w:p>
          <w:p w14:paraId="3657B737">
            <w:pPr>
              <w:jc w:val="left"/>
              <w:rPr>
                <w:rFonts w:ascii="宋体" w:hAnsi="宋体" w:cs="宋体"/>
                <w:szCs w:val="21"/>
              </w:rPr>
            </w:pPr>
            <w:r>
              <w:rPr>
                <w:rFonts w:hint="eastAsia" w:ascii="宋体" w:hAnsi="宋体" w:cs="宋体"/>
                <w:szCs w:val="21"/>
              </w:rPr>
              <w:t>14）★系统配置：一台主机（PARAMETER ANALYZER MAINFRAME参数分析仪主机） + 两个源测量单元（MEDIUM POWER SOURCE-MEASURE UNIT中等功率源测量单元模块）+电容电压测试单元（CAPACITANCE-VOLTAGE UNIT高分辨率多频率C-V 单元）+两个放大单元（REMOTE PREAMPLIFIER MODULE远程前端放大器模块,可扩展至0.1 fA 分辨率）。</w:t>
            </w:r>
          </w:p>
        </w:tc>
        <w:tc>
          <w:tcPr>
            <w:tcW w:w="1834" w:type="dxa"/>
            <w:vAlign w:val="center"/>
          </w:tcPr>
          <w:p w14:paraId="5E1C779E">
            <w:pPr>
              <w:jc w:val="center"/>
              <w:rPr>
                <w:rFonts w:ascii="宋体" w:hAnsi="宋体" w:cs="宋体"/>
                <w:szCs w:val="21"/>
              </w:rPr>
            </w:pPr>
          </w:p>
        </w:tc>
      </w:tr>
    </w:tbl>
    <w:p w14:paraId="573833F7">
      <w:pPr>
        <w:tabs>
          <w:tab w:val="left" w:pos="900"/>
        </w:tabs>
        <w:adjustRightInd w:val="0"/>
        <w:snapToGrid w:val="0"/>
        <w:spacing w:line="360" w:lineRule="auto"/>
        <w:ind w:firstLine="420" w:firstLineChars="200"/>
        <w:rPr>
          <w:rFonts w:ascii="宋体" w:hAnsi="宋体" w:cs="宋体"/>
          <w:szCs w:val="21"/>
        </w:rPr>
      </w:pPr>
      <w:bookmarkStart w:id="5" w:name="OLE_LINK9"/>
      <w:r>
        <w:rPr>
          <w:rFonts w:ascii="宋体" w:hAnsi="宋体" w:cs="宋体"/>
          <w:szCs w:val="21"/>
        </w:rPr>
        <w:t>标注</w:t>
      </w:r>
      <w:bookmarkStart w:id="6" w:name="OLE_LINK10"/>
      <w:r>
        <w:rPr>
          <w:rFonts w:ascii="宋体" w:hAnsi="宋体" w:cs="宋体"/>
          <w:szCs w:val="21"/>
        </w:rPr>
        <w:t>“</w:t>
      </w:r>
      <w:r>
        <w:rPr>
          <w:rFonts w:hint="eastAsia" w:ascii="宋体" w:hAnsi="宋体" w:cs="宋体"/>
          <w:szCs w:val="21"/>
        </w:rPr>
        <w:t>★</w:t>
      </w:r>
      <w:r>
        <w:rPr>
          <w:rFonts w:ascii="宋体" w:hAnsi="宋体" w:cs="宋体"/>
          <w:szCs w:val="21"/>
        </w:rPr>
        <w:t>”</w:t>
      </w:r>
      <w:bookmarkEnd w:id="6"/>
      <w:r>
        <w:rPr>
          <w:rFonts w:ascii="宋体" w:hAnsi="宋体" w:cs="宋体"/>
          <w:szCs w:val="21"/>
        </w:rPr>
        <w:t>的技术参数为</w:t>
      </w:r>
      <w:r>
        <w:rPr>
          <w:rFonts w:hint="eastAsia" w:ascii="宋体" w:hAnsi="宋体" w:cs="宋体"/>
          <w:szCs w:val="21"/>
          <w:lang w:val="en-US" w:eastAsia="zh-CN"/>
        </w:rPr>
        <w:t>重要</w:t>
      </w:r>
      <w:r>
        <w:rPr>
          <w:rFonts w:ascii="宋体" w:hAnsi="宋体" w:cs="宋体"/>
          <w:szCs w:val="21"/>
        </w:rPr>
        <w:t>技术指标。</w:t>
      </w:r>
      <w:r>
        <w:rPr>
          <w:rFonts w:hint="eastAsia" w:ascii="宋体" w:hAnsi="宋体" w:cs="宋体"/>
          <w:szCs w:val="21"/>
        </w:rPr>
        <w:t>供应商</w:t>
      </w:r>
      <w:r>
        <w:rPr>
          <w:rFonts w:ascii="宋体" w:hAnsi="宋体" w:cs="宋体"/>
          <w:szCs w:val="21"/>
        </w:rPr>
        <w:t>须完全响应或优于该指标，并提供相应证明材料</w:t>
      </w:r>
      <w:r>
        <w:rPr>
          <w:rFonts w:hint="eastAsia" w:ascii="宋体" w:hAnsi="宋体" w:cs="宋体"/>
          <w:szCs w:val="21"/>
          <w:lang w:eastAsia="zh-CN"/>
        </w:rPr>
        <w:t>，</w:t>
      </w:r>
      <w:r>
        <w:rPr>
          <w:rFonts w:ascii="宋体" w:hAnsi="宋体" w:cs="宋体"/>
          <w:szCs w:val="21"/>
        </w:rPr>
        <w:t>任意一项</w:t>
      </w:r>
      <w:r>
        <w:rPr>
          <w:rFonts w:hint="eastAsia" w:ascii="宋体" w:hAnsi="宋体" w:cs="宋体"/>
          <w:szCs w:val="21"/>
        </w:rPr>
        <w:t>标注</w:t>
      </w:r>
      <w:r>
        <w:rPr>
          <w:rFonts w:ascii="宋体" w:hAnsi="宋体" w:cs="宋体"/>
          <w:szCs w:val="21"/>
        </w:rPr>
        <w:t>“</w:t>
      </w:r>
      <w:r>
        <w:rPr>
          <w:rFonts w:hint="eastAsia" w:ascii="宋体" w:hAnsi="宋体" w:cs="宋体"/>
          <w:szCs w:val="21"/>
        </w:rPr>
        <w:t>★</w:t>
      </w:r>
      <w:r>
        <w:rPr>
          <w:rFonts w:ascii="宋体" w:hAnsi="宋体" w:cs="宋体"/>
          <w:szCs w:val="21"/>
        </w:rPr>
        <w:t>”指标不满足的，其投标</w:t>
      </w:r>
      <w:r>
        <w:rPr>
          <w:rFonts w:hint="eastAsia" w:ascii="宋体" w:hAnsi="宋体" w:cs="宋体"/>
          <w:szCs w:val="21"/>
        </w:rPr>
        <w:t>（响应）</w:t>
      </w:r>
      <w:r>
        <w:rPr>
          <w:rFonts w:ascii="宋体" w:hAnsi="宋体" w:cs="宋体"/>
          <w:szCs w:val="21"/>
        </w:rPr>
        <w:t>文件</w:t>
      </w:r>
      <w:r>
        <w:rPr>
          <w:rFonts w:hint="eastAsia" w:ascii="宋体" w:hAnsi="宋体" w:cs="宋体"/>
          <w:szCs w:val="21"/>
          <w:lang w:val="en-US" w:eastAsia="zh-CN"/>
        </w:rPr>
        <w:t>不被认定为无效投标，按照扣分处理</w:t>
      </w:r>
      <w:r>
        <w:rPr>
          <w:rFonts w:ascii="宋体" w:hAnsi="宋体" w:cs="宋体"/>
          <w:szCs w:val="21"/>
        </w:rPr>
        <w:t>。</w:t>
      </w:r>
      <w:bookmarkEnd w:id="5"/>
    </w:p>
    <w:p w14:paraId="01373CFB">
      <w:pPr>
        <w:tabs>
          <w:tab w:val="left" w:pos="900"/>
        </w:tabs>
        <w:adjustRightInd w:val="0"/>
        <w:snapToGrid w:val="0"/>
        <w:spacing w:line="360" w:lineRule="auto"/>
        <w:ind w:firstLine="422" w:firstLineChars="200"/>
        <w:rPr>
          <w:rFonts w:hAnsi="宋体"/>
          <w:b/>
          <w:szCs w:val="21"/>
        </w:rPr>
      </w:pPr>
      <w:bookmarkStart w:id="10" w:name="_GoBack"/>
      <w:bookmarkEnd w:id="10"/>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1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2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1  </w:t>
      </w:r>
      <w:r>
        <w:rPr>
          <w:rFonts w:ascii="宋体" w:hAnsi="宋体"/>
          <w:szCs w:val="21"/>
        </w:rPr>
        <w:t>名操作人员进行为期至少</w:t>
      </w:r>
      <w:r>
        <w:rPr>
          <w:rFonts w:ascii="宋体" w:hAnsi="宋体"/>
          <w:szCs w:val="21"/>
          <w:u w:val="single"/>
        </w:rPr>
        <w:t xml:space="preserve">   2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087735E4">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（四）供应商提供进口设备的，须在投标（响应）文件中明确外贸合同卖方信息。</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7"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8" w:name="OLE_LINK4"/>
            <w:r>
              <w:rPr>
                <w:rFonts w:hint="eastAsia" w:ascii="宋体" w:hAnsi="宋体"/>
                <w:color w:val="000000"/>
                <w:kern w:val="0"/>
                <w:szCs w:val="21"/>
              </w:rPr>
              <w:t>《技术协议》</w:t>
            </w:r>
            <w:bookmarkEnd w:id="8"/>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hAnsi="宋体"/>
                <w:szCs w:val="21"/>
              </w:rPr>
              <w:sym w:font="Wingdings 2" w:char="F052"/>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hAnsi="宋体"/>
                <w:szCs w:val="21"/>
              </w:rPr>
              <w:sym w:font="Wingdings 2" w:char="F052"/>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9" w:name="OLE_LINK35"/>
            <w:r>
              <w:rPr>
                <w:rFonts w:hint="eastAsia" w:ascii="宋体" w:hAnsi="宋体"/>
                <w:szCs w:val="21"/>
              </w:rPr>
              <w:t>根据项目特点对服务期内的服务履约实施情况进行考核，结合考核情况和服务效果进行验收。验收报告须经国资处备案。</w:t>
            </w:r>
            <w:bookmarkEnd w:id="9"/>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hAnsi="宋体"/>
                <w:szCs w:val="21"/>
              </w:rPr>
              <w:sym w:font="Wingdings 2" w:char="F052"/>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7"/>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388757B-2A37-4F52-98D1-413760ECE70E}"/>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0" w:usb3="00000000" w:csb0="00040000" w:csb1="00000000"/>
    <w:embedRegular r:id="rId2" w:fontKey="{FADD9BBE-E548-431D-B894-DF9538906EFB}"/>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embedRegular r:id="rId3" w:fontKey="{34B7C764-21B1-422D-A97A-42464F79457C}"/>
  </w:font>
  <w:font w:name="楷体">
    <w:panose1 w:val="02010609060101010101"/>
    <w:charset w:val="86"/>
    <w:family w:val="modern"/>
    <w:pitch w:val="default"/>
    <w:sig w:usb0="800002BF" w:usb1="38CF7CFA" w:usb2="00000016" w:usb3="00000000" w:csb0="00040001" w:csb1="00000000"/>
    <w:embedRegular r:id="rId4" w:fontKey="{939764D6-960E-4911-92C6-A49D79D18F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5"/>
      <w:jc w:val="center"/>
    </w:pPr>
    <w:r>
      <w:fldChar w:fldCharType="begin"/>
    </w:r>
    <w:r>
      <w:instrText xml:space="preserve">PAGE   \* MERGEFORMAT</w:instrText>
    </w:r>
    <w:r>
      <w:fldChar w:fldCharType="separate"/>
    </w:r>
    <w:r>
      <w:rPr>
        <w:lang w:val="zh-CN"/>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A7EDB"/>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065FF"/>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44DD"/>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B72B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0670D"/>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267A"/>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50948"/>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73E3A"/>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0374"/>
    <w:rsid w:val="00C23258"/>
    <w:rsid w:val="00C27434"/>
    <w:rsid w:val="00C32ADD"/>
    <w:rsid w:val="00C34505"/>
    <w:rsid w:val="00C35B3B"/>
    <w:rsid w:val="00C36A51"/>
    <w:rsid w:val="00C459CE"/>
    <w:rsid w:val="00C464A0"/>
    <w:rsid w:val="00C479F8"/>
    <w:rsid w:val="00C51CEE"/>
    <w:rsid w:val="00C53AA9"/>
    <w:rsid w:val="00C56D21"/>
    <w:rsid w:val="00C63818"/>
    <w:rsid w:val="00C643DA"/>
    <w:rsid w:val="00C74982"/>
    <w:rsid w:val="00C80129"/>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4794A65"/>
    <w:rsid w:val="1BC72B84"/>
    <w:rsid w:val="4FAF6015"/>
    <w:rsid w:val="65DF08C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Plain Text"/>
    <w:basedOn w:val="1"/>
    <w:link w:val="16"/>
    <w:qFormat/>
    <w:uiPriority w:val="0"/>
    <w:rPr>
      <w:rFonts w:ascii="宋体" w:hAnsi="Courier New" w:cstheme="minorBidi"/>
      <w:szCs w:val="22"/>
    </w:rPr>
  </w:style>
  <w:style w:type="paragraph" w:styleId="4">
    <w:name w:val="Balloon Text"/>
    <w:basedOn w:val="1"/>
    <w:link w:val="24"/>
    <w:semiHidden/>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8"/>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character" w:customStyle="1" w:styleId="16">
    <w:name w:val="纯文本 字符"/>
    <w:link w:val="3"/>
    <w:qFormat/>
    <w:uiPriority w:val="0"/>
    <w:rPr>
      <w:rFonts w:ascii="宋体" w:hAnsi="Courier New" w:eastAsia="宋体"/>
    </w:rPr>
  </w:style>
  <w:style w:type="character" w:customStyle="1" w:styleId="17">
    <w:name w:val="页脚 字符"/>
    <w:link w:val="5"/>
    <w:qFormat/>
    <w:uiPriority w:val="0"/>
    <w:rPr>
      <w:sz w:val="18"/>
    </w:rPr>
  </w:style>
  <w:style w:type="character" w:customStyle="1" w:styleId="18">
    <w:name w:val="标题 字符"/>
    <w:link w:val="7"/>
    <w:qFormat/>
    <w:uiPriority w:val="0"/>
    <w:rPr>
      <w:rFonts w:ascii="Arial" w:hAnsi="Arial" w:eastAsia="宋体" w:cs="Arial"/>
      <w:b/>
      <w:bCs/>
      <w:sz w:val="32"/>
      <w:szCs w:val="32"/>
    </w:rPr>
  </w:style>
  <w:style w:type="character" w:customStyle="1" w:styleId="19">
    <w:name w:val="页脚 Char"/>
    <w:basedOn w:val="11"/>
    <w:semiHidden/>
    <w:qFormat/>
    <w:uiPriority w:val="99"/>
    <w:rPr>
      <w:rFonts w:ascii="Times New Roman" w:hAnsi="Times New Roman" w:eastAsia="宋体" w:cs="Times New Roman"/>
      <w:sz w:val="18"/>
      <w:szCs w:val="18"/>
    </w:rPr>
  </w:style>
  <w:style w:type="character" w:customStyle="1" w:styleId="20">
    <w:name w:val="标题 Char"/>
    <w:basedOn w:val="11"/>
    <w:qFormat/>
    <w:uiPriority w:val="10"/>
    <w:rPr>
      <w:rFonts w:eastAsia="宋体" w:asciiTheme="majorHAnsi" w:hAnsiTheme="majorHAnsi" w:cstheme="majorBidi"/>
      <w:b/>
      <w:bCs/>
      <w:sz w:val="32"/>
      <w:szCs w:val="32"/>
    </w:rPr>
  </w:style>
  <w:style w:type="character" w:customStyle="1" w:styleId="21">
    <w:name w:val="纯文本 Char"/>
    <w:basedOn w:val="11"/>
    <w:semiHidden/>
    <w:qFormat/>
    <w:uiPriority w:val="99"/>
    <w:rPr>
      <w:rFonts w:ascii="宋体" w:hAnsi="Courier New" w:eastAsia="宋体" w:cs="Courier New"/>
      <w:szCs w:val="21"/>
    </w:rPr>
  </w:style>
  <w:style w:type="character" w:customStyle="1" w:styleId="22">
    <w:name w:val="页眉 字符"/>
    <w:basedOn w:val="11"/>
    <w:link w:val="6"/>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4"/>
    <w:semiHidden/>
    <w:qFormat/>
    <w:uiPriority w:val="99"/>
    <w:rPr>
      <w:rFonts w:ascii="Times New Roman" w:hAnsi="Times New Roman" w:eastAsia="宋体" w:cs="Times New Roman"/>
      <w:sz w:val="18"/>
      <w:szCs w:val="18"/>
    </w:rPr>
  </w:style>
  <w:style w:type="paragraph" w:customStyle="1" w:styleId="25">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6">
    <w:name w:val="批注文字 字符"/>
    <w:basedOn w:val="11"/>
    <w:link w:val="2"/>
    <w:semiHidden/>
    <w:qFormat/>
    <w:uiPriority w:val="99"/>
    <w:rPr>
      <w:rFonts w:ascii="Times New Roman" w:hAnsi="Times New Roman" w:eastAsia="宋体" w:cs="Times New Roman"/>
      <w:kern w:val="2"/>
      <w:sz w:val="21"/>
    </w:rPr>
  </w:style>
  <w:style w:type="character" w:customStyle="1" w:styleId="27">
    <w:name w:val="批注主题 字符"/>
    <w:basedOn w:val="26"/>
    <w:link w:val="8"/>
    <w:semiHidden/>
    <w:qFormat/>
    <w:uiPriority w:val="99"/>
    <w:rPr>
      <w:rFonts w:ascii="Times New Roman" w:hAnsi="Times New Roman" w:eastAsia="宋体" w:cs="Times New Roman"/>
      <w:b/>
      <w:bCs/>
      <w:kern w:val="2"/>
      <w:sz w:val="21"/>
    </w:rPr>
  </w:style>
  <w:style w:type="paragraph" w:customStyle="1" w:styleId="28">
    <w:name w:val="Revision"/>
    <w:hidden/>
    <w:semiHidden/>
    <w:qFormat/>
    <w:uiPriority w:val="99"/>
    <w:rPr>
      <w:rFonts w:ascii="Times New Roman" w:hAnsi="Times New Roman" w:eastAsia="宋体" w:cs="Times New Roman"/>
      <w:kern w:val="2"/>
      <w:sz w:val="21"/>
      <w:lang w:val="en-US" w:eastAsia="zh-CN" w:bidi="ar-SA"/>
    </w:rPr>
  </w:style>
  <w:style w:type="table" w:customStyle="1" w:styleId="29">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2776</Words>
  <Characters>2966</Characters>
  <Lines>24</Lines>
  <Paragraphs>6</Paragraphs>
  <TotalTime>450</TotalTime>
  <ScaleCrop>false</ScaleCrop>
  <LinksUpToDate>false</LinksUpToDate>
  <CharactersWithSpaces>3285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2026-06-02T06:25:00Z</dcterms:created>
  <dc:creator>User</dc:creator>
  <cp:lastModifiedBy>羽非</cp:lastModifiedBy>
  <dcterms:modified xsi:type="dcterms:W3CDTF">2026-06-29T15:04:24Z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4B7C7B6D6D9C40728116C5CE4C0DE2A6_13</vt:lpwstr>
  </property>
  <property fmtid="{D5CDD505-2E9C-101B-9397-08002B2CF9AE}" pid="4" name="KSOTemplateDocerSaveRecord">
    <vt:lpwstr>eyJoZGlkIjoiYTg4YjBlMjA4ZTI2MzdkYmExM2E3NGJlMmJhZDZlMzIiLCJ1c2VySWQiOiI2Mzc4NjY3MDEifQ==</vt:lpwstr>
  </property>
</Properties>
</file>