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C2E6">
      <w:pPr>
        <w:pStyle w:val="6"/>
        <w:rPr>
          <w:rFonts w:ascii="宋体" w:hAnsi="宋体"/>
          <w:sz w:val="36"/>
        </w:rPr>
      </w:pPr>
      <w:bookmarkStart w:id="0" w:name="_Toc38367762"/>
      <w:r>
        <w:rPr>
          <w:rFonts w:hint="eastAsia" w:ascii="宋体" w:hAnsi="宋体"/>
          <w:sz w:val="36"/>
        </w:rPr>
        <w:t>【采购项目名称】</w:t>
      </w:r>
      <w:r>
        <w:rPr>
          <w:rFonts w:ascii="宋体" w:hAnsi="宋体"/>
          <w:sz w:val="36"/>
        </w:rPr>
        <w:t>采购需求</w:t>
      </w:r>
      <w:bookmarkEnd w:id="0"/>
    </w:p>
    <w:p w14:paraId="5EC5EB62">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4E5BEFB">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6F765CB">
      <w:pPr>
        <w:autoSpaceDE w:val="0"/>
        <w:autoSpaceDN w:val="0"/>
        <w:adjustRightInd w:val="0"/>
        <w:spacing w:before="50" w:line="360" w:lineRule="auto"/>
        <w:ind w:firstLine="420" w:firstLineChars="200"/>
        <w:rPr>
          <w:rFonts w:ascii="宋体" w:hAnsi="宋体"/>
          <w:color w:val="auto"/>
          <w:szCs w:val="21"/>
        </w:rPr>
      </w:pPr>
      <w:r>
        <w:rPr>
          <w:rFonts w:hint="eastAsia" w:ascii="宋体" w:hAnsi="宋体"/>
          <w:color w:val="auto"/>
          <w:szCs w:val="21"/>
        </w:rPr>
        <w:t>本项目采购准分子激光器，</w:t>
      </w:r>
      <w:r>
        <w:rPr>
          <w:rFonts w:hint="eastAsia" w:ascii="宋体" w:hAnsi="宋体"/>
          <w:color w:val="auto"/>
          <w:szCs w:val="21"/>
          <w:lang w:val="en-US" w:eastAsia="zh-CN"/>
        </w:rPr>
        <w:t>1台</w:t>
      </w:r>
      <w:r>
        <w:rPr>
          <w:rFonts w:hint="eastAsia" w:ascii="宋体" w:hAnsi="宋体"/>
          <w:color w:val="auto"/>
          <w:szCs w:val="21"/>
        </w:rPr>
        <w:t>，用于</w:t>
      </w:r>
      <w:r>
        <w:rPr>
          <w:rFonts w:hint="eastAsia" w:ascii="宋体" w:hAnsi="宋体"/>
          <w:color w:val="auto"/>
          <w:szCs w:val="21"/>
          <w:lang w:val="en-US" w:eastAsia="zh-CN"/>
        </w:rPr>
        <w:t>高质量氧化物单晶、多功能半导体等薄膜材料的生长与制备</w:t>
      </w:r>
      <w:r>
        <w:rPr>
          <w:rFonts w:hint="eastAsia" w:ascii="宋体" w:hAnsi="宋体"/>
          <w:color w:val="auto"/>
          <w:szCs w:val="21"/>
        </w:rPr>
        <w:t>研究，要求具有</w:t>
      </w:r>
      <w:r>
        <w:rPr>
          <w:rFonts w:hint="eastAsia" w:ascii="宋体" w:hAnsi="宋体"/>
          <w:color w:val="auto"/>
          <w:szCs w:val="21"/>
          <w:lang w:val="en-US" w:eastAsia="zh-CN"/>
        </w:rPr>
        <w:t>较高的能量输出密度和稳定性</w:t>
      </w:r>
      <w:r>
        <w:rPr>
          <w:rFonts w:hint="eastAsia" w:ascii="宋体" w:hAnsi="宋体"/>
          <w:color w:val="auto"/>
          <w:szCs w:val="21"/>
        </w:rPr>
        <w:t>。</w:t>
      </w:r>
    </w:p>
    <w:p w14:paraId="09B8BA48">
      <w:pPr>
        <w:tabs>
          <w:tab w:val="left" w:pos="900"/>
        </w:tabs>
        <w:spacing w:before="156" w:beforeLines="50" w:line="360" w:lineRule="auto"/>
        <w:rPr>
          <w:b/>
          <w:szCs w:val="21"/>
        </w:rPr>
      </w:pPr>
      <w:r>
        <w:rPr>
          <w:rFonts w:hAnsi="宋体"/>
          <w:b/>
          <w:szCs w:val="21"/>
        </w:rPr>
        <w:t>（二）为落实政府采购政策需满足的要求</w:t>
      </w:r>
    </w:p>
    <w:p w14:paraId="1BB228EA">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4DED5E">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058D812E">
      <w:pPr>
        <w:tabs>
          <w:tab w:val="left" w:pos="900"/>
        </w:tabs>
        <w:spacing w:line="360" w:lineRule="auto"/>
        <w:ind w:left="420"/>
        <w:rPr>
          <w:rFonts w:cs="宋体" w:asciiTheme="minorEastAsia" w:hAnsiTheme="minorEastAsia"/>
          <w:b/>
          <w:color w:val="000000"/>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auto"/>
          <w:kern w:val="0"/>
          <w:sz w:val="20"/>
          <w:szCs w:val="21"/>
        </w:rPr>
        <w:t xml:space="preserve"> </w:t>
      </w:r>
      <w:r>
        <w:rPr>
          <w:rFonts w:hint="eastAsia" w:cs="宋体" w:asciiTheme="minorEastAsia" w:hAnsiTheme="minorEastAsia"/>
          <w:b/>
          <w:color w:val="000000"/>
          <w:kern w:val="0"/>
          <w:sz w:val="20"/>
          <w:szCs w:val="21"/>
          <w:lang w:eastAsia="zh-CN"/>
        </w:rPr>
        <w:t>☑</w:t>
      </w:r>
      <w:r>
        <w:rPr>
          <w:rFonts w:hint="eastAsia" w:cs="宋体" w:asciiTheme="minorEastAsia" w:hAnsiTheme="minorEastAsia"/>
          <w:b/>
          <w:color w:val="000000"/>
          <w:kern w:val="0"/>
          <w:sz w:val="20"/>
          <w:szCs w:val="21"/>
        </w:rPr>
        <w:t xml:space="preserve"> 本采购项目允许进口产品参加。</w:t>
      </w:r>
    </w:p>
    <w:p w14:paraId="40FB2774">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794D7811">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18CBC362">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C19D4C7">
      <w:pPr>
        <w:tabs>
          <w:tab w:val="left" w:pos="900"/>
        </w:tabs>
        <w:spacing w:before="156" w:beforeLines="50" w:line="360" w:lineRule="auto"/>
        <w:rPr>
          <w:rFonts w:hAnsi="宋体"/>
          <w:b/>
          <w:szCs w:val="21"/>
        </w:rPr>
      </w:pPr>
      <w:r>
        <w:rPr>
          <w:rFonts w:hint="eastAsia" w:hAnsi="宋体"/>
          <w:b/>
          <w:szCs w:val="21"/>
        </w:rPr>
        <w:t>三、采购标的概况</w:t>
      </w:r>
    </w:p>
    <w:p w14:paraId="537D8FE1">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准分子激光器</w:t>
      </w:r>
      <w:r>
        <w:rPr>
          <w:rFonts w:ascii="宋体" w:hAnsi="宋体"/>
          <w:szCs w:val="21"/>
          <w:u w:val="single"/>
        </w:rPr>
        <w:t xml:space="preserve">  </w:t>
      </w:r>
      <w:r>
        <w:rPr>
          <w:rFonts w:hAnsi="宋体"/>
          <w:szCs w:val="21"/>
        </w:rPr>
        <w:t xml:space="preserve">   </w:t>
      </w:r>
    </w:p>
    <w:p w14:paraId="31EEAD84">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1台</w:t>
      </w:r>
      <w:r>
        <w:rPr>
          <w:rFonts w:hAnsi="宋体"/>
          <w:szCs w:val="21"/>
          <w:u w:val="single"/>
        </w:rPr>
        <w:t xml:space="preserve">   </w:t>
      </w:r>
    </w:p>
    <w:p w14:paraId="114C512E">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95</w:t>
      </w:r>
      <w:r>
        <w:rPr>
          <w:rFonts w:hAnsi="宋体"/>
          <w:szCs w:val="21"/>
          <w:u w:val="single"/>
        </w:rPr>
        <w:t xml:space="preserve"> </w:t>
      </w:r>
      <w:r>
        <w:rPr>
          <w:rFonts w:hint="eastAsia" w:hAnsi="宋体"/>
          <w:szCs w:val="21"/>
          <w:u w:val="single"/>
        </w:rPr>
        <w:t>万</w:t>
      </w:r>
      <w:r>
        <w:rPr>
          <w:rFonts w:hAnsi="宋体"/>
          <w:szCs w:val="21"/>
          <w:u w:val="single"/>
        </w:rPr>
        <w:t xml:space="preserve">  </w:t>
      </w:r>
      <w:r>
        <w:rPr>
          <w:rFonts w:hAnsi="宋体"/>
          <w:szCs w:val="21"/>
        </w:rPr>
        <w:t xml:space="preserve"> </w:t>
      </w:r>
      <w:r>
        <w:rPr>
          <w:rFonts w:hint="eastAsia" w:hAnsi="宋体"/>
          <w:szCs w:val="21"/>
        </w:rPr>
        <w:t>元。</w:t>
      </w:r>
    </w:p>
    <w:p w14:paraId="0061667F">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highlight w:val="none"/>
          <w:u w:val="single"/>
          <w:lang w:val="en-US" w:eastAsia="zh-CN"/>
        </w:rPr>
        <w:t>100</w:t>
      </w:r>
      <w:r>
        <w:rPr>
          <w:rFonts w:hAnsi="宋体"/>
          <w:u w:val="single"/>
        </w:rPr>
        <w:t xml:space="preserve">   </w:t>
      </w:r>
      <w:r>
        <w:rPr>
          <w:rFonts w:hint="eastAsia" w:hAnsi="宋体"/>
        </w:rPr>
        <w:t>天内。</w:t>
      </w:r>
    </w:p>
    <w:p w14:paraId="0AB785F2">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rPr>
        <w:t>西安交通大学</w:t>
      </w:r>
      <w:r>
        <w:rPr>
          <w:rFonts w:hint="eastAsia" w:hAnsi="宋体"/>
          <w:szCs w:val="21"/>
          <w:u w:val="single"/>
          <w:lang w:val="en-US" w:eastAsia="zh-CN"/>
        </w:rPr>
        <w:t>创新港校区泓理楼1063室</w:t>
      </w:r>
      <w:r>
        <w:rPr>
          <w:rFonts w:hAnsi="宋体"/>
          <w:szCs w:val="21"/>
          <w:u w:val="single"/>
        </w:rPr>
        <w:t xml:space="preserve">        </w:t>
      </w:r>
      <w:r>
        <w:rPr>
          <w:rFonts w:hint="eastAsia" w:hAnsi="宋体"/>
          <w:szCs w:val="21"/>
        </w:rPr>
        <w:t>。</w:t>
      </w:r>
    </w:p>
    <w:p w14:paraId="77F25451">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hAnsi="宋体"/>
          <w:szCs w:val="21"/>
          <w:u w:val="single"/>
        </w:rPr>
        <w:t>进口设备：100%信用证，见运单解付90%，余款验收 合格后解付；国产设备：货到验收合格后付全款</w:t>
      </w:r>
      <w:r>
        <w:rPr>
          <w:rFonts w:hint="eastAsia" w:hAnsi="宋体"/>
          <w:szCs w:val="21"/>
          <w:u w:val="single"/>
          <w:lang w:val="en-US" w:eastAsia="zh-CN"/>
        </w:rPr>
        <w:t>。</w:t>
      </w:r>
      <w:bookmarkStart w:id="4" w:name="_GoBack"/>
      <w:bookmarkEnd w:id="4"/>
    </w:p>
    <w:p w14:paraId="1B29C839">
      <w:pPr>
        <w:tabs>
          <w:tab w:val="left" w:pos="900"/>
        </w:tabs>
        <w:spacing w:before="156" w:beforeLines="50" w:line="360" w:lineRule="auto"/>
        <w:rPr>
          <w:rFonts w:hAnsi="宋体"/>
          <w:szCs w:val="21"/>
        </w:rPr>
      </w:pPr>
    </w:p>
    <w:p w14:paraId="4357A75C">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1E6111B5">
      <w:pPr>
        <w:pStyle w:val="17"/>
        <w:numPr>
          <w:ilvl w:val="0"/>
          <w:numId w:val="1"/>
        </w:numPr>
        <w:spacing w:line="360" w:lineRule="auto"/>
        <w:ind w:firstLineChars="0"/>
        <w:rPr>
          <w:rFonts w:ascii="Calibri" w:hAnsi="Calibri"/>
          <w:b/>
          <w:bCs/>
          <w:szCs w:val="24"/>
          <w:highlight w:val="none"/>
        </w:rPr>
      </w:pPr>
      <w:r>
        <w:rPr>
          <w:rFonts w:hint="eastAsia" w:ascii="Calibri" w:hAnsi="Calibri"/>
          <w:b/>
          <w:bCs/>
          <w:szCs w:val="24"/>
          <w:highlight w:val="none"/>
        </w:rPr>
        <w:t>功能需求：</w:t>
      </w:r>
    </w:p>
    <w:p w14:paraId="7BF4D7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Calibri" w:hAnsi="Calibri"/>
          <w:b/>
          <w:bCs/>
          <w:szCs w:val="24"/>
          <w:highlight w:val="none"/>
        </w:rPr>
      </w:pPr>
      <w:r>
        <w:rPr>
          <w:rFonts w:hint="eastAsia" w:ascii="宋体" w:hAnsi="宋体"/>
          <w:b w:val="0"/>
          <w:bCs w:val="0"/>
          <w:color w:val="000000" w:themeColor="text1"/>
          <w:szCs w:val="21"/>
          <w:highlight w:val="none"/>
          <w:shd w:val="clear" w:color="auto" w:fill="FFFFFF"/>
          <w14:textFill>
            <w14:solidFill>
              <w14:schemeClr w14:val="tx1"/>
            </w14:solidFill>
          </w14:textFill>
        </w:rPr>
        <w:t>稳定性</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优异</w:t>
      </w:r>
      <w:r>
        <w:rPr>
          <w:rFonts w:hint="eastAsia" w:ascii="宋体" w:hAnsi="宋体"/>
          <w:b w:val="0"/>
          <w:bCs w:val="0"/>
          <w:color w:val="000000" w:themeColor="text1"/>
          <w:szCs w:val="21"/>
          <w:highlight w:val="none"/>
          <w:shd w:val="clear" w:color="auto" w:fill="FFFFFF"/>
          <w14:textFill>
            <w14:solidFill>
              <w14:schemeClr w14:val="tx1"/>
            </w14:solidFill>
          </w14:textFill>
        </w:rPr>
        <w:t>、输出能量</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高</w:t>
      </w:r>
      <w:r>
        <w:rPr>
          <w:rFonts w:hint="eastAsia" w:ascii="宋体" w:hAnsi="宋体"/>
          <w:b w:val="0"/>
          <w:bCs w:val="0"/>
          <w:color w:val="000000" w:themeColor="text1"/>
          <w:szCs w:val="21"/>
          <w:highlight w:val="none"/>
          <w:shd w:val="clear" w:color="auto" w:fill="FFFFFF"/>
          <w14:textFill>
            <w14:solidFill>
              <w14:schemeClr w14:val="tx1"/>
            </w14:solidFill>
          </w14:textFill>
        </w:rPr>
        <w:t>的</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脉冲</w:t>
      </w:r>
      <w:r>
        <w:rPr>
          <w:rFonts w:hint="eastAsia" w:ascii="宋体" w:hAnsi="宋体"/>
          <w:b w:val="0"/>
          <w:bCs w:val="0"/>
          <w:color w:val="000000" w:themeColor="text1"/>
          <w:szCs w:val="21"/>
          <w:highlight w:val="none"/>
          <w:shd w:val="clear" w:color="auto" w:fill="FFFFFF"/>
          <w14:textFill>
            <w14:solidFill>
              <w14:schemeClr w14:val="tx1"/>
            </w14:solidFill>
          </w14:textFill>
        </w:rPr>
        <w:t>激光</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是</w:t>
      </w:r>
      <w:r>
        <w:rPr>
          <w:rFonts w:hint="eastAsia" w:ascii="宋体" w:hAnsi="宋体"/>
          <w:b w:val="0"/>
          <w:bCs w:val="0"/>
          <w:color w:val="000000" w:themeColor="text1"/>
          <w:szCs w:val="21"/>
          <w:highlight w:val="none"/>
          <w:shd w:val="clear" w:color="auto" w:fill="FFFFFF"/>
          <w14:textFill>
            <w14:solidFill>
              <w14:schemeClr w14:val="tx1"/>
            </w14:solidFill>
          </w14:textFill>
        </w:rPr>
        <w:t>脉冲激光沉积</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技术制备高质量单晶氧化物薄膜及</w:t>
      </w:r>
      <w:r>
        <w:rPr>
          <w:rFonts w:hint="eastAsia" w:ascii="宋体" w:hAnsi="宋体"/>
          <w:b w:val="0"/>
          <w:bCs w:val="0"/>
          <w:color w:val="000000" w:themeColor="text1"/>
          <w:szCs w:val="21"/>
          <w:highlight w:val="none"/>
          <w:shd w:val="clear" w:color="auto" w:fill="FFFFFF"/>
          <w14:textFill>
            <w14:solidFill>
              <w14:schemeClr w14:val="tx1"/>
            </w14:solidFill>
          </w14:textFill>
        </w:rPr>
        <w:t>超晶格</w:t>
      </w:r>
      <w:r>
        <w:rPr>
          <w:rFonts w:hint="eastAsia" w:ascii="宋体" w:hAnsi="宋体"/>
          <w:b w:val="0"/>
          <w:bCs w:val="0"/>
          <w:color w:val="000000" w:themeColor="text1"/>
          <w:szCs w:val="21"/>
          <w:highlight w:val="none"/>
          <w:shd w:val="clear" w:color="auto" w:fill="FFFFFF"/>
          <w:lang w:val="en-US" w:eastAsia="zh-CN"/>
          <w14:textFill>
            <w14:solidFill>
              <w14:schemeClr w14:val="tx1"/>
            </w14:solidFill>
          </w14:textFill>
        </w:rPr>
        <w:t>薄膜的关键</w:t>
      </w:r>
      <w:r>
        <w:rPr>
          <w:rFonts w:hint="eastAsia" w:ascii="宋体" w:hAnsi="宋体"/>
          <w:b w:val="0"/>
          <w:bCs w:val="0"/>
          <w:color w:val="000000" w:themeColor="text1"/>
          <w:szCs w:val="21"/>
          <w:highlight w:val="none"/>
          <w:shd w:val="clear" w:color="auto" w:fill="FFFFFF"/>
          <w14:textFill>
            <w14:solidFill>
              <w14:schemeClr w14:val="tx1"/>
            </w14:solidFill>
          </w14:textFill>
        </w:rPr>
        <w:t>需求</w:t>
      </w:r>
      <w:r>
        <w:rPr>
          <w:rFonts w:hint="eastAsia" w:ascii="宋体" w:hAnsi="宋体"/>
          <w:b w:val="0"/>
          <w:bCs w:val="0"/>
          <w:color w:val="000000" w:themeColor="text1"/>
          <w:szCs w:val="21"/>
          <w:highlight w:val="none"/>
          <w:shd w:val="clear" w:color="auto" w:fill="FFFFFF"/>
          <w:lang w:eastAsia="zh-CN"/>
          <w14:textFill>
            <w14:solidFill>
              <w14:schemeClr w14:val="tx1"/>
            </w14:solidFill>
          </w14:textFill>
        </w:rPr>
        <w:t>。</w:t>
      </w:r>
    </w:p>
    <w:p w14:paraId="740C09D8">
      <w:pPr>
        <w:pStyle w:val="17"/>
        <w:numPr>
          <w:ilvl w:val="0"/>
          <w:numId w:val="1"/>
        </w:numPr>
        <w:spacing w:line="360" w:lineRule="auto"/>
        <w:ind w:firstLineChars="0"/>
        <w:rPr>
          <w:rFonts w:ascii="Calibri" w:hAnsi="Calibri"/>
          <w:b/>
          <w:bCs/>
          <w:szCs w:val="24"/>
          <w:highlight w:val="none"/>
        </w:rPr>
      </w:pPr>
      <w:r>
        <w:rPr>
          <w:rFonts w:hint="eastAsia" w:ascii="Calibri" w:hAnsi="Calibri"/>
          <w:b/>
          <w:bCs/>
          <w:szCs w:val="24"/>
          <w:highlight w:val="none"/>
        </w:rPr>
        <w:t>主要技术指标要求：</w:t>
      </w:r>
    </w:p>
    <w:p w14:paraId="1F58C2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输出波长</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248 nm</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是KrF准分子激光的典型波长，适用于</w:t>
      </w:r>
      <w:r>
        <w:rPr>
          <w:rFonts w:hint="eastAsia" w:asciiTheme="majorEastAsia" w:hAnsiTheme="majorEastAsia" w:eastAsiaTheme="majorEastAsia" w:cstheme="majorEastAsia"/>
          <w:lang w:val="en-US" w:eastAsia="zh-CN"/>
        </w:rPr>
        <w:t>功能氧化物薄膜生长</w:t>
      </w:r>
      <w:r>
        <w:rPr>
          <w:rFonts w:hint="eastAsia" w:asciiTheme="majorEastAsia" w:hAnsiTheme="majorEastAsia" w:eastAsiaTheme="majorEastAsia" w:cstheme="majorEastAsia"/>
        </w:rPr>
        <w:t xml:space="preserve">。  </w:t>
      </w:r>
    </w:p>
    <w:p w14:paraId="02A95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最大脉冲能量</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750 mJ</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单脉冲能量高达750 mJ，能量可调以适应不同实验条件。  </w:t>
      </w:r>
    </w:p>
    <w:p w14:paraId="0D6B3B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脉冲能量稳定性≤0.75%</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能量波动低（1σ标准偏差≤0.75%），确保实验数据一致性。 </w:t>
      </w:r>
    </w:p>
    <w:p w14:paraId="33A1E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脉冲重复频率</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10 Hz</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激光每秒发射10个脉冲，适合需要低频率高能量脉冲的应用。  </w:t>
      </w:r>
    </w:p>
    <w:p w14:paraId="37420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平均功率</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7.5 W</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在10 Hz频率下，平均功率为7.5 W，平衡了脉冲能量与持续工作能力，适合长时间实验。  </w:t>
      </w:r>
    </w:p>
    <w:p w14:paraId="52868E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脉冲宽度</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25 ns</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 </w:t>
      </w:r>
    </w:p>
    <w:p w14:paraId="279662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光斑大小（24×10 mm²）</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矩形光斑适合大面积均匀处理</w:t>
      </w:r>
      <w:r>
        <w:rPr>
          <w:rFonts w:hint="eastAsia" w:asciiTheme="majorEastAsia" w:hAnsiTheme="majorEastAsia" w:eastAsiaTheme="majorEastAsia" w:cstheme="majorEastAsia"/>
          <w:lang w:eastAsia="zh-CN"/>
        </w:rPr>
        <w:t>。</w:t>
      </w:r>
    </w:p>
    <w:p w14:paraId="1EA65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光束发散角≤3×1 mrad²）</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低发散角表明光束准直性好。  </w:t>
      </w:r>
    </w:p>
    <w:p w14:paraId="3F6974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9</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光束指向稳定性（≤50 µrad）</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 xml:space="preserve">光束方向抖动极小。 </w:t>
      </w:r>
    </w:p>
    <w:p w14:paraId="4E9254B1">
      <w:pPr>
        <w:tabs>
          <w:tab w:val="left" w:pos="900"/>
        </w:tabs>
        <w:spacing w:before="156" w:beforeLines="50" w:line="360" w:lineRule="auto"/>
        <w:rPr>
          <w:szCs w:val="21"/>
        </w:rPr>
      </w:pPr>
    </w:p>
    <w:p w14:paraId="675EDC28">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3FB3826F">
      <w:pPr>
        <w:numPr>
          <w:ilvl w:val="0"/>
          <w:numId w:val="2"/>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hint="eastAsia" w:ascii="宋体" w:hAnsi="宋体" w:cs="宋体"/>
          <w:u w:val="single"/>
          <w:lang w:val="en-US" w:eastAsia="zh-CN"/>
        </w:rPr>
        <w:t>1</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2BBEE252">
      <w:pPr>
        <w:numPr>
          <w:ilvl w:val="0"/>
          <w:numId w:val="2"/>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3711812D">
      <w:pPr>
        <w:pStyle w:val="17"/>
        <w:numPr>
          <w:ilvl w:val="0"/>
          <w:numId w:val="2"/>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w:t>
      </w:r>
      <w:r>
        <w:rPr>
          <w:rFonts w:ascii="宋体" w:hAnsi="宋体" w:cs="宋体"/>
          <w:color w:val="auto"/>
        </w:rPr>
        <w:t>少</w:t>
      </w:r>
      <w:r>
        <w:rPr>
          <w:rFonts w:ascii="宋体" w:hAnsi="宋体" w:cs="宋体"/>
          <w:color w:val="auto"/>
          <w:u w:val="single"/>
        </w:rPr>
        <w:t xml:space="preserve"> </w:t>
      </w:r>
      <w:r>
        <w:rPr>
          <w:rFonts w:hint="eastAsia" w:ascii="宋体" w:hAnsi="宋体" w:cs="宋体"/>
          <w:color w:val="auto"/>
          <w:u w:val="single"/>
          <w:lang w:val="en-US" w:eastAsia="zh-CN"/>
        </w:rPr>
        <w:t>3</w:t>
      </w:r>
      <w:r>
        <w:rPr>
          <w:rFonts w:ascii="宋体" w:hAnsi="宋体" w:cs="宋体"/>
          <w:color w:val="auto"/>
          <w:u w:val="single"/>
        </w:rPr>
        <w:t xml:space="preserve"> </w:t>
      </w:r>
      <w:r>
        <w:rPr>
          <w:rFonts w:ascii="宋体" w:hAnsi="宋体" w:cs="宋体"/>
        </w:rPr>
        <w:t>名操作人员进行为期至少</w:t>
      </w:r>
      <w:r>
        <w:rPr>
          <w:rFonts w:ascii="宋体" w:hAnsi="宋体" w:cs="宋体"/>
          <w:color w:val="auto"/>
          <w:u w:val="single"/>
        </w:rPr>
        <w:t xml:space="preserve">  </w:t>
      </w:r>
      <w:r>
        <w:rPr>
          <w:rFonts w:hint="eastAsia" w:ascii="宋体" w:hAnsi="宋体" w:cs="宋体"/>
          <w:color w:val="auto"/>
          <w:u w:val="single"/>
          <w:lang w:val="en-US" w:eastAsia="zh-CN"/>
        </w:rPr>
        <w:t>3</w:t>
      </w:r>
      <w:r>
        <w:rPr>
          <w:rFonts w:ascii="宋体" w:hAnsi="宋体" w:cs="宋体"/>
          <w:color w:val="auto"/>
          <w:u w:val="single"/>
        </w:rPr>
        <w:t xml:space="preserve"> </w:t>
      </w:r>
      <w:r>
        <w:rPr>
          <w:rFonts w:ascii="宋体" w:hAnsi="宋体" w:cs="宋体"/>
          <w:color w:val="auto"/>
        </w:rPr>
        <w:t>天</w:t>
      </w:r>
      <w:r>
        <w:rPr>
          <w:rFonts w:ascii="宋体" w:hAnsi="宋体" w:cs="宋体"/>
        </w:rPr>
        <w:t xml:space="preserve">的现场操作培训以及应用培训，保证用户掌握有关设备的使用、维护、管理和应用等工作要求。不定期的免费提供相关设备应用方面的技术咨询等。 </w:t>
      </w:r>
    </w:p>
    <w:p w14:paraId="1FAC62E6">
      <w:pPr>
        <w:tabs>
          <w:tab w:val="left" w:pos="420"/>
          <w:tab w:val="left" w:pos="900"/>
        </w:tabs>
        <w:spacing w:before="156" w:beforeLines="50" w:line="360" w:lineRule="auto"/>
        <w:ind w:left="420"/>
        <w:rPr>
          <w:rFonts w:ascii="宋体" w:hAnsi="宋体"/>
          <w:b/>
          <w:szCs w:val="21"/>
        </w:rPr>
      </w:pPr>
    </w:p>
    <w:p w14:paraId="637AA3F3">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6D7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353E132C">
            <w:pPr>
              <w:widowControl/>
              <w:jc w:val="center"/>
              <w:textAlignment w:val="baseline"/>
              <w:rPr>
                <w:color w:val="000000"/>
                <w:kern w:val="0"/>
                <w:sz w:val="20"/>
                <w:szCs w:val="21"/>
              </w:rPr>
            </w:pPr>
            <w:r>
              <w:rPr>
                <w:color w:val="000000"/>
                <w:kern w:val="0"/>
                <w:sz w:val="20"/>
                <w:szCs w:val="21"/>
              </w:rPr>
              <w:t>现场的检验指标及方法</w:t>
            </w:r>
          </w:p>
        </w:tc>
      </w:tr>
      <w:tr w14:paraId="079D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F942BB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9FF2518">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2724231">
            <w:pPr>
              <w:widowControl/>
              <w:jc w:val="center"/>
              <w:textAlignment w:val="baseline"/>
              <w:rPr>
                <w:color w:val="000000"/>
                <w:kern w:val="0"/>
                <w:sz w:val="20"/>
                <w:szCs w:val="21"/>
              </w:rPr>
            </w:pPr>
            <w:r>
              <w:rPr>
                <w:color w:val="000000"/>
                <w:kern w:val="0"/>
                <w:sz w:val="20"/>
                <w:szCs w:val="21"/>
              </w:rPr>
              <w:t>验收或测试方法</w:t>
            </w:r>
          </w:p>
        </w:tc>
      </w:tr>
      <w:tr w14:paraId="2ECF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7DCF190">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026D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36DC97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FE21C31">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0CDFA4A">
            <w:pPr>
              <w:widowControl/>
              <w:jc w:val="left"/>
              <w:textAlignment w:val="baseline"/>
              <w:rPr>
                <w:color w:val="000000"/>
                <w:kern w:val="0"/>
                <w:sz w:val="18"/>
                <w:szCs w:val="18"/>
              </w:rPr>
            </w:pPr>
            <w:r>
              <w:rPr>
                <w:color w:val="000000"/>
                <w:kern w:val="0"/>
                <w:sz w:val="18"/>
                <w:szCs w:val="18"/>
              </w:rPr>
              <w:t>现场核查</w:t>
            </w:r>
          </w:p>
        </w:tc>
      </w:tr>
      <w:tr w14:paraId="3C7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25493E7">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8A57A08">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7867059">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7665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EE7CA62">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807956A">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6FEFB3A">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5D8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CE5694">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B31FF14">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E1ABA59">
            <w:pPr>
              <w:widowControl/>
              <w:textAlignment w:val="baseline"/>
              <w:rPr>
                <w:color w:val="000000"/>
                <w:kern w:val="0"/>
                <w:sz w:val="18"/>
                <w:szCs w:val="18"/>
              </w:rPr>
            </w:pPr>
            <w:r>
              <w:rPr>
                <w:color w:val="000000"/>
                <w:kern w:val="0"/>
                <w:sz w:val="18"/>
                <w:szCs w:val="18"/>
              </w:rPr>
              <w:t>现场核查</w:t>
            </w:r>
          </w:p>
        </w:tc>
      </w:tr>
      <w:tr w14:paraId="3AFB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92DC2AD">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4E9C3F6">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8ECC6BD">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4FED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B0902C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175C56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10DE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2F2E4AEC">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1AE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0778DF2">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2F74327">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2579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F85ACC9">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B721087">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385D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64201F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8E5DE9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4720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9775A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EF3BD1D">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3D4D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CE1E804">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D0FAEB2">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BB4A0EA">
            <w:pPr>
              <w:widowControl/>
              <w:textAlignment w:val="baseline"/>
              <w:rPr>
                <w:rFonts w:hint="eastAsia" w:eastAsia="宋体"/>
                <w:color w:val="000000"/>
                <w:kern w:val="0"/>
                <w:sz w:val="20"/>
                <w:szCs w:val="21"/>
                <w:lang w:eastAsia="zh-CN"/>
              </w:rPr>
            </w:pPr>
            <w:r>
              <w:rPr>
                <w:color w:val="000000"/>
                <w:kern w:val="0"/>
                <w:sz w:val="20"/>
                <w:szCs w:val="21"/>
              </w:rPr>
              <w:t>否</w:t>
            </w:r>
            <w:r>
              <w:rPr>
                <w:rFonts w:hint="eastAsia" w:cs="宋体" w:asciiTheme="minorEastAsia" w:hAnsiTheme="minorEastAsia"/>
                <w:color w:val="000000"/>
                <w:kern w:val="0"/>
                <w:sz w:val="20"/>
                <w:szCs w:val="21"/>
                <w:lang w:eastAsia="zh-CN"/>
              </w:rPr>
              <w:t>☑</w:t>
            </w:r>
          </w:p>
        </w:tc>
      </w:tr>
      <w:tr w14:paraId="7914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9BD6354">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1056601">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7A2397E">
            <w:pPr>
              <w:widowControl/>
              <w:textAlignment w:val="baseline"/>
              <w:rPr>
                <w:rFonts w:hint="eastAsia" w:eastAsia="宋体"/>
                <w:color w:val="000000"/>
                <w:kern w:val="0"/>
                <w:sz w:val="20"/>
                <w:szCs w:val="21"/>
                <w:lang w:eastAsia="zh-CN"/>
              </w:rPr>
            </w:pPr>
            <w:r>
              <w:rPr>
                <w:color w:val="000000"/>
                <w:kern w:val="0"/>
                <w:sz w:val="20"/>
                <w:szCs w:val="21"/>
              </w:rPr>
              <w:t>否</w:t>
            </w:r>
            <w:r>
              <w:rPr>
                <w:rFonts w:hint="eastAsia" w:cs="宋体" w:asciiTheme="minorEastAsia" w:hAnsiTheme="minorEastAsia"/>
                <w:color w:val="000000"/>
                <w:kern w:val="0"/>
                <w:sz w:val="20"/>
                <w:szCs w:val="21"/>
                <w:lang w:eastAsia="zh-CN"/>
              </w:rPr>
              <w:t>☑</w:t>
            </w:r>
          </w:p>
        </w:tc>
      </w:tr>
      <w:tr w14:paraId="770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79473708">
            <w:pPr>
              <w:widowControl/>
              <w:textAlignment w:val="baseline"/>
              <w:rPr>
                <w:color w:val="000000"/>
                <w:kern w:val="0"/>
                <w:sz w:val="20"/>
                <w:szCs w:val="21"/>
              </w:rPr>
            </w:pPr>
            <w:r>
              <w:rPr>
                <w:color w:val="000000"/>
                <w:kern w:val="0"/>
                <w:sz w:val="20"/>
                <w:szCs w:val="21"/>
              </w:rPr>
              <w:t>除现场验收外，需提供的其他验收要求</w:t>
            </w:r>
          </w:p>
        </w:tc>
      </w:tr>
      <w:tr w14:paraId="767D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76BADB95">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lang w:eastAsia="zh-CN"/>
              </w:rPr>
              <w:t>□</w:t>
            </w:r>
            <w:r>
              <w:rPr>
                <w:color w:val="000000"/>
                <w:kern w:val="0"/>
                <w:sz w:val="20"/>
                <w:szCs w:val="21"/>
              </w:rPr>
              <w:t>否</w:t>
            </w:r>
            <w:r>
              <w:rPr>
                <w:rFonts w:hint="eastAsia" w:cs="宋体" w:asciiTheme="minorEastAsia" w:hAnsiTheme="minorEastAsia"/>
                <w:color w:val="000000"/>
                <w:kern w:val="0"/>
                <w:sz w:val="20"/>
                <w:szCs w:val="21"/>
                <w:lang w:eastAsia="zh-CN"/>
              </w:rPr>
              <w:t>☑</w:t>
            </w:r>
            <w:r>
              <w:rPr>
                <w:color w:val="000000"/>
                <w:kern w:val="0"/>
                <w:sz w:val="20"/>
                <w:szCs w:val="21"/>
              </w:rPr>
              <w:t>需提供第三方检测报告</w:t>
            </w:r>
          </w:p>
          <w:p w14:paraId="5BDF7729">
            <w:pPr>
              <w:widowControl/>
              <w:spacing w:line="450" w:lineRule="atLeast"/>
              <w:textAlignment w:val="baseline"/>
              <w:rPr>
                <w:color w:val="000000"/>
                <w:kern w:val="0"/>
                <w:sz w:val="20"/>
                <w:szCs w:val="21"/>
              </w:rPr>
            </w:pPr>
          </w:p>
        </w:tc>
        <w:tc>
          <w:tcPr>
            <w:tcW w:w="4368" w:type="dxa"/>
            <w:gridSpan w:val="2"/>
            <w:vAlign w:val="center"/>
          </w:tcPr>
          <w:p w14:paraId="320BB9F6">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389933C">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4FA2AC3"/>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9898">
    <w:pPr>
      <w:pStyle w:val="4"/>
      <w:jc w:val="center"/>
    </w:pPr>
    <w:r>
      <w:fldChar w:fldCharType="begin"/>
    </w:r>
    <w:r>
      <w:instrText xml:space="preserve">PAGE   \* MERGEFORMAT</w:instrText>
    </w:r>
    <w:r>
      <w:fldChar w:fldCharType="separate"/>
    </w:r>
    <w:r>
      <w:rPr>
        <w:lang w:val="zh-CN"/>
      </w:rPr>
      <w:t>4</w:t>
    </w:r>
    <w:r>
      <w:fldChar w:fldCharType="end"/>
    </w:r>
  </w:p>
  <w:p w14:paraId="2FEE056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F8509F"/>
    <w:multiLevelType w:val="multilevel"/>
    <w:tmpl w:val="59F8509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6157A01"/>
    <w:rsid w:val="1BC72B84"/>
    <w:rsid w:val="1E4D16C6"/>
    <w:rsid w:val="48832585"/>
    <w:rsid w:val="4FAF6015"/>
    <w:rsid w:val="76375709"/>
    <w:rsid w:val="7DB33A33"/>
    <w:rsid w:val="7DBD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687</Words>
  <Characters>702</Characters>
  <Lines>17</Lines>
  <Paragraphs>5</Paragraphs>
  <TotalTime>12</TotalTime>
  <ScaleCrop>false</ScaleCrop>
  <LinksUpToDate>false</LinksUpToDate>
  <CharactersWithSpaces>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董国华</cp:lastModifiedBy>
  <dcterms:modified xsi:type="dcterms:W3CDTF">2025-07-29T09:48:34Z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D638AAF5EDEF408BBB0AB00568DB5807_13</vt:lpwstr>
  </property>
  <property fmtid="{D5CDD505-2E9C-101B-9397-08002B2CF9AE}" pid="4" name="KSOTemplateDocerSaveRecord">
    <vt:lpwstr>eyJoZGlkIjoiMmI3ZjM3NzE2YmQ5YWQ3YzM1NWYyMDRlMDg2YTg4YzIiLCJ1c2VySWQiOiI4ODExMzE1NTkifQ==</vt:lpwstr>
  </property>
</Properties>
</file>