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87261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  <w:bookmarkStart w:id="0" w:name="_Toc38367762"/>
      <w:r>
        <w:rPr>
          <w:rFonts w:hint="eastAsia" w:ascii="宋体" w:hAnsi="宋体" w:eastAsia="宋体" w:cs="Arial"/>
          <w:b/>
          <w:bCs/>
          <w:sz w:val="44"/>
          <w:szCs w:val="44"/>
        </w:rPr>
        <w:t>【继续教育学院兴庆校区定点酒店服务】</w:t>
      </w:r>
    </w:p>
    <w:p w14:paraId="3EDDE01F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  <w:r>
        <w:rPr>
          <w:rFonts w:ascii="宋体" w:hAnsi="宋体" w:eastAsia="宋体" w:cs="Arial"/>
          <w:b/>
          <w:bCs/>
          <w:sz w:val="44"/>
          <w:szCs w:val="44"/>
        </w:rPr>
        <w:t>采购需求</w:t>
      </w:r>
      <w:bookmarkEnd w:id="0"/>
    </w:p>
    <w:p w14:paraId="23AF8AF3">
      <w:pPr>
        <w:spacing w:before="240" w:after="60"/>
        <w:jc w:val="center"/>
        <w:outlineLvl w:val="0"/>
        <w:rPr>
          <w:rFonts w:ascii="宋体" w:hAnsi="宋体" w:eastAsia="宋体" w:cs="Arial"/>
          <w:b/>
          <w:bCs/>
          <w:sz w:val="44"/>
          <w:szCs w:val="44"/>
        </w:rPr>
      </w:pPr>
    </w:p>
    <w:p w14:paraId="58EFF0B5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bookmarkStart w:id="1" w:name="_Toc219271393"/>
      <w:bookmarkStart w:id="2" w:name="_Toc158978330"/>
      <w:bookmarkStart w:id="3" w:name="_Toc172360661"/>
      <w:r>
        <w:rPr>
          <w:rFonts w:hint="eastAsia" w:ascii="黑体" w:hAnsi="黑体" w:eastAsia="黑体" w:cs="Times New Roman"/>
          <w:b/>
          <w:sz w:val="32"/>
          <w:szCs w:val="32"/>
        </w:rPr>
        <w:t>一、</w:t>
      </w:r>
      <w:r>
        <w:rPr>
          <w:rFonts w:ascii="黑体" w:hAnsi="黑体" w:eastAsia="黑体" w:cs="Times New Roman"/>
          <w:b/>
          <w:sz w:val="32"/>
          <w:szCs w:val="32"/>
        </w:rPr>
        <w:t>采购</w:t>
      </w:r>
      <w:r>
        <w:rPr>
          <w:rFonts w:hint="eastAsia" w:ascii="黑体" w:hAnsi="黑体" w:eastAsia="黑体" w:cs="Times New Roman"/>
          <w:b/>
          <w:sz w:val="32"/>
          <w:szCs w:val="32"/>
        </w:rPr>
        <w:t>标的</w:t>
      </w:r>
      <w:r>
        <w:rPr>
          <w:rFonts w:ascii="黑体" w:hAnsi="黑体" w:eastAsia="黑体" w:cs="Times New Roman"/>
          <w:b/>
          <w:sz w:val="32"/>
          <w:szCs w:val="32"/>
        </w:rPr>
        <w:t>需实现的功能或者目标，以及为落实政府采购政策需满足的要求：</w:t>
      </w:r>
    </w:p>
    <w:p w14:paraId="1B663B8A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（一）采购</w:t>
      </w:r>
      <w:r>
        <w:rPr>
          <w:rFonts w:hint="eastAsia" w:ascii="楷体" w:hAnsi="楷体" w:eastAsia="楷体" w:cs="Times New Roman"/>
          <w:b/>
          <w:sz w:val="32"/>
          <w:szCs w:val="32"/>
        </w:rPr>
        <w:t>标的</w:t>
      </w:r>
      <w:r>
        <w:rPr>
          <w:rFonts w:ascii="楷体" w:hAnsi="楷体" w:eastAsia="楷体" w:cs="Times New Roman"/>
          <w:b/>
          <w:sz w:val="32"/>
          <w:szCs w:val="32"/>
        </w:rPr>
        <w:t>需实现的功能或者目标</w:t>
      </w:r>
    </w:p>
    <w:p w14:paraId="2EF8AFA4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本项目拟遴选符合具有住宿餐饮接待能力的酒店5家。若报名公司（用N代替）少于</w:t>
      </w:r>
      <w:r>
        <w:rPr>
          <w:rFonts w:ascii="仿宋" w:hAnsi="仿宋" w:eastAsia="仿宋" w:cs="Times New Roman"/>
          <w:sz w:val="32"/>
          <w:szCs w:val="32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家，则按照排名次序以N-</w:t>
      </w: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确定中标供应商的数量。根据继续教育学院近三年培训学员人数统计，大约为</w:t>
      </w:r>
      <w:r>
        <w:rPr>
          <w:rFonts w:ascii="仿宋" w:hAnsi="仿宋" w:eastAsia="仿宋" w:cs="Times New Roman"/>
          <w:sz w:val="32"/>
          <w:szCs w:val="32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000人次/年。</w:t>
      </w:r>
    </w:p>
    <w:p w14:paraId="59A4DE60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ascii="楷体" w:hAnsi="楷体" w:eastAsia="楷体" w:cs="Times New Roman"/>
          <w:b/>
          <w:sz w:val="32"/>
          <w:szCs w:val="32"/>
        </w:rPr>
        <w:t>（二）为落实政府采购政策需满足的要求</w:t>
      </w:r>
    </w:p>
    <w:p w14:paraId="6AE3B6E5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根据《政府采购促进中小企业发展管理办法》</w:t>
      </w:r>
      <w:r>
        <w:rPr>
          <w:rFonts w:hint="eastAsia" w:ascii="仿宋" w:hAnsi="仿宋" w:eastAsia="仿宋" w:cs="Times New Roman"/>
          <w:sz w:val="32"/>
          <w:szCs w:val="32"/>
        </w:rPr>
        <w:t>（财库[2</w:t>
      </w:r>
      <w:r>
        <w:rPr>
          <w:rFonts w:ascii="仿宋" w:hAnsi="仿宋" w:eastAsia="仿宋" w:cs="Times New Roman"/>
          <w:sz w:val="32"/>
          <w:szCs w:val="32"/>
        </w:rPr>
        <w:t>020</w:t>
      </w:r>
      <w:r>
        <w:rPr>
          <w:rFonts w:hint="eastAsia" w:ascii="仿宋" w:hAnsi="仿宋" w:eastAsia="仿宋" w:cs="Times New Roman"/>
          <w:sz w:val="32"/>
          <w:szCs w:val="32"/>
        </w:rPr>
        <w:t>]4</w:t>
      </w:r>
      <w:r>
        <w:rPr>
          <w:rFonts w:ascii="仿宋" w:hAnsi="仿宋" w:eastAsia="仿宋" w:cs="Times New Roman"/>
          <w:sz w:val="32"/>
          <w:szCs w:val="32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号）</w:t>
      </w:r>
      <w:r>
        <w:rPr>
          <w:rFonts w:ascii="仿宋" w:hAnsi="仿宋" w:eastAsia="仿宋" w:cs="Times New Roman"/>
          <w:sz w:val="32"/>
          <w:szCs w:val="32"/>
        </w:rPr>
        <w:t>规定，本项目</w:t>
      </w:r>
      <w:r>
        <w:rPr>
          <w:rFonts w:hint="eastAsia" w:ascii="仿宋" w:hAnsi="仿宋" w:eastAsia="仿宋" w:cs="Times New Roman"/>
          <w:sz w:val="32"/>
          <w:szCs w:val="32"/>
        </w:rPr>
        <w:t>采购标的</w:t>
      </w:r>
      <w:r>
        <w:rPr>
          <w:rFonts w:ascii="仿宋" w:hAnsi="仿宋" w:eastAsia="仿宋" w:cs="Times New Roman"/>
          <w:sz w:val="32"/>
          <w:szCs w:val="32"/>
        </w:rPr>
        <w:t>为</w:t>
      </w:r>
      <w:r>
        <w:rPr>
          <w:rFonts w:hint="eastAsia" w:ascii="仿宋" w:hAnsi="仿宋" w:eastAsia="仿宋" w:cs="Times New Roman"/>
          <w:sz w:val="32"/>
          <w:szCs w:val="32"/>
        </w:rPr>
        <w:t>中小</w:t>
      </w:r>
      <w:r>
        <w:rPr>
          <w:rFonts w:ascii="仿宋" w:hAnsi="仿宋" w:eastAsia="仿宋" w:cs="Times New Roman"/>
          <w:sz w:val="32"/>
          <w:szCs w:val="32"/>
        </w:rPr>
        <w:t>型企业</w:t>
      </w:r>
      <w:r>
        <w:rPr>
          <w:rFonts w:hint="eastAsia" w:ascii="仿宋" w:hAnsi="仿宋" w:eastAsia="仿宋" w:cs="Times New Roman"/>
          <w:sz w:val="32"/>
          <w:szCs w:val="32"/>
        </w:rPr>
        <w:t>制造、承建或承接</w:t>
      </w:r>
      <w:r>
        <w:rPr>
          <w:rFonts w:ascii="仿宋" w:hAnsi="仿宋" w:eastAsia="仿宋" w:cs="Times New Roman"/>
          <w:sz w:val="32"/>
          <w:szCs w:val="32"/>
        </w:rPr>
        <w:t>的，投标人应</w:t>
      </w:r>
      <w:r>
        <w:rPr>
          <w:rFonts w:hint="eastAsia" w:ascii="仿宋" w:hAnsi="仿宋" w:eastAsia="仿宋" w:cs="Times New Roman"/>
          <w:sz w:val="32"/>
          <w:szCs w:val="32"/>
        </w:rPr>
        <w:t>提供办法规定的</w:t>
      </w:r>
      <w:r>
        <w:rPr>
          <w:rFonts w:ascii="仿宋" w:hAnsi="仿宋" w:eastAsia="仿宋" w:cs="Times New Roman"/>
          <w:sz w:val="32"/>
          <w:szCs w:val="32"/>
        </w:rPr>
        <w:t>《中小企业声明函》</w:t>
      </w:r>
      <w:r>
        <w:rPr>
          <w:rFonts w:hint="eastAsia" w:ascii="仿宋" w:hAnsi="仿宋" w:eastAsia="仿宋" w:cs="Times New Roman"/>
          <w:sz w:val="32"/>
          <w:szCs w:val="32"/>
        </w:rPr>
        <w:t>，否则不得享受相关中小企业扶持政策</w:t>
      </w:r>
      <w:r>
        <w:rPr>
          <w:rFonts w:ascii="仿宋" w:hAnsi="仿宋" w:eastAsia="仿宋" w:cs="Times New Roman"/>
          <w:sz w:val="32"/>
          <w:szCs w:val="32"/>
        </w:rPr>
        <w:t>。投标人应对提交的中小企业声明函的真实性负责，提交的中小企业声明函不真实的，应承担相应的法律责任。</w:t>
      </w:r>
    </w:p>
    <w:p w14:paraId="2B62A27E">
      <w:pPr>
        <w:widowControl/>
        <w:spacing w:line="450" w:lineRule="atLeast"/>
        <w:ind w:firstLine="640" w:firstLineChars="200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本项目采购标的对应的《中小企业划型标准规定》所属行业为：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住宿业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44E1B108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二、</w:t>
      </w:r>
      <w:r>
        <w:rPr>
          <w:rFonts w:ascii="黑体" w:hAnsi="黑体" w:eastAsia="黑体" w:cs="Times New Roman"/>
          <w:b/>
          <w:sz w:val="32"/>
          <w:szCs w:val="32"/>
        </w:rPr>
        <w:t>采购</w:t>
      </w:r>
      <w:r>
        <w:rPr>
          <w:rFonts w:hint="eastAsia" w:ascii="黑体" w:hAnsi="黑体" w:eastAsia="黑体" w:cs="Times New Roman"/>
          <w:b/>
          <w:sz w:val="32"/>
          <w:szCs w:val="32"/>
        </w:rPr>
        <w:t>标的</w:t>
      </w:r>
      <w:r>
        <w:rPr>
          <w:rFonts w:ascii="黑体" w:hAnsi="黑体" w:eastAsia="黑体" w:cs="Times New Roman"/>
          <w:b/>
          <w:sz w:val="32"/>
          <w:szCs w:val="32"/>
        </w:rPr>
        <w:t>需执行的国家相关标准、行业标准、地方标准或者其他标准、规范：</w:t>
      </w:r>
    </w:p>
    <w:p w14:paraId="2B7749D8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GB/16153—1996 饭店（餐厅）卫生标准；</w:t>
      </w:r>
    </w:p>
    <w:p w14:paraId="0AD9EAFE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GB5749 生活饮用水卫生标准；</w:t>
      </w:r>
    </w:p>
    <w:p w14:paraId="137275E1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GB9663 旅店业卫生标准；</w:t>
      </w:r>
    </w:p>
    <w:p w14:paraId="691D9D2C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GB9665 公共浴室卫生标准；</w:t>
      </w:r>
    </w:p>
    <w:p w14:paraId="01BB1DA4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GB/T10001.1 标志用公共信息图形符号第1部分：通用符号；</w:t>
      </w:r>
    </w:p>
    <w:p w14:paraId="2EC8C25F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GB/T10001.2 标志用公共信息图形符号第2部分：旅游设施与服务符号；</w:t>
      </w:r>
    </w:p>
    <w:p w14:paraId="19351063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三、采购标的概况</w:t>
      </w:r>
    </w:p>
    <w:p w14:paraId="5D18F1B7">
      <w:pPr>
        <w:tabs>
          <w:tab w:val="left" w:pos="900"/>
        </w:tabs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采购项目名称：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继续教育学院兴庆校区定点酒店服务</w:t>
      </w:r>
    </w:p>
    <w:p w14:paraId="49DABD49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采购数量及计量单位：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拟遴选5家酒店</w:t>
      </w:r>
    </w:p>
    <w:p w14:paraId="5AB973AC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最高限价：人民币</w:t>
      </w:r>
      <w:r>
        <w:rPr>
          <w:rFonts w:ascii="仿宋" w:hAnsi="仿宋" w:eastAsia="仿宋" w:cs="Times New Roman"/>
          <w:sz w:val="32"/>
          <w:szCs w:val="32"/>
          <w:u w:val="single"/>
        </w:rPr>
        <w:t>5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00万</w:t>
      </w:r>
      <w:r>
        <w:rPr>
          <w:rFonts w:hint="eastAsia" w:ascii="仿宋" w:hAnsi="仿宋" w:eastAsia="仿宋" w:cs="Times New Roman"/>
          <w:sz w:val="32"/>
          <w:szCs w:val="32"/>
        </w:rPr>
        <w:t>元</w:t>
      </w:r>
    </w:p>
    <w:p w14:paraId="27B3C017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服务期限</w:t>
      </w:r>
      <w:r>
        <w:rPr>
          <w:rFonts w:ascii="仿宋" w:hAnsi="仿宋" w:eastAsia="仿宋" w:cs="Times New Roman"/>
          <w:sz w:val="32"/>
          <w:szCs w:val="32"/>
        </w:rPr>
        <w:t>：1</w:t>
      </w:r>
      <w:r>
        <w:rPr>
          <w:rFonts w:hint="eastAsia" w:ascii="仿宋" w:hAnsi="仿宋" w:eastAsia="仿宋" w:cs="Times New Roman"/>
          <w:sz w:val="32"/>
          <w:szCs w:val="32"/>
        </w:rPr>
        <w:t>年（当实际采购金额达到合同上限或服务期满，任意一项条件满足时，合同终止）。</w:t>
      </w:r>
    </w:p>
    <w:p w14:paraId="4A4F2D0A">
      <w:pPr>
        <w:spacing w:before="156" w:beforeLines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.交付地点：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西安交通大学指定服务地点</w:t>
      </w:r>
    </w:p>
    <w:p w14:paraId="4A17B165">
      <w:pPr>
        <w:tabs>
          <w:tab w:val="left" w:pos="900"/>
        </w:tabs>
        <w:spacing w:before="156" w:beforeLines="50" w:line="360" w:lineRule="auto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6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付款方式：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采购人按各酒店接待的“实际间数</w:t>
      </w:r>
      <w:r>
        <w:rPr>
          <w:rFonts w:ascii="Arial" w:hAnsi="Arial" w:eastAsia="仿宋" w:cs="Arial"/>
          <w:sz w:val="32"/>
          <w:szCs w:val="32"/>
          <w:u w:val="single"/>
        </w:rPr>
        <w:t>×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间/夜价格”计算支付总额，按班次据实结算。</w:t>
      </w:r>
    </w:p>
    <w:p w14:paraId="7900F4EF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</w:p>
    <w:p w14:paraId="5C5239A9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四、采购标的需满足的质量、安全、技术规格、物理特性等要求：</w:t>
      </w:r>
    </w:p>
    <w:p w14:paraId="1FACD520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住宿房间价格按标准间（含双早）、单人间和普通套房(含早餐)三种类型确定，以间/夜为单位计。</w:t>
      </w:r>
    </w:p>
    <w:p w14:paraId="74F0CC5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有会议室的酒店，按会议室规格报价。</w:t>
      </w:r>
    </w:p>
    <w:p w14:paraId="29AD0FB2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具有满足50人同时用餐的接待能力。</w:t>
      </w:r>
    </w:p>
    <w:p w14:paraId="2417C4C3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所有费用据实结算。</w:t>
      </w:r>
    </w:p>
    <w:p w14:paraId="7B849A33">
      <w:pPr>
        <w:tabs>
          <w:tab w:val="left" w:pos="900"/>
        </w:tabs>
        <w:spacing w:before="156" w:beforeLines="50" w:line="360" w:lineRule="auto"/>
        <w:ind w:firstLine="640" w:firstLineChars="200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>5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报价：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淡季每间夜+旺季每间夜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/2</w:t>
      </w:r>
    </w:p>
    <w:p w14:paraId="1A89011C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培训业务淡季：每年11月1日至次年3月31日，最高限价350元/间/夜（含房费、早餐费），报价超出350元/间/夜则按照无效标处理。</w:t>
      </w:r>
    </w:p>
    <w:p w14:paraId="18D83BC8">
      <w:pPr>
        <w:tabs>
          <w:tab w:val="left" w:pos="900"/>
        </w:tabs>
        <w:spacing w:before="156" w:beforeLines="50"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培训业务旺季：每年</w:t>
      </w: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月1日至次年10月31日，最高限价500元/间/夜（含房费、早餐费），报价超出500元/间/夜则按照无效标处理。</w:t>
      </w:r>
    </w:p>
    <w:p w14:paraId="072BA82B">
      <w:pPr>
        <w:pStyle w:val="9"/>
        <w:widowControl/>
        <w:spacing w:line="450" w:lineRule="atLeast"/>
        <w:ind w:left="420" w:firstLine="0" w:firstLineChars="0"/>
        <w:jc w:val="left"/>
        <w:textAlignment w:val="baseline"/>
        <w:rPr>
          <w:rFonts w:ascii="Times New Roman" w:hAnsi="Times New Roman" w:eastAsia="宋体" w:cs="Times New Roman"/>
          <w:szCs w:val="21"/>
        </w:rPr>
      </w:pPr>
    </w:p>
    <w:p w14:paraId="24BA1397">
      <w:pPr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br w:type="page"/>
      </w:r>
    </w:p>
    <w:p w14:paraId="696ACE22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表1：</w:t>
      </w:r>
      <w:r>
        <w:rPr>
          <w:rFonts w:hint="eastAsia" w:ascii="仿宋" w:hAnsi="仿宋" w:eastAsia="仿宋"/>
          <w:sz w:val="32"/>
          <w:szCs w:val="32"/>
        </w:rPr>
        <w:t>此表作为最终评分表，本次采购的价格（含税）分淡、旺季，服务期内按协议价执行。</w:t>
      </w:r>
    </w:p>
    <w:p w14:paraId="04EEAE03">
      <w:pPr>
        <w:widowControl/>
        <w:spacing w:line="450" w:lineRule="atLeast"/>
        <w:ind w:firstLine="643" w:firstLineChars="200"/>
        <w:jc w:val="center"/>
        <w:textAlignment w:val="baseline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定点酒店评分表</w:t>
      </w:r>
    </w:p>
    <w:p w14:paraId="1F6CABC4">
      <w:pPr>
        <w:widowControl/>
        <w:spacing w:line="450" w:lineRule="atLeast"/>
        <w:ind w:firstLine="643" w:firstLineChars="200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投标报价=（</w:t>
      </w:r>
      <w:r>
        <w:rPr>
          <w:rFonts w:ascii="仿宋" w:hAnsi="仿宋" w:eastAsia="仿宋"/>
          <w:b/>
          <w:sz w:val="32"/>
          <w:szCs w:val="28"/>
        </w:rPr>
        <w:t>淡季</w:t>
      </w:r>
      <w:r>
        <w:rPr>
          <w:rFonts w:hint="eastAsia" w:ascii="仿宋" w:hAnsi="仿宋" w:eastAsia="仿宋"/>
          <w:b/>
          <w:sz w:val="32"/>
          <w:szCs w:val="28"/>
        </w:rPr>
        <w:t>每间夜+旺季每间夜）/2</w:t>
      </w:r>
    </w:p>
    <w:tbl>
      <w:tblPr>
        <w:tblStyle w:val="5"/>
        <w:tblW w:w="978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985"/>
        <w:gridCol w:w="1701"/>
        <w:gridCol w:w="1701"/>
        <w:gridCol w:w="1560"/>
        <w:gridCol w:w="1134"/>
      </w:tblGrid>
      <w:tr w14:paraId="7473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02" w:type="dxa"/>
            <w:vAlign w:val="center"/>
          </w:tcPr>
          <w:p w14:paraId="18CB74A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酒店名称</w:t>
            </w:r>
          </w:p>
        </w:tc>
        <w:tc>
          <w:tcPr>
            <w:tcW w:w="1985" w:type="dxa"/>
            <w:vAlign w:val="center"/>
          </w:tcPr>
          <w:p w14:paraId="481F659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房间标准（m</w:t>
            </w:r>
            <w:r>
              <w:rPr>
                <w:rFonts w:ascii="Calibri" w:hAnsi="Calibri" w:eastAsia="仿宋" w:cs="Calibri"/>
                <w:b/>
                <w:kern w:val="0"/>
                <w:sz w:val="28"/>
                <w:szCs w:val="24"/>
              </w:rPr>
              <w:t>²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4"/>
              </w:rPr>
              <w:t>）</w:t>
            </w:r>
          </w:p>
        </w:tc>
        <w:tc>
          <w:tcPr>
            <w:tcW w:w="3402" w:type="dxa"/>
            <w:gridSpan w:val="2"/>
            <w:vAlign w:val="center"/>
          </w:tcPr>
          <w:p w14:paraId="2740EC99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投标报价（元）</w:t>
            </w:r>
          </w:p>
        </w:tc>
        <w:tc>
          <w:tcPr>
            <w:tcW w:w="1560" w:type="dxa"/>
            <w:vAlign w:val="center"/>
          </w:tcPr>
          <w:p w14:paraId="62E2F68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服务期限</w:t>
            </w:r>
          </w:p>
        </w:tc>
        <w:tc>
          <w:tcPr>
            <w:tcW w:w="1134" w:type="dxa"/>
            <w:vAlign w:val="center"/>
          </w:tcPr>
          <w:p w14:paraId="2CB48F1E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备注</w:t>
            </w:r>
          </w:p>
        </w:tc>
      </w:tr>
      <w:tr w14:paraId="2DA9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702" w:type="dxa"/>
            <w:vMerge w:val="restart"/>
            <w:vAlign w:val="center"/>
          </w:tcPr>
          <w:p w14:paraId="1A56E5F6">
            <w:pPr>
              <w:widowControl/>
              <w:spacing w:line="450" w:lineRule="atLeast"/>
              <w:ind w:firstLine="843" w:firstLineChars="3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2DE4D6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701" w:type="dxa"/>
            <w:vAlign w:val="center"/>
          </w:tcPr>
          <w:p w14:paraId="552085B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：间/夜</w:t>
            </w:r>
          </w:p>
        </w:tc>
        <w:tc>
          <w:tcPr>
            <w:tcW w:w="1701" w:type="dxa"/>
            <w:vMerge w:val="restart"/>
            <w:vAlign w:val="center"/>
          </w:tcPr>
          <w:p w14:paraId="54215A2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04300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达到合同金额上限或合同期限1年</w:t>
            </w:r>
          </w:p>
        </w:tc>
        <w:tc>
          <w:tcPr>
            <w:tcW w:w="1134" w:type="dxa"/>
            <w:vMerge w:val="restart"/>
            <w:vAlign w:val="center"/>
          </w:tcPr>
          <w:p w14:paraId="7B0A3FB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含双早餐费</w:t>
            </w:r>
          </w:p>
        </w:tc>
      </w:tr>
      <w:tr w14:paraId="3A2C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702" w:type="dxa"/>
            <w:vMerge w:val="continue"/>
            <w:vAlign w:val="center"/>
          </w:tcPr>
          <w:p w14:paraId="2269E457">
            <w:pPr>
              <w:widowControl/>
              <w:spacing w:line="450" w:lineRule="atLeast"/>
              <w:ind w:firstLine="843" w:firstLineChars="3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C04FA8F">
            <w:pPr>
              <w:widowControl/>
              <w:spacing w:line="450" w:lineRule="atLeast"/>
              <w:ind w:firstLine="562" w:firstLineChars="200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7211B5E3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  <w:highlight w:val="none"/>
              </w:rPr>
              <w:t>旺季：间/夜</w:t>
            </w:r>
          </w:p>
        </w:tc>
        <w:tc>
          <w:tcPr>
            <w:tcW w:w="1701" w:type="dxa"/>
            <w:vMerge w:val="continue"/>
            <w:vAlign w:val="center"/>
          </w:tcPr>
          <w:p w14:paraId="674D9A5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4DAFABA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5B602C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yellow"/>
              </w:rPr>
            </w:pPr>
          </w:p>
        </w:tc>
      </w:tr>
    </w:tbl>
    <w:p w14:paraId="7CB574A8">
      <w:pPr>
        <w:widowControl/>
        <w:spacing w:line="450" w:lineRule="atLeast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</w:p>
    <w:p w14:paraId="27C62EE2">
      <w:pPr>
        <w:widowControl/>
        <w:spacing w:line="450" w:lineRule="atLeast"/>
        <w:jc w:val="left"/>
        <w:textAlignment w:val="baseline"/>
        <w:rPr>
          <w:rFonts w:ascii="仿宋" w:hAnsi="仿宋" w:eastAsia="仿宋"/>
          <w:b/>
          <w:sz w:val="32"/>
          <w:szCs w:val="28"/>
        </w:rPr>
      </w:pPr>
    </w:p>
    <w:p w14:paraId="18A4B744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表2：</w:t>
      </w:r>
      <w:r>
        <w:rPr>
          <w:rFonts w:hint="eastAsia" w:ascii="仿宋" w:hAnsi="仿宋" w:eastAsia="仿宋"/>
          <w:sz w:val="32"/>
          <w:szCs w:val="28"/>
        </w:rPr>
        <w:t>此表只报价，不作为评分计算。本次采购的价格（含</w:t>
      </w:r>
    </w:p>
    <w:p w14:paraId="6C1FD279">
      <w:pPr>
        <w:widowControl/>
        <w:spacing w:line="450" w:lineRule="atLeast"/>
        <w:jc w:val="left"/>
        <w:textAlignment w:val="baseline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税）分淡、旺季，</w:t>
      </w:r>
      <w:r>
        <w:rPr>
          <w:rFonts w:ascii="仿宋" w:hAnsi="仿宋" w:eastAsia="仿宋"/>
          <w:sz w:val="32"/>
          <w:szCs w:val="28"/>
        </w:rPr>
        <w:t>1</w:t>
      </w:r>
      <w:r>
        <w:rPr>
          <w:rFonts w:hint="eastAsia" w:ascii="仿宋" w:hAnsi="仿宋" w:eastAsia="仿宋"/>
          <w:sz w:val="32"/>
          <w:szCs w:val="28"/>
        </w:rPr>
        <w:t>年合同期内按协议价执行。正餐（中、晚餐）统一按自助餐或桌餐标准报价（按每人每餐每次报价）。</w:t>
      </w:r>
    </w:p>
    <w:p w14:paraId="120AB7F0">
      <w:pPr>
        <w:widowControl/>
        <w:spacing w:line="450" w:lineRule="atLeast"/>
        <w:jc w:val="center"/>
        <w:textAlignment w:val="baseline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定点酒店报价表</w:t>
      </w:r>
    </w:p>
    <w:tbl>
      <w:tblPr>
        <w:tblStyle w:val="5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482"/>
        <w:gridCol w:w="1701"/>
        <w:gridCol w:w="2977"/>
        <w:gridCol w:w="1559"/>
      </w:tblGrid>
      <w:tr w14:paraId="70BEC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779" w:type="dxa"/>
            <w:vAlign w:val="center"/>
          </w:tcPr>
          <w:p w14:paraId="2F39E5F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房间标准</w:t>
            </w:r>
          </w:p>
        </w:tc>
        <w:tc>
          <w:tcPr>
            <w:tcW w:w="1482" w:type="dxa"/>
            <w:vAlign w:val="center"/>
          </w:tcPr>
          <w:p w14:paraId="0211757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房间面积（m²)</w:t>
            </w:r>
          </w:p>
        </w:tc>
        <w:tc>
          <w:tcPr>
            <w:tcW w:w="1701" w:type="dxa"/>
            <w:vAlign w:val="center"/>
          </w:tcPr>
          <w:p w14:paraId="0460ED2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可提供</w:t>
            </w:r>
          </w:p>
          <w:p w14:paraId="39916F9F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房间数（间）</w:t>
            </w:r>
          </w:p>
        </w:tc>
        <w:tc>
          <w:tcPr>
            <w:tcW w:w="2977" w:type="dxa"/>
            <w:vAlign w:val="center"/>
          </w:tcPr>
          <w:p w14:paraId="7795605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报价</w:t>
            </w:r>
          </w:p>
          <w:p w14:paraId="4B79AF8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（元/间/夜）</w:t>
            </w:r>
          </w:p>
        </w:tc>
        <w:tc>
          <w:tcPr>
            <w:tcW w:w="1559" w:type="dxa"/>
            <w:vAlign w:val="center"/>
          </w:tcPr>
          <w:p w14:paraId="4F17A4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备 注</w:t>
            </w:r>
          </w:p>
        </w:tc>
      </w:tr>
      <w:tr w14:paraId="0D67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19FDD62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285CC13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CA7F45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0C50496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4221E17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含双早</w:t>
            </w:r>
          </w:p>
        </w:tc>
      </w:tr>
      <w:tr w14:paraId="4781D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5B8E481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4A720A3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F60A60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148E64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65E04D44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21AB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0045CEE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D96869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74ED358A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59B88A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</w:tcPr>
          <w:p w14:paraId="61294C25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74C5F8A2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487C74E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含早餐</w:t>
            </w:r>
          </w:p>
          <w:p w14:paraId="3CC9824D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13F0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7BBE1F6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400D6B6F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7B5829B4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BE1443C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2DEBB9A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0180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3B58C7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套间</w:t>
            </w:r>
          </w:p>
        </w:tc>
        <w:tc>
          <w:tcPr>
            <w:tcW w:w="1482" w:type="dxa"/>
            <w:vMerge w:val="restart"/>
          </w:tcPr>
          <w:p w14:paraId="5C5FB6E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53FCCF6D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EBD573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13EBBFAC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9BC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04F072D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64DA34C5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4F68D5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C23CC75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736870E2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58F8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vAlign w:val="center"/>
          </w:tcPr>
          <w:p w14:paraId="035A5BE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标准间</w:t>
            </w:r>
          </w:p>
        </w:tc>
        <w:tc>
          <w:tcPr>
            <w:tcW w:w="1482" w:type="dxa"/>
            <w:vMerge w:val="restart"/>
          </w:tcPr>
          <w:p w14:paraId="3BDA1AF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CD6EC5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D4888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54D4751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不含双早</w:t>
            </w:r>
          </w:p>
        </w:tc>
      </w:tr>
      <w:tr w14:paraId="767C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  <w:vAlign w:val="center"/>
          </w:tcPr>
          <w:p w14:paraId="7B4FD43E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61AE81AC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2F6E3F50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CC6BA7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  <w:vAlign w:val="center"/>
          </w:tcPr>
          <w:p w14:paraId="4485BE11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42AC7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17C2248B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单人间</w:t>
            </w:r>
          </w:p>
        </w:tc>
        <w:tc>
          <w:tcPr>
            <w:tcW w:w="1482" w:type="dxa"/>
            <w:vMerge w:val="restart"/>
          </w:tcPr>
          <w:p w14:paraId="49EDECE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E2A74E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B00F38A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restart"/>
            <w:vAlign w:val="center"/>
          </w:tcPr>
          <w:p w14:paraId="562341C6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不含早餐</w:t>
            </w:r>
          </w:p>
        </w:tc>
      </w:tr>
      <w:tr w14:paraId="322E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4C7462BD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5BD376E3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6570D71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2FCCED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75A46EF6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0EE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restart"/>
            <w:shd w:val="clear" w:color="auto" w:fill="auto"/>
            <w:vAlign w:val="center"/>
          </w:tcPr>
          <w:p w14:paraId="5541C77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  <w:highlight w:val="red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套间</w:t>
            </w:r>
          </w:p>
        </w:tc>
        <w:tc>
          <w:tcPr>
            <w:tcW w:w="1482" w:type="dxa"/>
            <w:vMerge w:val="restart"/>
          </w:tcPr>
          <w:p w14:paraId="0C5A5B4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438AF1B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AEBFD09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>淡季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62A1B832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409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79" w:type="dxa"/>
            <w:vMerge w:val="continue"/>
          </w:tcPr>
          <w:p w14:paraId="5B7379D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  <w:vMerge w:val="continue"/>
          </w:tcPr>
          <w:p w14:paraId="75A8B542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5A096074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F6EABF2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旺季：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元/间/夜</w:t>
            </w:r>
          </w:p>
        </w:tc>
        <w:tc>
          <w:tcPr>
            <w:tcW w:w="1559" w:type="dxa"/>
            <w:vMerge w:val="continue"/>
          </w:tcPr>
          <w:p w14:paraId="01A9212F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3504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restart"/>
          </w:tcPr>
          <w:p w14:paraId="485612F7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  <w:p w14:paraId="6DB30774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会议室</w:t>
            </w:r>
          </w:p>
          <w:p w14:paraId="71EFA884">
            <w:pPr>
              <w:widowControl/>
              <w:spacing w:line="450" w:lineRule="atLeast"/>
              <w:ind w:firstLine="281" w:firstLineChars="1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3A3802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大：   （㎡)</w:t>
            </w:r>
          </w:p>
        </w:tc>
        <w:tc>
          <w:tcPr>
            <w:tcW w:w="4678" w:type="dxa"/>
            <w:gridSpan w:val="2"/>
          </w:tcPr>
          <w:p w14:paraId="169AECE8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restart"/>
            <w:vAlign w:val="center"/>
          </w:tcPr>
          <w:p w14:paraId="5D962F59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只报价，不做评分。</w:t>
            </w:r>
          </w:p>
        </w:tc>
      </w:tr>
      <w:tr w14:paraId="4B6A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 w14:paraId="652FFA97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186C8EDF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中：   （㎡)</w:t>
            </w:r>
          </w:p>
        </w:tc>
        <w:tc>
          <w:tcPr>
            <w:tcW w:w="4678" w:type="dxa"/>
            <w:gridSpan w:val="2"/>
          </w:tcPr>
          <w:p w14:paraId="3B08B358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continue"/>
          </w:tcPr>
          <w:p w14:paraId="7AEADBEA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78D6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 w14:paraId="5F5B2D58">
            <w:pPr>
              <w:widowControl/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  <w:tc>
          <w:tcPr>
            <w:tcW w:w="1482" w:type="dxa"/>
          </w:tcPr>
          <w:p w14:paraId="6C1A3D07">
            <w:pPr>
              <w:widowControl/>
              <w:spacing w:line="450" w:lineRule="atLeas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小：   （㎡)</w:t>
            </w:r>
          </w:p>
        </w:tc>
        <w:tc>
          <w:tcPr>
            <w:tcW w:w="4678" w:type="dxa"/>
            <w:gridSpan w:val="2"/>
          </w:tcPr>
          <w:p w14:paraId="2AC0985F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价格：</w:t>
            </w:r>
          </w:p>
        </w:tc>
        <w:tc>
          <w:tcPr>
            <w:tcW w:w="1559" w:type="dxa"/>
            <w:vMerge w:val="continue"/>
          </w:tcPr>
          <w:p w14:paraId="10FAA667">
            <w:pPr>
              <w:widowControl/>
              <w:spacing w:line="450" w:lineRule="atLeast"/>
              <w:ind w:firstLine="843" w:firstLineChars="300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</w:p>
        </w:tc>
      </w:tr>
      <w:tr w14:paraId="134E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9" w:type="dxa"/>
            <w:vAlign w:val="center"/>
          </w:tcPr>
          <w:p w14:paraId="5768EF91">
            <w:pPr>
              <w:spacing w:line="450" w:lineRule="atLeast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早餐</w:t>
            </w:r>
          </w:p>
        </w:tc>
        <w:tc>
          <w:tcPr>
            <w:tcW w:w="6160" w:type="dxa"/>
            <w:gridSpan w:val="3"/>
          </w:tcPr>
          <w:p w14:paraId="6DE14913">
            <w:pPr>
              <w:widowControl/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价格：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元/人</w:t>
            </w:r>
          </w:p>
        </w:tc>
        <w:tc>
          <w:tcPr>
            <w:tcW w:w="1559" w:type="dxa"/>
          </w:tcPr>
          <w:p w14:paraId="6773BC6F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自助餐，只报价，不做评分。</w:t>
            </w:r>
          </w:p>
        </w:tc>
      </w:tr>
      <w:tr w14:paraId="1BD5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779" w:type="dxa"/>
            <w:vAlign w:val="center"/>
          </w:tcPr>
          <w:p w14:paraId="5ABE986C">
            <w:pPr>
              <w:spacing w:line="450" w:lineRule="atLeast"/>
              <w:ind w:firstLine="281" w:firstLineChars="100"/>
              <w:jc w:val="center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中/晚餐</w:t>
            </w:r>
          </w:p>
        </w:tc>
        <w:tc>
          <w:tcPr>
            <w:tcW w:w="6160" w:type="dxa"/>
            <w:gridSpan w:val="3"/>
          </w:tcPr>
          <w:p w14:paraId="77EA1CA7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价格：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元/人</w:t>
            </w:r>
          </w:p>
          <w:p w14:paraId="5CEA4E1C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 xml:space="preserve">或 </w:t>
            </w:r>
            <w:r>
              <w:rPr>
                <w:rFonts w:ascii="仿宋" w:hAnsi="仿宋" w:eastAsia="仿宋"/>
                <w:b/>
                <w:kern w:val="0"/>
                <w:sz w:val="28"/>
                <w:szCs w:val="24"/>
              </w:rPr>
              <w:t xml:space="preserve">       </w:t>
            </w: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元/桌</w:t>
            </w:r>
          </w:p>
        </w:tc>
        <w:tc>
          <w:tcPr>
            <w:tcW w:w="1559" w:type="dxa"/>
          </w:tcPr>
          <w:p w14:paraId="23C37113">
            <w:pPr>
              <w:spacing w:line="450" w:lineRule="atLeast"/>
              <w:jc w:val="left"/>
              <w:textAlignment w:val="baseline"/>
              <w:rPr>
                <w:rFonts w:ascii="仿宋" w:hAnsi="仿宋" w:eastAsia="仿宋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4"/>
              </w:rPr>
              <w:t>自助餐或桌餐，只报价，不做评分。桌餐请注明餐标</w:t>
            </w:r>
          </w:p>
        </w:tc>
      </w:tr>
    </w:tbl>
    <w:p w14:paraId="606EBA4B">
      <w:pPr>
        <w:rPr>
          <w:rFonts w:ascii="仿宋" w:hAnsi="仿宋" w:eastAsia="仿宋"/>
          <w:sz w:val="24"/>
          <w:szCs w:val="24"/>
        </w:rPr>
      </w:pPr>
    </w:p>
    <w:p w14:paraId="2F026CC7">
      <w:pPr>
        <w:tabs>
          <w:tab w:val="left" w:pos="900"/>
        </w:tabs>
        <w:spacing w:before="156" w:beforeLines="50" w:line="360" w:lineRule="auto"/>
        <w:rPr>
          <w:rFonts w:ascii="黑体" w:hAnsi="黑体" w:eastAsia="黑体" w:cs="Times New Roman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sz w:val="32"/>
          <w:szCs w:val="32"/>
        </w:rPr>
        <w:t>五、采购标的需满足的服务标准、期限、效率等要求</w:t>
      </w:r>
    </w:p>
    <w:p w14:paraId="374700B1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（一）资质要求：</w:t>
      </w:r>
    </w:p>
    <w:p w14:paraId="414E844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卫生许可证；食品经营许可证；消防安全合格证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或消防安全检查意见书</w:t>
      </w:r>
      <w:r>
        <w:rPr>
          <w:rFonts w:hint="eastAsia" w:ascii="仿宋" w:hAnsi="仿宋" w:eastAsia="仿宋" w:cs="Times New Roman"/>
          <w:sz w:val="32"/>
          <w:szCs w:val="32"/>
        </w:rPr>
        <w:t>；特种设备使用标志（电梯）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或电梯定期检验报告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bookmarkStart w:id="4" w:name="_GoBack"/>
      <w:bookmarkEnd w:id="4"/>
    </w:p>
    <w:p w14:paraId="56233412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（二）硬件设施要求：</w:t>
      </w:r>
    </w:p>
    <w:p w14:paraId="5A86BE92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.酒店距离西安交通大学兴庆校区</w:t>
      </w:r>
      <w:r>
        <w:rPr>
          <w:rFonts w:ascii="仿宋" w:hAnsi="仿宋" w:eastAsia="仿宋" w:cs="Times New Roman"/>
          <w:sz w:val="32"/>
          <w:szCs w:val="32"/>
          <w:highlight w:val="none"/>
        </w:rPr>
        <w:t>3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公里以内及</w:t>
      </w:r>
      <w:r>
        <w:rPr>
          <w:rFonts w:hint="eastAsia" w:ascii="仿宋" w:hAnsi="仿宋" w:eastAsia="仿宋" w:cs="Times New Roman"/>
          <w:sz w:val="32"/>
          <w:szCs w:val="32"/>
        </w:rPr>
        <w:t>与西安交通大学签订《教育培训合作协议》的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定点酒店；</w:t>
      </w:r>
      <w:r>
        <w:rPr>
          <w:rFonts w:hint="eastAsia" w:ascii="仿宋" w:hAnsi="仿宋" w:eastAsia="仿宋" w:cs="Times New Roman"/>
          <w:sz w:val="32"/>
          <w:szCs w:val="32"/>
        </w:rPr>
        <w:t xml:space="preserve"> </w:t>
      </w:r>
    </w:p>
    <w:p w14:paraId="3DD8024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免费提供可临时停放大巴车的场地；</w:t>
      </w:r>
    </w:p>
    <w:p w14:paraId="00AA22D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.住宿质量要求</w:t>
      </w:r>
    </w:p>
    <w:p w14:paraId="5F5034F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（1）标准间面积不小于15平方米；</w:t>
      </w:r>
    </w:p>
    <w:p w14:paraId="17BDD22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（2）标准间床宽不小于1.2米；</w:t>
      </w:r>
    </w:p>
    <w:p w14:paraId="25BEC0E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（3）室内必须有可打开通风的窗户；</w:t>
      </w:r>
    </w:p>
    <w:p w14:paraId="14079BB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（4）装修良好、美观，有梳妆台或写字台、衣橱及衣架、座椅或简易沙发、床头柜、床头灯及行李架等配套家具；</w:t>
      </w:r>
    </w:p>
    <w:p w14:paraId="728F209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（5）室内地毯或木地板等；</w:t>
      </w:r>
    </w:p>
    <w:p w14:paraId="459B5491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（6）卫生间装有抽水马桶、梳妆台(配备面盆、梳妆镜和盥洗用品、淋浴间；</w:t>
      </w:r>
    </w:p>
    <w:p w14:paraId="1334B3C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（7）具有有效的防滑措施及排风系统；</w:t>
      </w:r>
    </w:p>
    <w:p w14:paraId="6155380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（8）24小时供应冷、热水；</w:t>
      </w:r>
    </w:p>
    <w:p w14:paraId="4B074D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（9）有冷热空调系统、电话机、彩色电视机、宽带接入端口或免费Wifi服务、电源插座、遮光窗帘;客房每天清理1次，客用品和消耗品补充齐全，免费矿泉水2瓶/天;</w:t>
      </w:r>
    </w:p>
    <w:p w14:paraId="53A5361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（10）提供留言和叫醒服务;</w:t>
      </w:r>
    </w:p>
    <w:p w14:paraId="689E091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.用餐质量要求</w:t>
      </w:r>
    </w:p>
    <w:p w14:paraId="466BF73F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（1）早餐保证三道热菜、小菜、蛋类、饮品等；</w:t>
      </w:r>
    </w:p>
    <w:p w14:paraId="063154D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（2）正餐至少保证五道热菜（荤素搭配），三道凉菜（荤素搭配）、主食、饮品等。</w:t>
      </w:r>
    </w:p>
    <w:p w14:paraId="003EB712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（三）服务要求：</w:t>
      </w:r>
    </w:p>
    <w:p w14:paraId="65F37C93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1.酒店必须优先满足学院学员入住，安排专人负责预定、结算、备餐、总协调等事宜；</w:t>
      </w:r>
    </w:p>
    <w:p w14:paraId="2F767624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2.酒店对入住学员信息负有保密职责，违约泄密经查实，终止服务并追究法律责任；</w:t>
      </w:r>
    </w:p>
    <w:p w14:paraId="1D373A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3.酒店应提供学员满意的住宿餐饮服务，若发生学员投诉，经核实属于酒店责任的停止半年服务；</w:t>
      </w:r>
    </w:p>
    <w:p w14:paraId="50DA1E54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4.酒店配合学院提供报到接待、分发学习资料等相应服务；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 w14:paraId="0B2DD19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5.酒店必须在开具发票的同时提供电子结算单，以便培训委托单位报销。</w:t>
      </w:r>
    </w:p>
    <w:p w14:paraId="3133B55C">
      <w:pPr>
        <w:tabs>
          <w:tab w:val="left" w:pos="900"/>
        </w:tabs>
        <w:spacing w:before="156" w:beforeLines="50" w:line="360" w:lineRule="auto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（四）安全要求：</w:t>
      </w:r>
    </w:p>
    <w:p w14:paraId="484AF21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1.住宿安全要求</w:t>
      </w:r>
    </w:p>
    <w:p w14:paraId="75F1D1E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（1）客人入住手续规范，符合公安部门的登记住宿规定；</w:t>
      </w:r>
    </w:p>
    <w:p w14:paraId="3356410B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（2）客房内张贴或放置旅客住宿须知，有应急疏散图；</w:t>
      </w:r>
    </w:p>
    <w:p w14:paraId="50D8058C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（3）有24小时安保服务；</w:t>
      </w:r>
    </w:p>
    <w:p w14:paraId="3C80C32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（4）客房门窥镜、门锁、安全链牢固有效；</w:t>
      </w:r>
    </w:p>
    <w:p w14:paraId="1A566BE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（5）有应对火灾、爆炸、停水停电和自然灾害等突发事件的应急预案；</w:t>
      </w:r>
    </w:p>
    <w:p w14:paraId="0F59FBB8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（6）学员入住酒店期间，若发生人身财产等意外事件，酒店承担相应的经济赔偿及法律责任，若对学院造成不良影响，视情节轻重，扣除本班次结算金额的10%-30%作为赔偿金。</w:t>
      </w:r>
    </w:p>
    <w:p w14:paraId="275428BF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2.用餐安全要求</w:t>
      </w:r>
    </w:p>
    <w:p w14:paraId="315299E6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（1）外购食（饮）品和加工制作食（饮）品符合《中华人民共和国食品卫生法》规定，安全卫生；</w:t>
      </w:r>
    </w:p>
    <w:p w14:paraId="44019E1D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color w:val="FF0000"/>
          <w:sz w:val="32"/>
          <w:szCs w:val="32"/>
          <w:shd w:val="pct15" w:color="auto" w:fill="FFFFFF"/>
        </w:rPr>
      </w:pPr>
      <w:r>
        <w:rPr>
          <w:rFonts w:hint="eastAsia" w:ascii="仿宋" w:hAnsi="仿宋" w:eastAsia="仿宋" w:cs="Times New Roman"/>
          <w:sz w:val="32"/>
          <w:szCs w:val="32"/>
        </w:rPr>
        <w:t>（2）食品加工者需持有健康证；</w:t>
      </w:r>
    </w:p>
    <w:p w14:paraId="550B89F0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（3）食品原材料的采购、运输、存储符合《中华人民共和国食品卫生法》规定；</w:t>
      </w:r>
    </w:p>
    <w:p w14:paraId="1E0AE152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（4）餐具、饮具（含茶具）每日清洗、消毒；</w:t>
      </w:r>
    </w:p>
    <w:p w14:paraId="78575DA1">
      <w:pPr>
        <w:widowControl/>
        <w:spacing w:line="450" w:lineRule="atLeast"/>
        <w:ind w:firstLine="640" w:firstLineChars="200"/>
        <w:jc w:val="left"/>
        <w:textAlignment w:val="baseline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（5）食品安全应急处置预案。</w:t>
      </w:r>
    </w:p>
    <w:bookmarkEnd w:id="1"/>
    <w:bookmarkEnd w:id="2"/>
    <w:bookmarkEnd w:id="3"/>
    <w:p w14:paraId="139763E7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94019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40AC5E6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73"/>
    <w:rsid w:val="000012E8"/>
    <w:rsid w:val="000404EB"/>
    <w:rsid w:val="00042C49"/>
    <w:rsid w:val="00044AA8"/>
    <w:rsid w:val="000565F4"/>
    <w:rsid w:val="00060FB0"/>
    <w:rsid w:val="000803B5"/>
    <w:rsid w:val="00080788"/>
    <w:rsid w:val="00095D01"/>
    <w:rsid w:val="000A0262"/>
    <w:rsid w:val="000C6145"/>
    <w:rsid w:val="000D30C0"/>
    <w:rsid w:val="000E0DE8"/>
    <w:rsid w:val="000E2216"/>
    <w:rsid w:val="000E658C"/>
    <w:rsid w:val="000F1B9E"/>
    <w:rsid w:val="000F404A"/>
    <w:rsid w:val="001024AD"/>
    <w:rsid w:val="00105C98"/>
    <w:rsid w:val="0011071E"/>
    <w:rsid w:val="00123D11"/>
    <w:rsid w:val="00130896"/>
    <w:rsid w:val="00153C24"/>
    <w:rsid w:val="00195C21"/>
    <w:rsid w:val="001A65EF"/>
    <w:rsid w:val="001B3B67"/>
    <w:rsid w:val="001C3DF3"/>
    <w:rsid w:val="0023435B"/>
    <w:rsid w:val="00265C9D"/>
    <w:rsid w:val="0027246F"/>
    <w:rsid w:val="00272D89"/>
    <w:rsid w:val="00295EDD"/>
    <w:rsid w:val="0029651A"/>
    <w:rsid w:val="00313377"/>
    <w:rsid w:val="00341382"/>
    <w:rsid w:val="003478E6"/>
    <w:rsid w:val="0036793E"/>
    <w:rsid w:val="003C617A"/>
    <w:rsid w:val="003E1BF9"/>
    <w:rsid w:val="003F2A73"/>
    <w:rsid w:val="003F3684"/>
    <w:rsid w:val="00435ED8"/>
    <w:rsid w:val="00457E44"/>
    <w:rsid w:val="00464FCA"/>
    <w:rsid w:val="004764F9"/>
    <w:rsid w:val="004819B1"/>
    <w:rsid w:val="00482EFB"/>
    <w:rsid w:val="0048772E"/>
    <w:rsid w:val="004902A7"/>
    <w:rsid w:val="004B6C26"/>
    <w:rsid w:val="004F0A8F"/>
    <w:rsid w:val="00511184"/>
    <w:rsid w:val="005155EB"/>
    <w:rsid w:val="00533AC7"/>
    <w:rsid w:val="00555C7D"/>
    <w:rsid w:val="00596C79"/>
    <w:rsid w:val="005A3C79"/>
    <w:rsid w:val="005A6C3E"/>
    <w:rsid w:val="005E6D8E"/>
    <w:rsid w:val="005F2DED"/>
    <w:rsid w:val="00612177"/>
    <w:rsid w:val="00612DFB"/>
    <w:rsid w:val="0061614F"/>
    <w:rsid w:val="00635AC7"/>
    <w:rsid w:val="00674810"/>
    <w:rsid w:val="006A09A5"/>
    <w:rsid w:val="006B31BD"/>
    <w:rsid w:val="006C3E90"/>
    <w:rsid w:val="006D2024"/>
    <w:rsid w:val="006D318F"/>
    <w:rsid w:val="006F31FF"/>
    <w:rsid w:val="00704708"/>
    <w:rsid w:val="0071774E"/>
    <w:rsid w:val="00735A74"/>
    <w:rsid w:val="00740F69"/>
    <w:rsid w:val="0078593A"/>
    <w:rsid w:val="007B04A0"/>
    <w:rsid w:val="007C5CD4"/>
    <w:rsid w:val="00813855"/>
    <w:rsid w:val="0084176A"/>
    <w:rsid w:val="008419C8"/>
    <w:rsid w:val="00854D1A"/>
    <w:rsid w:val="008D3B6A"/>
    <w:rsid w:val="008D75AD"/>
    <w:rsid w:val="008E4746"/>
    <w:rsid w:val="0091434B"/>
    <w:rsid w:val="00931668"/>
    <w:rsid w:val="00947F2D"/>
    <w:rsid w:val="009716E2"/>
    <w:rsid w:val="009B0CC9"/>
    <w:rsid w:val="009B7051"/>
    <w:rsid w:val="009C34C4"/>
    <w:rsid w:val="009D3A8D"/>
    <w:rsid w:val="009D3A8E"/>
    <w:rsid w:val="009D53A6"/>
    <w:rsid w:val="00A05100"/>
    <w:rsid w:val="00A22CC4"/>
    <w:rsid w:val="00A56C31"/>
    <w:rsid w:val="00A66548"/>
    <w:rsid w:val="00A7074C"/>
    <w:rsid w:val="00AB5273"/>
    <w:rsid w:val="00AE05B1"/>
    <w:rsid w:val="00B544E7"/>
    <w:rsid w:val="00B61BDF"/>
    <w:rsid w:val="00B6560C"/>
    <w:rsid w:val="00B74E6B"/>
    <w:rsid w:val="00BA5F88"/>
    <w:rsid w:val="00BB28E9"/>
    <w:rsid w:val="00BC2D85"/>
    <w:rsid w:val="00BC2E47"/>
    <w:rsid w:val="00BD3436"/>
    <w:rsid w:val="00BD5E68"/>
    <w:rsid w:val="00BE7044"/>
    <w:rsid w:val="00C436FD"/>
    <w:rsid w:val="00C816E4"/>
    <w:rsid w:val="00C81ACF"/>
    <w:rsid w:val="00CF63D3"/>
    <w:rsid w:val="00D11808"/>
    <w:rsid w:val="00D17EA7"/>
    <w:rsid w:val="00D52A21"/>
    <w:rsid w:val="00D65EB7"/>
    <w:rsid w:val="00D9200D"/>
    <w:rsid w:val="00D97861"/>
    <w:rsid w:val="00DC0580"/>
    <w:rsid w:val="00DC2A5E"/>
    <w:rsid w:val="00DC71DF"/>
    <w:rsid w:val="00DD28A5"/>
    <w:rsid w:val="00DD5A9F"/>
    <w:rsid w:val="00E027E5"/>
    <w:rsid w:val="00E210B3"/>
    <w:rsid w:val="00E22253"/>
    <w:rsid w:val="00E36240"/>
    <w:rsid w:val="00E41C8F"/>
    <w:rsid w:val="00E517EC"/>
    <w:rsid w:val="00E627B6"/>
    <w:rsid w:val="00E67168"/>
    <w:rsid w:val="00E87542"/>
    <w:rsid w:val="00EC15B8"/>
    <w:rsid w:val="00ED3163"/>
    <w:rsid w:val="00F03A59"/>
    <w:rsid w:val="00F33169"/>
    <w:rsid w:val="00F509C2"/>
    <w:rsid w:val="00F56C0A"/>
    <w:rsid w:val="00F602C8"/>
    <w:rsid w:val="00F677EE"/>
    <w:rsid w:val="00F92FB7"/>
    <w:rsid w:val="00F959BD"/>
    <w:rsid w:val="00FE522D"/>
    <w:rsid w:val="00FF291F"/>
    <w:rsid w:val="06250585"/>
    <w:rsid w:val="13FF7A53"/>
    <w:rsid w:val="1FB2083A"/>
    <w:rsid w:val="201F5250"/>
    <w:rsid w:val="265C548E"/>
    <w:rsid w:val="3C807E3A"/>
    <w:rsid w:val="4B44088A"/>
    <w:rsid w:val="4F553AA5"/>
    <w:rsid w:val="75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F8D9-0D63-447C-B632-4A9943A594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2359</Words>
  <Characters>2473</Characters>
  <Lines>20</Lines>
  <Paragraphs>5</Paragraphs>
  <TotalTime>81</TotalTime>
  <ScaleCrop>false</ScaleCrop>
  <LinksUpToDate>false</LinksUpToDate>
  <CharactersWithSpaces>2583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2021-05-12T06:49:00Z</dcterms:created>
  <dc:creator>Windows 用户</dc:creator>
  <cp:lastModifiedBy>梦飞扬</cp:lastModifiedBy>
  <dcterms:modified xsi:type="dcterms:W3CDTF">2025-12-03T04:21:55Z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eyJoZGlkIjoiZjJkNDQ4MGUyYmVmZDVhNjliYzU5Yjk4ZGE2YzliYjAiLCJ1c2VySWQiOiIxMDc4MjMxODI0In0=</vt:lpwstr>
  </property>
  <property fmtid="{D5CDD505-2E9C-101B-9397-08002B2CF9AE}" pid="3" name="KSOProductBuildVer">
    <vt:lpwstr>2052-12.1.0.22175</vt:lpwstr>
  </property>
  <property fmtid="{D5CDD505-2E9C-101B-9397-08002B2CF9AE}" pid="4" name="ICV">
    <vt:lpwstr>1A297DBC08D041C2A46A05AED86B8F5D_12</vt:lpwstr>
  </property>
</Properties>
</file>