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0AFD1">
      <w:pPr>
        <w:pStyle w:val="9"/>
        <w:adjustRightInd w:val="0"/>
        <w:snapToGrid w:val="0"/>
        <w:spacing w:before="0" w:after="0" w:line="360" w:lineRule="auto"/>
        <w:outlineLvl w:val="9"/>
        <w:rPr>
          <w:rFonts w:hint="eastAsia" w:ascii="方正小标宋简体" w:hAnsi="宋体" w:eastAsia="方正小标宋简体"/>
          <w:b w:val="0"/>
          <w:bCs w:val="0"/>
          <w:sz w:val="36"/>
        </w:rPr>
      </w:pPr>
      <w:bookmarkStart w:id="0" w:name="_Toc38367762"/>
      <w:r>
        <w:rPr>
          <w:rFonts w:hint="eastAsia" w:ascii="方正小标宋简体" w:hAnsi="宋体" w:eastAsia="方正小标宋简体"/>
          <w:b w:val="0"/>
          <w:bCs w:val="0"/>
          <w:sz w:val="36"/>
        </w:rPr>
        <w:t>【榆林市煤层分布规律及煤田地质结构研究技术服务】</w:t>
      </w:r>
    </w:p>
    <w:p w14:paraId="7294FF20">
      <w:pPr>
        <w:pStyle w:val="9"/>
        <w:adjustRightInd w:val="0"/>
        <w:snapToGrid w:val="0"/>
        <w:spacing w:before="0" w:after="0" w:line="360" w:lineRule="auto"/>
        <w:outlineLvl w:val="9"/>
        <w:rPr>
          <w:rFonts w:ascii="方正小标宋简体" w:hAnsi="宋体" w:eastAsia="方正小标宋简体"/>
          <w:b w:val="0"/>
          <w:bCs w:val="0"/>
          <w:sz w:val="36"/>
        </w:rPr>
      </w:pPr>
      <w:r>
        <w:rPr>
          <w:rFonts w:hint="eastAsia" w:ascii="方正小标宋简体" w:hAnsi="宋体" w:eastAsia="方正小标宋简体"/>
          <w:b w:val="0"/>
          <w:bCs w:val="0"/>
          <w:sz w:val="36"/>
        </w:rPr>
        <w:t>采购需求</w:t>
      </w:r>
      <w:bookmarkEnd w:id="0"/>
    </w:p>
    <w:p w14:paraId="77C2D7A7">
      <w:pPr>
        <w:tabs>
          <w:tab w:val="left" w:pos="900"/>
        </w:tabs>
        <w:adjustRightInd w:val="0"/>
        <w:snapToGrid w:val="0"/>
        <w:spacing w:line="360" w:lineRule="auto"/>
        <w:ind w:firstLine="422" w:firstLineChars="200"/>
        <w:rPr>
          <w:b/>
          <w:szCs w:val="21"/>
        </w:rPr>
      </w:pPr>
      <w:bookmarkStart w:id="1" w:name="_Toc219271393"/>
      <w:bookmarkStart w:id="2" w:name="_Toc158978330"/>
      <w:bookmarkStart w:id="3" w:name="_Toc172360661"/>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08D81523">
      <w:pPr>
        <w:tabs>
          <w:tab w:val="left" w:pos="900"/>
        </w:tabs>
        <w:adjustRightInd w:val="0"/>
        <w:snapToGrid w:val="0"/>
        <w:spacing w:line="360" w:lineRule="auto"/>
        <w:ind w:firstLine="422" w:firstLineChars="200"/>
        <w:rPr>
          <w:b/>
          <w:szCs w:val="21"/>
        </w:rPr>
      </w:pPr>
      <w:r>
        <w:rPr>
          <w:rFonts w:hAnsi="宋体"/>
          <w:b/>
          <w:szCs w:val="21"/>
        </w:rPr>
        <w:t>（一）采购</w:t>
      </w:r>
      <w:r>
        <w:rPr>
          <w:rFonts w:hint="eastAsia" w:hAnsi="宋体"/>
          <w:b/>
          <w:szCs w:val="21"/>
        </w:rPr>
        <w:t>标的</w:t>
      </w:r>
      <w:r>
        <w:rPr>
          <w:rFonts w:hAnsi="宋体"/>
          <w:b/>
          <w:szCs w:val="21"/>
        </w:rPr>
        <w:t>需实现的功能或者目标</w:t>
      </w:r>
    </w:p>
    <w:p w14:paraId="57FF3F9C">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本项目采购榆林市煤层分布规律及煤田地质结构研究</w:t>
      </w:r>
      <w:r>
        <w:rPr>
          <w:rFonts w:hint="eastAsia" w:ascii="Times New Roman" w:hAnsi="Times New Roman" w:eastAsia="宋体" w:cs="Times New Roman"/>
          <w:szCs w:val="21"/>
          <w:lang w:val="en-US" w:eastAsia="zh-CN"/>
        </w:rPr>
        <w:t>技术服务，1</w:t>
      </w:r>
      <w:r>
        <w:rPr>
          <w:rFonts w:hint="eastAsia" w:ascii="Times New Roman" w:hAnsi="Times New Roman" w:eastAsia="宋体" w:cs="Times New Roman"/>
          <w:szCs w:val="21"/>
          <w:lang w:eastAsia="zh-CN"/>
        </w:rPr>
        <w:t>套，</w:t>
      </w:r>
      <w:r>
        <w:rPr>
          <w:rFonts w:hint="eastAsia" w:ascii="Times New Roman" w:hAnsi="Times New Roman" w:eastAsia="宋体" w:cs="Times New Roman"/>
          <w:szCs w:val="21"/>
          <w:lang w:val="en-US" w:eastAsia="zh-CN"/>
        </w:rPr>
        <w:t>核心目标是为榆林市采煤沉陷区煤层火烧区隐患风险大核查提供统一、权威的煤层地质本底数据支撑。通过系统收集整理榆林市北部矿区煤田地质勘查、开采历史、资源储量等资料，深入分析不同煤矿区煤田地质结构特征（包括含煤地层、构造特征、水文地质条件等），编制采煤沉陷区煤层等值线图，精准界定煤矿采煤层位、埋深、采空范围及查明资源量、采动资源量，为后续煤火条件识别、沉陷规律推演、隐患风险评价及生态修复规划编制奠定科学基础</w:t>
      </w:r>
      <w:r>
        <w:rPr>
          <w:rFonts w:hint="eastAsia" w:ascii="Times New Roman" w:hAnsi="Times New Roman" w:eastAsia="宋体" w:cs="Times New Roman"/>
          <w:szCs w:val="21"/>
          <w:lang w:eastAsia="zh-CN"/>
        </w:rPr>
        <w:t>。</w:t>
      </w:r>
    </w:p>
    <w:p w14:paraId="7E45FA3A">
      <w:pPr>
        <w:tabs>
          <w:tab w:val="left" w:pos="900"/>
        </w:tabs>
        <w:adjustRightInd w:val="0"/>
        <w:snapToGrid w:val="0"/>
        <w:spacing w:line="360" w:lineRule="auto"/>
        <w:ind w:firstLine="422" w:firstLineChars="200"/>
        <w:rPr>
          <w:b/>
          <w:szCs w:val="21"/>
        </w:rPr>
      </w:pPr>
      <w:r>
        <w:rPr>
          <w:rFonts w:hAnsi="宋体"/>
          <w:b/>
          <w:szCs w:val="21"/>
        </w:rPr>
        <w:t>（二）政府采购政策</w:t>
      </w:r>
      <w:r>
        <w:rPr>
          <w:rFonts w:hint="eastAsia" w:hAnsi="宋体"/>
          <w:b/>
          <w:szCs w:val="21"/>
        </w:rPr>
        <w:t>落实</w:t>
      </w:r>
      <w:r>
        <w:rPr>
          <w:rFonts w:hAnsi="宋体"/>
          <w:b/>
          <w:szCs w:val="21"/>
        </w:rPr>
        <w:t>要求</w:t>
      </w:r>
    </w:p>
    <w:p w14:paraId="5D9D7DE0">
      <w:pPr>
        <w:tabs>
          <w:tab w:val="left" w:pos="900"/>
        </w:tabs>
        <w:adjustRightInd w:val="0"/>
        <w:snapToGrid w:val="0"/>
        <w:spacing w:line="360" w:lineRule="auto"/>
        <w:ind w:firstLine="420" w:firstLineChars="200"/>
        <w:rPr>
          <w:rFonts w:hAnsi="宋体"/>
          <w:szCs w:val="21"/>
        </w:rPr>
      </w:pPr>
      <w:r>
        <w:rPr>
          <w:rFonts w:hint="eastAsia" w:hAnsi="宋体"/>
          <w:szCs w:val="24"/>
        </w:rPr>
        <w:t>1</w:t>
      </w:r>
      <w:r>
        <w:rPr>
          <w:rFonts w:hAnsi="宋体"/>
          <w:szCs w:val="24"/>
        </w:rPr>
        <w:t xml:space="preserve">. </w:t>
      </w:r>
      <w:r>
        <w:rPr>
          <w:rFonts w:hint="eastAsia" w:hAnsi="宋体"/>
          <w:szCs w:val="24"/>
        </w:rPr>
        <w:t>中小企业扶持政策：</w:t>
      </w: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10E82A49">
      <w:pPr>
        <w:tabs>
          <w:tab w:val="left" w:pos="900"/>
        </w:tabs>
        <w:adjustRightInd w:val="0"/>
        <w:snapToGrid w:val="0"/>
        <w:spacing w:line="360" w:lineRule="auto"/>
        <w:ind w:firstLine="420" w:firstLineChars="200"/>
        <w:rPr>
          <w:rFonts w:hAnsi="宋体"/>
          <w:szCs w:val="24"/>
        </w:rPr>
      </w:pPr>
      <w:r>
        <w:rPr>
          <w:rFonts w:hint="eastAsia" w:hAnsi="宋体"/>
          <w:szCs w:val="24"/>
        </w:rPr>
        <w:t>本项目</w:t>
      </w:r>
      <w:bookmarkStart w:id="4" w:name="OLE_LINK23"/>
      <w:r>
        <w:rPr>
          <w:rFonts w:hint="eastAsia" w:hAnsi="宋体"/>
          <w:szCs w:val="24"/>
        </w:rPr>
        <w:t>采购标的对应的《中小企业划型标准规定》所属行业</w:t>
      </w:r>
      <w:bookmarkEnd w:id="4"/>
      <w:r>
        <w:rPr>
          <w:rFonts w:hint="eastAsia" w:hAnsi="宋体"/>
          <w:szCs w:val="24"/>
        </w:rPr>
        <w:t>为：</w:t>
      </w:r>
      <w:r>
        <w:rPr>
          <w:rFonts w:hint="eastAsia" w:hAnsi="宋体"/>
          <w:szCs w:val="24"/>
          <w:u w:val="single"/>
        </w:rPr>
        <w:t>其他未列明行业（</w:t>
      </w:r>
      <w:r>
        <w:rPr>
          <w:rFonts w:hint="eastAsia" w:hAnsi="宋体"/>
          <w:color w:val="auto"/>
          <w:szCs w:val="24"/>
          <w:highlight w:val="none"/>
          <w:u w:val="single"/>
          <w:lang w:val="en-US" w:eastAsia="zh-CN"/>
        </w:rPr>
        <w:t>包括地质勘查、煤田地质、测绘等</w:t>
      </w:r>
      <w:r>
        <w:rPr>
          <w:rFonts w:hint="eastAsia" w:hAnsi="宋体"/>
          <w:szCs w:val="24"/>
          <w:u w:val="single"/>
        </w:rPr>
        <w:t>）</w:t>
      </w:r>
      <w:r>
        <w:rPr>
          <w:rFonts w:hint="eastAsia" w:hAnsi="宋体"/>
          <w:szCs w:val="24"/>
        </w:rPr>
        <w:t>。</w:t>
      </w:r>
    </w:p>
    <w:p w14:paraId="34515769">
      <w:pPr>
        <w:tabs>
          <w:tab w:val="left" w:pos="900"/>
        </w:tabs>
        <w:adjustRightInd w:val="0"/>
        <w:snapToGrid w:val="0"/>
        <w:spacing w:line="360" w:lineRule="auto"/>
        <w:ind w:firstLine="420" w:firstLineChars="200"/>
        <w:rPr>
          <w:rFonts w:hAnsi="宋体"/>
          <w:szCs w:val="24"/>
        </w:rPr>
      </w:pPr>
      <w:r>
        <w:rPr>
          <w:rFonts w:hAnsi="宋体"/>
          <w:szCs w:val="24"/>
        </w:rPr>
        <w:t xml:space="preserve">2. </w:t>
      </w:r>
      <w:r>
        <w:rPr>
          <w:rFonts w:hint="eastAsia" w:hAnsi="宋体"/>
          <w:szCs w:val="24"/>
        </w:rPr>
        <w:t>进口产品政策：本采购项目</w:t>
      </w:r>
      <w:r>
        <w:rPr>
          <w:rFonts w:hAnsi="宋体"/>
          <w:szCs w:val="24"/>
        </w:rPr>
        <w:t xml:space="preserve"> </w:t>
      </w:r>
      <w:r>
        <w:rPr>
          <w:rFonts w:hint="eastAsia" w:hAnsi="宋体"/>
          <w:szCs w:val="24"/>
        </w:rPr>
        <w:t>□允许</w:t>
      </w:r>
      <w:r>
        <w:rPr>
          <w:rFonts w:hAnsi="宋体"/>
          <w:szCs w:val="24"/>
        </w:rPr>
        <w:t xml:space="preserve"> </w:t>
      </w:r>
      <w:r>
        <w:rPr>
          <w:rFonts w:hint="eastAsia" w:hAnsi="宋体"/>
          <w:szCs w:val="24"/>
        </w:rPr>
        <w:t>□不允许</w:t>
      </w:r>
      <w:r>
        <w:rPr>
          <w:rFonts w:hAnsi="宋体"/>
          <w:szCs w:val="24"/>
        </w:rPr>
        <w:t xml:space="preserve"> </w:t>
      </w:r>
      <w:r>
        <w:rPr>
          <w:rFonts w:hint="eastAsia" w:hAnsi="宋体"/>
          <w:szCs w:val="24"/>
        </w:rPr>
        <w:t>进口产品参加。（未进行勾选的，视为只接受本国产品参加）</w:t>
      </w:r>
    </w:p>
    <w:p w14:paraId="3A979E91">
      <w:pPr>
        <w:tabs>
          <w:tab w:val="left" w:pos="900"/>
        </w:tabs>
        <w:adjustRightInd w:val="0"/>
        <w:snapToGrid w:val="0"/>
        <w:spacing w:line="360" w:lineRule="auto"/>
        <w:ind w:firstLine="422" w:firstLineChars="200"/>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65AAFC29">
      <w:pPr>
        <w:tabs>
          <w:tab w:val="left" w:pos="900"/>
        </w:tabs>
        <w:adjustRightInd w:val="0"/>
        <w:snapToGrid w:val="0"/>
        <w:spacing w:line="360" w:lineRule="auto"/>
        <w:ind w:firstLine="420" w:firstLineChars="200"/>
        <w:rPr>
          <w:rFonts w:hint="eastAsia"/>
          <w:szCs w:val="21"/>
          <w:lang w:eastAsia="zh-CN"/>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具体执行标准如下</w:t>
      </w:r>
      <w:r>
        <w:rPr>
          <w:rFonts w:hint="eastAsia"/>
          <w:szCs w:val="21"/>
          <w:lang w:eastAsia="zh-CN"/>
        </w:rPr>
        <w:t>：</w:t>
      </w:r>
    </w:p>
    <w:p w14:paraId="724B4591">
      <w:pPr>
        <w:numPr>
          <w:ilvl w:val="0"/>
          <w:numId w:val="1"/>
        </w:numPr>
        <w:tabs>
          <w:tab w:val="left" w:pos="900"/>
        </w:tabs>
        <w:adjustRightInd w:val="0"/>
        <w:snapToGrid w:val="0"/>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《煤矿安全规程》（202</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 xml:space="preserve"> 版）</w:t>
      </w:r>
    </w:p>
    <w:p w14:paraId="55EEE051">
      <w:pPr>
        <w:tabs>
          <w:tab w:val="left" w:pos="900"/>
        </w:tabs>
        <w:adjustRightInd w:val="0"/>
        <w:snapToGrid w:val="0"/>
        <w:spacing w:line="360" w:lineRule="auto"/>
        <w:ind w:firstLine="420" w:firstLineChars="200"/>
        <w:rPr>
          <w:rFonts w:hint="eastAsia" w:ascii="Times New Roman" w:hAnsi="Times New Roman" w:eastAsia="宋体" w:cs="Times New Roman"/>
          <w:szCs w:val="21"/>
        </w:rPr>
      </w:pPr>
      <w:bookmarkStart w:id="5" w:name="_Toc6993_WPSOffice_Level3"/>
      <w:r>
        <w:rPr>
          <w:rFonts w:hint="eastAsia" w:ascii="Times New Roman" w:hAnsi="Times New Roman" w:eastAsia="宋体" w:cs="Times New Roman"/>
          <w:szCs w:val="21"/>
        </w:rPr>
        <w:t>2</w:t>
      </w:r>
      <w:bookmarkEnd w:id="5"/>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《矿产地质勘查规范 煤》（DZ/T0215-2020）</w:t>
      </w:r>
    </w:p>
    <w:p w14:paraId="77DF97D4">
      <w:pPr>
        <w:tabs>
          <w:tab w:val="left" w:pos="900"/>
        </w:tabs>
        <w:adjustRightInd w:val="0"/>
        <w:snapToGrid w:val="0"/>
        <w:spacing w:line="360" w:lineRule="auto"/>
        <w:ind w:firstLine="420" w:firstLineChars="200"/>
        <w:rPr>
          <w:rFonts w:hint="eastAsia" w:ascii="Times New Roman" w:hAnsi="Times New Roman" w:eastAsia="宋体" w:cs="Times New Roman"/>
          <w:szCs w:val="21"/>
        </w:rPr>
      </w:pPr>
      <w:bookmarkStart w:id="6" w:name="_Toc7702_WPSOffice_Level3"/>
      <w:r>
        <w:rPr>
          <w:rFonts w:hint="eastAsia" w:ascii="Times New Roman" w:hAnsi="Times New Roman" w:eastAsia="宋体" w:cs="Times New Roman"/>
          <w:szCs w:val="21"/>
        </w:rPr>
        <w:t>3</w:t>
      </w:r>
      <w:bookmarkEnd w:id="6"/>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《地质矿产勘查测量规范》GB/T18341－2021</w:t>
      </w:r>
    </w:p>
    <w:p w14:paraId="174C8D2A">
      <w:pPr>
        <w:tabs>
          <w:tab w:val="left" w:pos="900"/>
        </w:tabs>
        <w:adjustRightInd w:val="0"/>
        <w:snapToGrid w:val="0"/>
        <w:spacing w:line="360" w:lineRule="auto"/>
        <w:ind w:firstLine="420" w:firstLineChars="200"/>
        <w:rPr>
          <w:rFonts w:hint="eastAsia" w:ascii="Times New Roman" w:hAnsi="Times New Roman" w:eastAsia="宋体" w:cs="Times New Roman"/>
          <w:szCs w:val="21"/>
        </w:rPr>
      </w:pPr>
      <w:bookmarkStart w:id="7" w:name="_Toc20587_WPSOffice_Level3"/>
      <w:r>
        <w:rPr>
          <w:rFonts w:hint="eastAsia" w:ascii="Times New Roman" w:hAnsi="Times New Roman" w:eastAsia="宋体" w:cs="Times New Roman"/>
          <w:szCs w:val="21"/>
        </w:rPr>
        <w:t>4</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《煤炭地质勘查钻孔质量标准》MT/T1042-2007</w:t>
      </w:r>
      <w:bookmarkEnd w:id="7"/>
    </w:p>
    <w:p w14:paraId="00F560D4">
      <w:pPr>
        <w:tabs>
          <w:tab w:val="left" w:pos="900"/>
        </w:tabs>
        <w:adjustRightInd w:val="0"/>
        <w:snapToGrid w:val="0"/>
        <w:spacing w:line="360" w:lineRule="auto"/>
        <w:ind w:firstLine="420" w:firstLineChars="200"/>
        <w:rPr>
          <w:rFonts w:hint="eastAsia" w:ascii="Times New Roman" w:hAnsi="Times New Roman" w:eastAsia="宋体" w:cs="Times New Roman"/>
          <w:szCs w:val="21"/>
        </w:rPr>
      </w:pPr>
      <w:bookmarkStart w:id="8" w:name="_Toc1198_WPSOffice_Level3"/>
      <w:r>
        <w:rPr>
          <w:rFonts w:hint="eastAsia" w:ascii="Times New Roman" w:hAnsi="Times New Roman" w:eastAsia="宋体" w:cs="Times New Roman"/>
          <w:szCs w:val="21"/>
        </w:rPr>
        <w:t>5</w:t>
      </w:r>
      <w:bookmarkEnd w:id="8"/>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《矿区水文地质工程地质勘查规范》（GB/T12719-2021）</w:t>
      </w:r>
    </w:p>
    <w:p w14:paraId="175F0B7C">
      <w:pPr>
        <w:tabs>
          <w:tab w:val="left" w:pos="900"/>
        </w:tabs>
        <w:adjustRightInd w:val="0"/>
        <w:snapToGrid w:val="0"/>
        <w:spacing w:line="360" w:lineRule="auto"/>
        <w:ind w:firstLine="420" w:firstLineChars="200"/>
        <w:rPr>
          <w:rFonts w:hint="eastAsia" w:ascii="Times New Roman" w:hAnsi="Times New Roman" w:eastAsia="宋体" w:cs="Times New Roman"/>
          <w:szCs w:val="21"/>
        </w:rPr>
      </w:pPr>
      <w:bookmarkStart w:id="9" w:name="_Toc21651_WPSOffice_Level3"/>
      <w:r>
        <w:rPr>
          <w:rFonts w:hint="eastAsia" w:ascii="Times New Roman" w:hAnsi="Times New Roman" w:eastAsia="宋体" w:cs="Times New Roman"/>
          <w:szCs w:val="21"/>
        </w:rPr>
        <w:t>6</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《煤炭地球物理测井规范》DZ/T0080-2010</w:t>
      </w:r>
      <w:bookmarkEnd w:id="9"/>
    </w:p>
    <w:p w14:paraId="3A39E551">
      <w:pPr>
        <w:tabs>
          <w:tab w:val="left" w:pos="900"/>
        </w:tabs>
        <w:adjustRightInd w:val="0"/>
        <w:snapToGrid w:val="0"/>
        <w:spacing w:line="360" w:lineRule="auto"/>
        <w:ind w:firstLine="420" w:firstLineChars="200"/>
        <w:rPr>
          <w:rFonts w:hint="eastAsia" w:ascii="Times New Roman" w:hAnsi="Times New Roman" w:eastAsia="宋体" w:cs="Times New Roman"/>
          <w:szCs w:val="21"/>
        </w:rPr>
      </w:pPr>
      <w:bookmarkStart w:id="10" w:name="_Toc29578_WPSOffice_Level3"/>
      <w:r>
        <w:rPr>
          <w:rFonts w:hint="eastAsia" w:ascii="Times New Roman" w:hAnsi="Times New Roman" w:eastAsia="宋体" w:cs="Times New Roman"/>
          <w:szCs w:val="21"/>
        </w:rPr>
        <w:t>7</w:t>
      </w:r>
      <w:bookmarkEnd w:id="10"/>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《煤矿地质工作细则》国家安全生产监督管理总局、国家煤矿安全监察局</w:t>
      </w:r>
    </w:p>
    <w:p w14:paraId="47FA341B">
      <w:pPr>
        <w:tabs>
          <w:tab w:val="left" w:pos="900"/>
        </w:tabs>
        <w:adjustRightInd w:val="0"/>
        <w:snapToGrid w:val="0"/>
        <w:spacing w:line="360" w:lineRule="auto"/>
        <w:ind w:firstLine="420" w:firstLineChars="200"/>
        <w:rPr>
          <w:rFonts w:hint="eastAsia" w:ascii="Times New Roman" w:hAnsi="Times New Roman" w:eastAsia="宋体" w:cs="Times New Roman"/>
          <w:szCs w:val="21"/>
        </w:rPr>
      </w:pPr>
      <w:bookmarkStart w:id="11" w:name="_Toc11423_WPSOffice_Level3"/>
      <w:r>
        <w:rPr>
          <w:rFonts w:hint="eastAsia" w:ascii="Times New Roman" w:hAnsi="Times New Roman" w:eastAsia="宋体" w:cs="Times New Roman"/>
          <w:szCs w:val="21"/>
        </w:rPr>
        <w:t>8</w:t>
      </w:r>
      <w:bookmarkEnd w:id="11"/>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《煤矿防治水细则》国家安全生产监督管理总局、国家煤矿安全监察局</w:t>
      </w:r>
    </w:p>
    <w:p w14:paraId="5A8FCC1C">
      <w:pPr>
        <w:tabs>
          <w:tab w:val="left" w:pos="900"/>
        </w:tabs>
        <w:adjustRightInd w:val="0"/>
        <w:snapToGrid w:val="0"/>
        <w:spacing w:line="360" w:lineRule="auto"/>
        <w:ind w:firstLine="422" w:firstLineChars="200"/>
        <w:rPr>
          <w:rFonts w:hAnsi="宋体"/>
          <w:b/>
          <w:szCs w:val="21"/>
        </w:rPr>
      </w:pPr>
      <w:r>
        <w:rPr>
          <w:rFonts w:hint="eastAsia" w:hAnsi="宋体"/>
          <w:b/>
          <w:szCs w:val="21"/>
        </w:rPr>
        <w:t>三、采购标的概况</w:t>
      </w:r>
    </w:p>
    <w:p w14:paraId="599624B6">
      <w:pPr>
        <w:adjustRightInd w:val="0"/>
        <w:snapToGrid w:val="0"/>
        <w:spacing w:line="360" w:lineRule="auto"/>
        <w:ind w:firstLine="420" w:firstLineChars="200"/>
        <w:rPr>
          <w:rFonts w:hAnsi="宋体"/>
          <w:szCs w:val="21"/>
        </w:rPr>
      </w:pPr>
      <w:r>
        <w:rPr>
          <w:rFonts w:hint="eastAsia" w:ascii="宋体" w:hAnsi="宋体"/>
          <w:szCs w:val="21"/>
        </w:rPr>
        <w:t>（一）采购项目名称：</w:t>
      </w:r>
      <w:r>
        <w:rPr>
          <w:rFonts w:hint="eastAsia" w:ascii="宋体" w:hAnsi="宋体"/>
          <w:color w:val="auto"/>
          <w:szCs w:val="21"/>
          <w:highlight w:val="none"/>
          <w:u w:val="single"/>
        </w:rPr>
        <w:t>榆林市煤层分布规律及煤田地质结构研究</w:t>
      </w:r>
      <w:r>
        <w:rPr>
          <w:rFonts w:hint="eastAsia" w:ascii="宋体" w:hAnsi="宋体"/>
          <w:color w:val="auto"/>
          <w:szCs w:val="21"/>
          <w:highlight w:val="none"/>
          <w:u w:val="single"/>
          <w:lang w:val="en-US" w:eastAsia="zh-CN"/>
        </w:rPr>
        <w:t>技术服务</w:t>
      </w:r>
    </w:p>
    <w:p w14:paraId="700B5273">
      <w:pPr>
        <w:adjustRightInd w:val="0"/>
        <w:snapToGrid w:val="0"/>
        <w:spacing w:line="360" w:lineRule="auto"/>
        <w:ind w:firstLine="420" w:firstLineChars="200"/>
        <w:rPr>
          <w:rFonts w:hAnsi="宋体"/>
          <w:szCs w:val="21"/>
          <w:u w:val="single"/>
        </w:rPr>
      </w:pPr>
      <w:r>
        <w:rPr>
          <w:rFonts w:hint="eastAsia" w:hAnsi="宋体"/>
          <w:szCs w:val="21"/>
        </w:rPr>
        <w:t>（二）采购数量及计量单位：</w:t>
      </w:r>
      <w:r>
        <w:rPr>
          <w:rFonts w:ascii="宋体" w:hAnsi="宋体"/>
          <w:szCs w:val="21"/>
          <w:u w:val="single"/>
        </w:rPr>
        <w:t xml:space="preserve">   </w:t>
      </w:r>
      <w:r>
        <w:rPr>
          <w:rFonts w:hAnsi="宋体"/>
          <w:szCs w:val="21"/>
          <w:u w:val="single"/>
        </w:rPr>
        <w:t xml:space="preserve"> </w:t>
      </w:r>
      <w:r>
        <w:rPr>
          <w:rFonts w:hint="eastAsia" w:hAnsi="宋体"/>
          <w:szCs w:val="21"/>
          <w:u w:val="single"/>
        </w:rPr>
        <w:t>1套</w:t>
      </w:r>
      <w:r>
        <w:rPr>
          <w:rFonts w:hAnsi="宋体"/>
          <w:szCs w:val="21"/>
          <w:u w:val="single"/>
        </w:rPr>
        <w:t xml:space="preserve"> </w:t>
      </w:r>
      <w:r>
        <w:rPr>
          <w:rFonts w:ascii="宋体" w:hAnsi="宋体"/>
          <w:szCs w:val="21"/>
          <w:u w:val="single"/>
        </w:rPr>
        <w:t xml:space="preserve">  </w:t>
      </w:r>
    </w:p>
    <w:p w14:paraId="7D66FB09">
      <w:pPr>
        <w:adjustRightInd w:val="0"/>
        <w:snapToGrid w:val="0"/>
        <w:spacing w:line="360" w:lineRule="auto"/>
        <w:ind w:firstLine="420" w:firstLineChars="200"/>
        <w:rPr>
          <w:rFonts w:hAnsi="宋体"/>
          <w:szCs w:val="21"/>
        </w:rPr>
      </w:pPr>
      <w:r>
        <w:rPr>
          <w:rFonts w:hint="eastAsia" w:hAnsi="宋体"/>
          <w:szCs w:val="21"/>
        </w:rPr>
        <w:t>（三）最高限价：人民币</w:t>
      </w:r>
      <w:r>
        <w:rPr>
          <w:rFonts w:hint="eastAsia" w:hAnsi="宋体"/>
          <w:szCs w:val="21"/>
          <w:u w:val="single"/>
        </w:rPr>
        <w:t xml:space="preserve"> </w:t>
      </w:r>
      <w:r>
        <w:rPr>
          <w:rFonts w:hAnsi="宋体"/>
          <w:szCs w:val="21"/>
          <w:u w:val="single"/>
        </w:rPr>
        <w:t xml:space="preserve"> </w:t>
      </w:r>
      <w:r>
        <w:rPr>
          <w:rFonts w:hint="eastAsia" w:hAnsi="宋体"/>
          <w:szCs w:val="21"/>
          <w:u w:val="single"/>
          <w:lang w:val="en-US" w:eastAsia="zh-CN"/>
        </w:rPr>
        <w:t xml:space="preserve">105.00 </w:t>
      </w:r>
      <w:r>
        <w:rPr>
          <w:rFonts w:hint="eastAsia" w:hAnsi="宋体"/>
          <w:szCs w:val="21"/>
          <w:u w:val="none"/>
          <w:lang w:val="en-US" w:eastAsia="zh-CN"/>
        </w:rPr>
        <w:t xml:space="preserve"> 万</w:t>
      </w:r>
      <w:r>
        <w:rPr>
          <w:rFonts w:hint="eastAsia" w:hAnsi="宋体"/>
          <w:szCs w:val="21"/>
        </w:rPr>
        <w:t>元（大写：</w:t>
      </w:r>
      <w:r>
        <w:rPr>
          <w:rFonts w:hAnsi="宋体"/>
          <w:szCs w:val="21"/>
          <w:u w:val="single"/>
        </w:rPr>
        <w:t xml:space="preserve"> </w:t>
      </w:r>
      <w:r>
        <w:rPr>
          <w:rFonts w:hint="eastAsia" w:hAnsi="宋体"/>
          <w:szCs w:val="21"/>
          <w:u w:val="single"/>
          <w:lang w:val="en-US" w:eastAsia="zh-CN"/>
        </w:rPr>
        <w:t>壹佰零伍万元整</w:t>
      </w:r>
      <w:r>
        <w:rPr>
          <w:rFonts w:hAnsi="宋体"/>
          <w:szCs w:val="21"/>
          <w:u w:val="single"/>
        </w:rPr>
        <w:t xml:space="preserve"> </w:t>
      </w:r>
      <w:r>
        <w:rPr>
          <w:rFonts w:hint="eastAsia" w:hAnsi="宋体"/>
          <w:szCs w:val="21"/>
        </w:rPr>
        <w:t>）</w:t>
      </w:r>
    </w:p>
    <w:p w14:paraId="72B992CF">
      <w:pPr>
        <w:adjustRightInd w:val="0"/>
        <w:snapToGrid w:val="0"/>
        <w:spacing w:line="360" w:lineRule="auto"/>
        <w:ind w:firstLine="420" w:firstLineChars="200"/>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w:t>
      </w:r>
      <w:r>
        <w:rPr>
          <w:rFonts w:hint="eastAsia" w:hAnsi="宋体"/>
          <w:u w:val="single"/>
          <w:lang w:val="en-US" w:eastAsia="zh-CN"/>
        </w:rPr>
        <w:t xml:space="preserve"> 120</w:t>
      </w:r>
      <w:r>
        <w:rPr>
          <w:rFonts w:hAnsi="宋体"/>
          <w:u w:val="single"/>
        </w:rPr>
        <w:t xml:space="preserve">  </w:t>
      </w:r>
      <w:r>
        <w:rPr>
          <w:rFonts w:hint="eastAsia" w:hAnsi="宋体"/>
        </w:rPr>
        <w:t>天内</w:t>
      </w:r>
    </w:p>
    <w:p w14:paraId="544209DB">
      <w:pPr>
        <w:tabs>
          <w:tab w:val="left" w:pos="420"/>
          <w:tab w:val="left" w:pos="900"/>
        </w:tabs>
        <w:adjustRightInd w:val="0"/>
        <w:snapToGrid w:val="0"/>
        <w:spacing w:line="360" w:lineRule="auto"/>
        <w:ind w:firstLine="420" w:firstLineChars="200"/>
        <w:rPr>
          <w:rFonts w:ascii="宋体" w:hAnsi="宋体"/>
          <w:szCs w:val="21"/>
        </w:rPr>
      </w:pPr>
      <w:r>
        <w:rPr>
          <w:rFonts w:hint="eastAsia" w:hAnsi="宋体"/>
          <w:szCs w:val="21"/>
        </w:rPr>
        <w:t>（五）</w:t>
      </w:r>
      <w:r>
        <w:rPr>
          <w:rFonts w:hAnsi="宋体"/>
          <w:szCs w:val="21"/>
        </w:rPr>
        <w:t>交付地点：</w:t>
      </w:r>
      <w:r>
        <w:rPr>
          <w:rFonts w:hAnsi="宋体"/>
          <w:szCs w:val="21"/>
          <w:u w:val="single"/>
        </w:rPr>
        <w:t xml:space="preserve"> </w:t>
      </w:r>
      <w:r>
        <w:rPr>
          <w:rFonts w:hint="eastAsia" w:hAnsi="宋体"/>
          <w:szCs w:val="21"/>
          <w:u w:val="single"/>
          <w:lang w:val="en-US" w:eastAsia="zh-CN"/>
        </w:rPr>
        <w:t>西安</w:t>
      </w:r>
      <w:r>
        <w:rPr>
          <w:rFonts w:hAnsi="宋体"/>
          <w:szCs w:val="21"/>
          <w:u w:val="single"/>
        </w:rPr>
        <w:t xml:space="preserve">  </w:t>
      </w:r>
    </w:p>
    <w:p w14:paraId="179C3B80">
      <w:pPr>
        <w:tabs>
          <w:tab w:val="left" w:pos="900"/>
        </w:tabs>
        <w:adjustRightInd w:val="0"/>
        <w:snapToGrid w:val="0"/>
        <w:spacing w:line="360" w:lineRule="auto"/>
        <w:ind w:firstLine="420" w:firstLineChars="200"/>
        <w:rPr>
          <w:rFonts w:hAnsi="宋体"/>
          <w:szCs w:val="21"/>
        </w:rPr>
      </w:pPr>
      <w:r>
        <w:rPr>
          <w:rFonts w:hint="eastAsia" w:hAnsi="宋体"/>
          <w:szCs w:val="21"/>
        </w:rPr>
        <w:t>（六）付款进度安排：</w:t>
      </w:r>
      <w:r>
        <w:rPr>
          <w:rFonts w:hint="eastAsia" w:cs="宋体" w:asciiTheme="minorEastAsia" w:hAnsiTheme="minorEastAsia"/>
          <w:b/>
          <w:color w:val="000000"/>
          <w:kern w:val="0"/>
          <w:szCs w:val="21"/>
        </w:rPr>
        <w:t>□</w:t>
      </w:r>
      <w:r>
        <w:rPr>
          <w:rFonts w:hint="eastAsia" w:hAnsi="宋体"/>
          <w:szCs w:val="21"/>
        </w:rPr>
        <w:t xml:space="preserve"> 按</w:t>
      </w:r>
      <w:r>
        <w:rPr>
          <w:rFonts w:hAnsi="宋体"/>
          <w:szCs w:val="21"/>
        </w:rPr>
        <w:t>采购文件</w:t>
      </w:r>
      <w:r>
        <w:rPr>
          <w:rFonts w:hint="eastAsia" w:hAnsi="宋体"/>
          <w:szCs w:val="21"/>
        </w:rPr>
        <w:t>要求。</w:t>
      </w:r>
    </w:p>
    <w:p w14:paraId="5FA361AF">
      <w:pPr>
        <w:tabs>
          <w:tab w:val="left" w:pos="900"/>
        </w:tabs>
        <w:adjustRightInd w:val="0"/>
        <w:snapToGrid w:val="0"/>
        <w:spacing w:line="360" w:lineRule="auto"/>
        <w:ind w:firstLine="402" w:firstLineChars="200"/>
        <w:rPr>
          <w:rFonts w:hAnsi="宋体"/>
          <w:szCs w:val="21"/>
        </w:rPr>
      </w:pP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hint="eastAsia" w:cs="宋体" w:asciiTheme="minorEastAsia" w:hAnsiTheme="minorEastAsia"/>
          <w:b/>
          <w:color w:val="000000"/>
          <w:kern w:val="0"/>
          <w:sz w:val="20"/>
          <w:szCs w:val="21"/>
          <w:lang w:eastAsia="zh-CN"/>
        </w:rPr>
        <w:t>☑</w:t>
      </w:r>
      <w:r>
        <w:rPr>
          <w:rFonts w:hAnsi="宋体"/>
          <w:szCs w:val="21"/>
        </w:rPr>
        <w:t>其他要求</w:t>
      </w:r>
      <w:r>
        <w:rPr>
          <w:rFonts w:hint="eastAsia" w:hAnsi="宋体"/>
          <w:szCs w:val="21"/>
        </w:rPr>
        <w:t>：</w:t>
      </w:r>
      <w:r>
        <w:rPr>
          <w:rFonts w:hAnsi="宋体"/>
          <w:szCs w:val="21"/>
          <w:u w:val="single"/>
        </w:rPr>
        <w:t xml:space="preserve"> </w:t>
      </w:r>
      <w:r>
        <w:rPr>
          <w:rFonts w:hint="eastAsia" w:hAnsi="宋体"/>
          <w:color w:val="auto"/>
          <w:szCs w:val="21"/>
          <w:highlight w:val="none"/>
          <w:u w:val="single"/>
        </w:rPr>
        <w:t>（1）合同签订后，完成资料收集与先期调研，提交项目设计书后付款30%；（2）按照技术要求</w:t>
      </w:r>
      <w:r>
        <w:rPr>
          <w:rFonts w:hint="eastAsia" w:hAnsi="宋体"/>
          <w:color w:val="auto"/>
          <w:szCs w:val="21"/>
          <w:highlight w:val="none"/>
          <w:u w:val="single"/>
          <w:lang w:val="en-US" w:eastAsia="zh-CN"/>
        </w:rPr>
        <w:t>完成报告编写（含图件编制）</w:t>
      </w:r>
      <w:r>
        <w:rPr>
          <w:rFonts w:hint="eastAsia" w:hAnsi="宋体"/>
          <w:color w:val="auto"/>
          <w:szCs w:val="21"/>
          <w:highlight w:val="none"/>
          <w:u w:val="single"/>
        </w:rPr>
        <w:t>后付款40%；（3）完成全部工作量并通过验收后付款30%</w:t>
      </w:r>
      <w:r>
        <w:rPr>
          <w:rFonts w:hint="eastAsia" w:hAnsi="宋体"/>
          <w:szCs w:val="21"/>
        </w:rPr>
        <w:t>。</w:t>
      </w:r>
    </w:p>
    <w:p w14:paraId="3C999C16">
      <w:pPr>
        <w:tabs>
          <w:tab w:val="left" w:pos="900"/>
        </w:tabs>
        <w:adjustRightInd w:val="0"/>
        <w:snapToGrid w:val="0"/>
        <w:spacing w:line="360" w:lineRule="auto"/>
        <w:ind w:firstLine="422" w:firstLineChars="200"/>
        <w:rPr>
          <w:rFonts w:hAnsi="宋体"/>
          <w:b/>
          <w:szCs w:val="21"/>
        </w:rPr>
      </w:pPr>
      <w:r>
        <w:rPr>
          <w:rFonts w:hint="eastAsia" w:hAnsi="宋体"/>
          <w:b/>
          <w:szCs w:val="21"/>
        </w:rPr>
        <w:t>四、采购标的需满足的质量、安全、技术规格、物理特性等要求：</w:t>
      </w:r>
    </w:p>
    <w:p w14:paraId="0C68D44A">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（一）总体思路</w:t>
      </w:r>
    </w:p>
    <w:p w14:paraId="2EA2975F">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坚持“数据驱动、科学溯源”原则，以“查明煤层赋存规律—厘清地质结构特征—量化资源动态变化”为主线，采用“资料集成+综合分析+定量建模”技术路径，系统构建榆林市煤层地质本底数据库，解决“煤层在哪里？结构什么样？采动了多少？”的核心问题，为全市采煤沉陷区、煤层火烧区隐患核查提供精准地质依据</w:t>
      </w:r>
      <w:r>
        <w:rPr>
          <w:rFonts w:hint="eastAsia" w:ascii="Times New Roman" w:hAnsi="Times New Roman" w:eastAsia="宋体" w:cs="Times New Roman"/>
          <w:szCs w:val="21"/>
          <w:lang w:eastAsia="zh-CN"/>
        </w:rPr>
        <w:t>。</w:t>
      </w:r>
    </w:p>
    <w:p w14:paraId="2F431344">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（二）</w:t>
      </w:r>
      <w:r>
        <w:rPr>
          <w:rFonts w:hint="eastAsia" w:ascii="Times New Roman" w:hAnsi="宋体" w:eastAsia="宋体" w:cs="Times New Roman"/>
          <w:b/>
          <w:szCs w:val="21"/>
          <w:lang w:val="en-US" w:eastAsia="zh-CN"/>
        </w:rPr>
        <w:t>研究</w:t>
      </w:r>
      <w:r>
        <w:rPr>
          <w:rFonts w:hint="eastAsia" w:ascii="Times New Roman" w:hAnsi="宋体" w:eastAsia="宋体" w:cs="Times New Roman"/>
          <w:b/>
          <w:szCs w:val="21"/>
        </w:rPr>
        <w:t>范围</w:t>
      </w:r>
    </w:p>
    <w:p w14:paraId="50B865F3">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hAnsi="宋体"/>
          <w:color w:val="auto"/>
          <w:szCs w:val="24"/>
          <w:highlight w:val="none"/>
          <w:lang w:val="en-US" w:eastAsia="zh-CN"/>
        </w:rPr>
        <w:t>榆林市全域在产及历史遗留煤矿区，重点覆盖榆神、榆横、神府等主要矿区</w:t>
      </w:r>
      <w:r>
        <w:rPr>
          <w:rFonts w:hint="eastAsia" w:ascii="Times New Roman" w:hAnsi="Times New Roman" w:eastAsia="宋体" w:cs="Times New Roman"/>
          <w:szCs w:val="21"/>
          <w:lang w:eastAsia="zh-CN"/>
        </w:rPr>
        <w:t>。</w:t>
      </w:r>
    </w:p>
    <w:p w14:paraId="6A05CE9E">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（三）</w:t>
      </w:r>
      <w:r>
        <w:rPr>
          <w:rFonts w:hint="eastAsia" w:ascii="Times New Roman" w:hAnsi="宋体" w:eastAsia="宋体" w:cs="Times New Roman"/>
          <w:b/>
          <w:szCs w:val="21"/>
          <w:lang w:val="en-US" w:eastAsia="zh-CN"/>
        </w:rPr>
        <w:t>研究</w:t>
      </w:r>
      <w:r>
        <w:rPr>
          <w:rFonts w:hint="eastAsia" w:ascii="Times New Roman" w:hAnsi="宋体" w:eastAsia="宋体" w:cs="Times New Roman"/>
          <w:b/>
          <w:szCs w:val="21"/>
        </w:rPr>
        <w:t>内容</w:t>
      </w:r>
    </w:p>
    <w:p w14:paraId="2B031D74">
      <w:pPr>
        <w:tabs>
          <w:tab w:val="left" w:pos="900"/>
        </w:tabs>
        <w:adjustRightInd w:val="0"/>
        <w:snapToGrid w:val="0"/>
        <w:spacing w:line="360" w:lineRule="auto"/>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 资料系统收集与整理</w:t>
      </w:r>
    </w:p>
    <w:p w14:paraId="5F3DEE5A">
      <w:pPr>
        <w:tabs>
          <w:tab w:val="left" w:pos="900"/>
        </w:tabs>
        <w:adjustRightInd w:val="0"/>
        <w:snapToGrid w:val="0"/>
        <w:spacing w:line="360" w:lineRule="auto"/>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全面搜集榆林市各煤矿区煤田地质勘查报告（普查、详查、勘探）、产资源储量核实报告、采矿许可证、开采设计、开发利用方案、矿山地质环境治理恢复方案等历史资料，建立标准化电子档案库。</w:t>
      </w:r>
    </w:p>
    <w:p w14:paraId="2E977335">
      <w:pPr>
        <w:tabs>
          <w:tab w:val="left" w:pos="900"/>
        </w:tabs>
        <w:adjustRightInd w:val="0"/>
        <w:snapToGrid w:val="0"/>
        <w:spacing w:line="360" w:lineRule="auto"/>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 煤田地质结构特征分析</w:t>
      </w:r>
    </w:p>
    <w:p w14:paraId="3C338B50">
      <w:pPr>
        <w:tabs>
          <w:tab w:val="left" w:pos="900"/>
        </w:tabs>
        <w:adjustRightInd w:val="0"/>
        <w:snapToGrid w:val="0"/>
        <w:spacing w:line="360" w:lineRule="auto"/>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总结陕北侏罗纪煤田、陕北石炭-二叠纪煤田的含煤地层时代、沉积环境、构造演化规律；分析可采煤层的层位、厚度、结构、稳定性及空间分布特征；查明矿区水文地质（含水层、隔水层）、工程地质（岩性、力学性质）及环境地质条件。</w:t>
      </w:r>
    </w:p>
    <w:p w14:paraId="01193928">
      <w:pPr>
        <w:tabs>
          <w:tab w:val="left" w:pos="900"/>
        </w:tabs>
        <w:adjustRightInd w:val="0"/>
        <w:snapToGrid w:val="0"/>
        <w:spacing w:line="360" w:lineRule="auto"/>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 煤层分布规律与资源量核算</w:t>
      </w:r>
    </w:p>
    <w:p w14:paraId="06BF16CB">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编制各矿区煤层底板等高线图、煤层厚度等值线图、采空区分布图；估算各矿区查明资源量（保有资源量）、采动资源量（已开采量、剩余可采量），分析采动强度与空间分布特征。</w:t>
      </w:r>
    </w:p>
    <w:p w14:paraId="5C0BEA52">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（四）技术方案</w:t>
      </w:r>
    </w:p>
    <w:p w14:paraId="6DD04F9F">
      <w:pPr>
        <w:tabs>
          <w:tab w:val="left" w:pos="900"/>
        </w:tabs>
        <w:adjustRightInd w:val="0"/>
        <w:snapToGrid w:val="0"/>
        <w:spacing w:line="360" w:lineRule="auto"/>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 资料清洗与标准化</w:t>
      </w:r>
    </w:p>
    <w:p w14:paraId="5018F711">
      <w:pPr>
        <w:tabs>
          <w:tab w:val="left" w:pos="900"/>
        </w:tabs>
        <w:adjustRightInd w:val="0"/>
        <w:snapToGrid w:val="0"/>
        <w:spacing w:line="360" w:lineRule="auto"/>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对收集的纸质/电子资料进行数字化转换、坐标系统一（采用CGCS2000坐标系）、属性字段规范化，剔除矛盾数据，建立可追溯的资料索引。</w:t>
      </w:r>
    </w:p>
    <w:p w14:paraId="1EE91093">
      <w:pPr>
        <w:tabs>
          <w:tab w:val="left" w:pos="900"/>
        </w:tabs>
        <w:adjustRightInd w:val="0"/>
        <w:snapToGrid w:val="0"/>
        <w:spacing w:line="360" w:lineRule="auto"/>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 地质结构建模</w:t>
      </w:r>
    </w:p>
    <w:p w14:paraId="66724CCA">
      <w:pPr>
        <w:tabs>
          <w:tab w:val="left" w:pos="900"/>
        </w:tabs>
        <w:adjustRightInd w:val="0"/>
        <w:snapToGrid w:val="0"/>
        <w:spacing w:line="360" w:lineRule="auto"/>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利用GIS、Surfer、Micromine等软件，构建三维地质结构模型（含煤层、断层、含水层），可视化展示煤层空间展布特征。</w:t>
      </w:r>
    </w:p>
    <w:p w14:paraId="47DAA9FE">
      <w:pPr>
        <w:tabs>
          <w:tab w:val="left" w:pos="900"/>
        </w:tabs>
        <w:adjustRightInd w:val="0"/>
        <w:snapToGrid w:val="0"/>
        <w:spacing w:line="360" w:lineRule="auto"/>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 资源量定量计算</w:t>
      </w:r>
    </w:p>
    <w:p w14:paraId="188E044A">
      <w:pPr>
        <w:tabs>
          <w:tab w:val="left" w:pos="900"/>
        </w:tabs>
        <w:adjustRightInd w:val="0"/>
        <w:snapToGrid w:val="0"/>
        <w:spacing w:line="360" w:lineRule="auto"/>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采用块段法、地质统计学法（克里金插值）核算资源量，确保误差≤5%；对比历史储量报告，分析资源量动态变化原因。</w:t>
      </w:r>
    </w:p>
    <w:p w14:paraId="7FE9C6DF">
      <w:pPr>
        <w:tabs>
          <w:tab w:val="left" w:pos="900"/>
        </w:tabs>
        <w:adjustRightInd w:val="0"/>
        <w:snapToGrid w:val="0"/>
        <w:spacing w:line="360" w:lineRule="auto"/>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 质量控制</w:t>
      </w:r>
    </w:p>
    <w:p w14:paraId="0C33AC89">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实行“资料员初核-技术负责人复核-专家评审”三级审核制，关键数据（如煤层厚度、资源量）需与自然资源部门备案数据交叉验证。</w:t>
      </w:r>
    </w:p>
    <w:p w14:paraId="2B1243E1">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（五）预期成果</w:t>
      </w:r>
    </w:p>
    <w:p w14:paraId="6E0D47C7">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按照技术要求，在完成</w:t>
      </w:r>
      <w:r>
        <w:rPr>
          <w:rFonts w:hint="eastAsia" w:ascii="Times New Roman" w:hAnsi="Times New Roman" w:eastAsia="宋体" w:cs="Times New Roman"/>
          <w:szCs w:val="21"/>
          <w:lang w:val="en-US" w:eastAsia="zh-CN"/>
        </w:rPr>
        <w:t>研究</w:t>
      </w:r>
      <w:r>
        <w:rPr>
          <w:rFonts w:hint="eastAsia" w:ascii="Times New Roman" w:hAnsi="Times New Roman" w:eastAsia="宋体" w:cs="Times New Roman"/>
          <w:szCs w:val="21"/>
          <w:lang w:eastAsia="zh-CN"/>
        </w:rPr>
        <w:t>并通过专家评审后，需提供以下正式成果资料。成果资料应提供纸质版与电子版（一式3份）。</w:t>
      </w:r>
    </w:p>
    <w:p w14:paraId="310CC368">
      <w:pPr>
        <w:numPr>
          <w:ilvl w:val="0"/>
          <w:numId w:val="2"/>
        </w:numPr>
        <w:tabs>
          <w:tab w:val="left" w:pos="900"/>
        </w:tabs>
        <w:adjustRightInd w:val="0"/>
        <w:snapToGrid w:val="0"/>
        <w:spacing w:line="360" w:lineRule="auto"/>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榆林市煤层分布规律及煤田地质结构研究报告1套；</w:t>
      </w:r>
    </w:p>
    <w:p w14:paraId="42CE1146">
      <w:pPr>
        <w:tabs>
          <w:tab w:val="left" w:pos="900"/>
        </w:tabs>
        <w:adjustRightInd w:val="0"/>
        <w:snapToGrid w:val="0"/>
        <w:spacing w:line="360" w:lineRule="auto"/>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 榆林市煤层分布及煤田地质结构</w:t>
      </w:r>
      <w:r>
        <w:rPr>
          <w:rFonts w:hint="eastAsia" w:ascii="Times New Roman" w:hAnsi="Times New Roman" w:eastAsia="宋体" w:cs="Times New Roman"/>
          <w:szCs w:val="21"/>
          <w:lang w:eastAsia="zh-CN"/>
        </w:rPr>
        <w:t>图系</w:t>
      </w:r>
      <w:r>
        <w:rPr>
          <w:rFonts w:hint="eastAsia" w:ascii="Times New Roman" w:hAnsi="Times New Roman" w:eastAsia="宋体" w:cs="Times New Roman"/>
          <w:szCs w:val="21"/>
          <w:lang w:val="en-US" w:eastAsia="zh-CN"/>
        </w:rPr>
        <w:t>1套；</w:t>
      </w:r>
    </w:p>
    <w:p w14:paraId="6D2E1CB9">
      <w:pPr>
        <w:tabs>
          <w:tab w:val="left" w:pos="900"/>
        </w:tabs>
        <w:adjustRightInd w:val="0"/>
        <w:snapToGrid w:val="0"/>
        <w:spacing w:line="360" w:lineRule="auto"/>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 榆林市煤层地质本底数据库；</w:t>
      </w:r>
    </w:p>
    <w:p w14:paraId="06F7FBEE">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 xml:space="preserve">4. </w:t>
      </w:r>
      <w:r>
        <w:rPr>
          <w:rFonts w:hint="eastAsia" w:ascii="Times New Roman" w:hAnsi="Times New Roman" w:eastAsia="宋体" w:cs="Times New Roman"/>
          <w:szCs w:val="21"/>
          <w:lang w:eastAsia="zh-CN"/>
        </w:rPr>
        <w:t>以Word、Excel、PPT、GIS及纸质版材料的形式，提交原始资料1套：主要包括收集资料、野外</w:t>
      </w:r>
      <w:r>
        <w:rPr>
          <w:rFonts w:hint="eastAsia" w:ascii="Times New Roman" w:hAnsi="Times New Roman" w:eastAsia="宋体" w:cs="Times New Roman"/>
          <w:szCs w:val="21"/>
          <w:lang w:val="en-US" w:eastAsia="zh-CN"/>
        </w:rPr>
        <w:t>调查</w:t>
      </w:r>
      <w:r>
        <w:rPr>
          <w:rFonts w:hint="eastAsia" w:ascii="Times New Roman" w:hAnsi="Times New Roman" w:eastAsia="宋体" w:cs="Times New Roman"/>
          <w:szCs w:val="21"/>
          <w:lang w:eastAsia="zh-CN"/>
        </w:rPr>
        <w:t>表、遥感解译表等。</w:t>
      </w:r>
    </w:p>
    <w:p w14:paraId="4B3EC89E">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w:t>
      </w:r>
      <w:r>
        <w:rPr>
          <w:rFonts w:hint="eastAsia" w:ascii="Times New Roman" w:hAnsi="宋体" w:eastAsia="宋体" w:cs="Times New Roman"/>
          <w:b/>
          <w:szCs w:val="21"/>
          <w:lang w:val="en-US" w:eastAsia="zh-CN"/>
        </w:rPr>
        <w:t>六</w:t>
      </w:r>
      <w:r>
        <w:rPr>
          <w:rFonts w:hint="eastAsia" w:ascii="Times New Roman" w:hAnsi="宋体" w:eastAsia="宋体" w:cs="Times New Roman"/>
          <w:b/>
          <w:szCs w:val="21"/>
        </w:rPr>
        <w:t>）质量要求</w:t>
      </w:r>
    </w:p>
    <w:p w14:paraId="4891642D">
      <w:pPr>
        <w:tabs>
          <w:tab w:val="left" w:pos="900"/>
        </w:tabs>
        <w:adjustRightInd w:val="0"/>
        <w:snapToGrid w:val="0"/>
        <w:spacing w:line="360" w:lineRule="auto"/>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 数据质量</w:t>
      </w:r>
    </w:p>
    <w:p w14:paraId="5CBF611E">
      <w:pPr>
        <w:tabs>
          <w:tab w:val="left" w:pos="900"/>
        </w:tabs>
        <w:adjustRightInd w:val="0"/>
        <w:snapToGrid w:val="0"/>
        <w:spacing w:line="360" w:lineRule="auto"/>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收集资料覆盖率100%，关键数据（煤层厚度、资源量）准确率≥95%；平面位置中误差≤±1.0m，资源量计算误差≤5%；成果需反映项目启动前3个月内的地质现状，禁止使用超过1年的历史数据替代新数据。</w:t>
      </w:r>
    </w:p>
    <w:p w14:paraId="20F7E543">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lang w:eastAsia="zh-CN"/>
        </w:rPr>
        <w:t>. 成果质量要求</w:t>
      </w:r>
    </w:p>
    <w:p w14:paraId="1F04565B">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产出成果需满足相关国家、地方、行业标准规范。此外，需满足采购方对成果类型的要求。</w:t>
      </w:r>
      <w:r>
        <w:rPr>
          <w:rFonts w:hint="eastAsia" w:ascii="Times New Roman" w:hAnsi="Times New Roman" w:eastAsia="宋体" w:cs="Times New Roman"/>
          <w:szCs w:val="21"/>
          <w:lang w:val="en-US" w:eastAsia="zh-CN"/>
        </w:rPr>
        <w:t>若交付成果存在数据造假、重大漏项或未达到上述质量标准，采购方有权扣除合同款的5%-20%作为违约金，并要求限期整改；拒不整改或整改后仍不合格的，采购人有权解除合同并追究全部损失</w:t>
      </w:r>
      <w:r>
        <w:rPr>
          <w:rFonts w:hint="eastAsia" w:ascii="Times New Roman" w:hAnsi="Times New Roman" w:eastAsia="宋体" w:cs="Times New Roman"/>
          <w:szCs w:val="21"/>
          <w:lang w:eastAsia="zh-CN"/>
        </w:rPr>
        <w:t>。</w:t>
      </w:r>
    </w:p>
    <w:p w14:paraId="7B9DD90A">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cs="Times New Roman"/>
          <w:szCs w:val="21"/>
          <w:lang w:val="en-US" w:eastAsia="zh-CN"/>
        </w:rPr>
        <w:t>3.</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lang w:eastAsia="zh-CN"/>
        </w:rPr>
        <w:t>专业能力要求：投标人须具备开展</w:t>
      </w:r>
      <w:r>
        <w:rPr>
          <w:rFonts w:hint="eastAsia" w:ascii="Times New Roman" w:hAnsi="Times New Roman" w:eastAsia="宋体" w:cs="Times New Roman"/>
          <w:szCs w:val="21"/>
          <w:lang w:val="en-US" w:eastAsia="zh-CN"/>
        </w:rPr>
        <w:t>煤炭矿区调查</w:t>
      </w:r>
      <w:r>
        <w:rPr>
          <w:rFonts w:hint="eastAsia" w:ascii="Times New Roman" w:hAnsi="Times New Roman" w:eastAsia="宋体" w:cs="Times New Roman"/>
          <w:szCs w:val="21"/>
          <w:lang w:eastAsia="zh-CN"/>
        </w:rPr>
        <w:t>的专业能力，拥有不少于10名地质类相关专业技术人员，其中高级技术职称人员不少于3名，技术负责人须具有高级技术职称，且具有5年以上相关项目工作经验。此外，投标人须拥有相关</w:t>
      </w:r>
      <w:r>
        <w:rPr>
          <w:rFonts w:hint="eastAsia" w:ascii="Times New Roman" w:hAnsi="Times New Roman" w:eastAsia="宋体" w:cs="Times New Roman"/>
          <w:szCs w:val="21"/>
          <w:lang w:val="en-US" w:eastAsia="zh-CN"/>
        </w:rPr>
        <w:t>调查</w:t>
      </w:r>
      <w:r>
        <w:rPr>
          <w:rFonts w:hint="eastAsia" w:ascii="Times New Roman" w:hAnsi="Times New Roman" w:eastAsia="宋体" w:cs="Times New Roman"/>
          <w:szCs w:val="21"/>
          <w:lang w:eastAsia="zh-CN"/>
        </w:rPr>
        <w:t>设备，包括但不限于无人机热红外、高精度 GPS、航空物探、地面物探、工程钻机等技术设备，以及地理空间信息处理（GIS）、数值模拟分析等大型软件，能够满足本项目开展过程中的设备需求与技术分析。 近3年内（自投标截止之日起倒算），投标人须具有至少2项类似地质灾害调查相关项目业绩（提供项目合同、验收报告复印件，加盖投标人公章，合同须明确项目名称、服务内容、合同金额及服务期限，验收报告须有采购人验收合格意见）。</w:t>
      </w:r>
    </w:p>
    <w:p w14:paraId="3C80DDDF">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w:t>
      </w:r>
      <w:r>
        <w:rPr>
          <w:rFonts w:hint="eastAsia" w:ascii="Times New Roman" w:hAnsi="宋体" w:eastAsia="宋体" w:cs="Times New Roman"/>
          <w:b/>
          <w:szCs w:val="21"/>
          <w:lang w:val="en-US" w:eastAsia="zh-CN"/>
        </w:rPr>
        <w:t>七</w:t>
      </w:r>
      <w:r>
        <w:rPr>
          <w:rFonts w:hint="eastAsia" w:ascii="Times New Roman" w:hAnsi="宋体" w:eastAsia="宋体" w:cs="Times New Roman"/>
          <w:b/>
          <w:szCs w:val="21"/>
        </w:rPr>
        <w:t>）安全要求</w:t>
      </w:r>
    </w:p>
    <w:p w14:paraId="255E2245">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lang w:eastAsia="zh-CN"/>
        </w:rPr>
        <w:t>供应方须建立完善的安全生产管理制度，严格遵守煤矿安全生产、野外作业安全相关规定，为参与项目人员购买足额保险，配备必要的安全防护设备（如安全帽、防护服、急救药品等），进行安全培训，确保作业过程中无安全事故发生。若发生人员意外，由供应方承担全部责任及赔偿费用。</w:t>
      </w:r>
    </w:p>
    <w:p w14:paraId="42A5AFD5">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lang w:eastAsia="zh-CN"/>
        </w:rPr>
        <w:t>作业过程中须严格保护作业区域内的生态环境、公共设施及群众财产，不得造成二次污染或损坏，若因中标人操作不当造成损失，由供应方承担全部责任及赔偿费用。</w:t>
      </w:r>
    </w:p>
    <w:p w14:paraId="4E857BB6">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3.</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lang w:eastAsia="zh-CN"/>
        </w:rPr>
        <w:t>供应方须对</w:t>
      </w:r>
      <w:r>
        <w:rPr>
          <w:rFonts w:hint="eastAsia" w:ascii="Times New Roman" w:hAnsi="Times New Roman" w:eastAsia="宋体" w:cs="Times New Roman"/>
          <w:szCs w:val="21"/>
          <w:lang w:val="en-US" w:eastAsia="zh-CN"/>
        </w:rPr>
        <w:t>研究</w:t>
      </w:r>
      <w:r>
        <w:rPr>
          <w:rFonts w:hint="eastAsia" w:ascii="Times New Roman" w:hAnsi="Times New Roman" w:eastAsia="宋体" w:cs="Times New Roman"/>
          <w:szCs w:val="21"/>
          <w:lang w:eastAsia="zh-CN"/>
        </w:rPr>
        <w:t>过程中获取的涉密信息（如煤矿地质资料、敏感区域数据等）严格保密，建立保密制度，严禁泄露、传播，若发生涉密事件，须承担相应法律责任及经济损失。</w:t>
      </w:r>
    </w:p>
    <w:p w14:paraId="142F3153">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w:t>
      </w:r>
      <w:r>
        <w:rPr>
          <w:rFonts w:hint="eastAsia" w:ascii="Times New Roman" w:hAnsi="宋体" w:eastAsia="宋体" w:cs="Times New Roman"/>
          <w:b/>
          <w:szCs w:val="21"/>
          <w:lang w:val="en-US" w:eastAsia="zh-CN"/>
        </w:rPr>
        <w:t>八</w:t>
      </w:r>
      <w:r>
        <w:rPr>
          <w:rFonts w:hint="eastAsia" w:ascii="Times New Roman" w:hAnsi="宋体" w:eastAsia="宋体" w:cs="Times New Roman"/>
          <w:b/>
          <w:szCs w:val="21"/>
        </w:rPr>
        <w:t>）组织要求</w:t>
      </w:r>
    </w:p>
    <w:p w14:paraId="5179CB57">
      <w:pPr>
        <w:tabs>
          <w:tab w:val="left" w:pos="900"/>
        </w:tabs>
        <w:spacing w:line="360" w:lineRule="auto"/>
        <w:ind w:firstLine="420" w:firstLineChars="200"/>
        <w:rPr>
          <w:rFonts w:hint="eastAsia" w:hAnsi="宋体"/>
          <w:szCs w:val="24"/>
        </w:rPr>
      </w:pPr>
      <w:r>
        <w:rPr>
          <w:rFonts w:hint="eastAsia" w:hAnsi="宋体"/>
          <w:szCs w:val="24"/>
        </w:rPr>
        <w:t>为保证本</w:t>
      </w:r>
      <w:r>
        <w:rPr>
          <w:rFonts w:hint="eastAsia" w:hAnsi="宋体"/>
          <w:szCs w:val="24"/>
          <w:lang w:val="en-US" w:eastAsia="zh-CN"/>
        </w:rPr>
        <w:t>项目</w:t>
      </w:r>
      <w:r>
        <w:rPr>
          <w:rFonts w:hint="eastAsia" w:hAnsi="宋体"/>
          <w:szCs w:val="24"/>
        </w:rPr>
        <w:t>顺利进行，供应方应针对本项目从组织保障、技术保障、设备保障、机制保障等方面制定详细的保障措施体系；从职责划分、政专督查、专家审查等方面</w:t>
      </w:r>
      <w:r>
        <w:rPr>
          <w:rFonts w:hint="eastAsia" w:hAnsi="宋体"/>
          <w:szCs w:val="24"/>
          <w:lang w:val="en-US" w:eastAsia="zh-CN"/>
        </w:rPr>
        <w:t>保证</w:t>
      </w:r>
      <w:r>
        <w:rPr>
          <w:rFonts w:hint="eastAsia" w:hAnsi="宋体"/>
          <w:szCs w:val="24"/>
        </w:rPr>
        <w:t>高质量高标准完成</w:t>
      </w:r>
      <w:r>
        <w:rPr>
          <w:rFonts w:hint="eastAsia" w:hAnsi="宋体"/>
          <w:szCs w:val="24"/>
          <w:lang w:val="en-US" w:eastAsia="zh-CN"/>
        </w:rPr>
        <w:t>研究</w:t>
      </w:r>
      <w:r>
        <w:rPr>
          <w:rFonts w:hint="eastAsia" w:hAnsi="宋体"/>
          <w:szCs w:val="24"/>
        </w:rPr>
        <w:t>任务。</w:t>
      </w:r>
    </w:p>
    <w:p w14:paraId="68265909">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w:t>
      </w:r>
      <w:r>
        <w:rPr>
          <w:rFonts w:hint="eastAsia" w:ascii="Times New Roman" w:hAnsi="宋体" w:eastAsia="宋体" w:cs="Times New Roman"/>
          <w:b/>
          <w:szCs w:val="21"/>
          <w:lang w:val="en-US" w:eastAsia="zh-CN"/>
        </w:rPr>
        <w:t>九</w:t>
      </w:r>
      <w:r>
        <w:rPr>
          <w:rFonts w:hint="eastAsia" w:ascii="Times New Roman" w:hAnsi="宋体" w:eastAsia="宋体" w:cs="Times New Roman"/>
          <w:b/>
          <w:szCs w:val="21"/>
        </w:rPr>
        <w:t>）报价要求与费用包含范围</w:t>
      </w:r>
    </w:p>
    <w:p w14:paraId="3A760FB1">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 本项目采用固定总价包干方式，投标总报价（最高限价人民币</w:t>
      </w:r>
      <w:r>
        <w:rPr>
          <w:rFonts w:hint="eastAsia" w:ascii="Times New Roman" w:hAnsi="Times New Roman" w:eastAsia="宋体" w:cs="Times New Roman"/>
          <w:szCs w:val="21"/>
          <w:lang w:val="en-US" w:eastAsia="zh-CN"/>
        </w:rPr>
        <w:t>105</w:t>
      </w:r>
      <w:r>
        <w:rPr>
          <w:rFonts w:hint="eastAsia" w:ascii="Times New Roman" w:hAnsi="Times New Roman" w:eastAsia="宋体" w:cs="Times New Roman"/>
          <w:szCs w:val="21"/>
          <w:lang w:eastAsia="zh-CN"/>
        </w:rPr>
        <w:t>.00万元）须包含完成本采购需求约定的全部工作内容所需的一切费用，合同履行期间不因工作量变化、物价波动、政策调整等因素做任何调整。</w:t>
      </w:r>
    </w:p>
    <w:p w14:paraId="3A7F9AAB">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 投标报价应包括但不限于以下内容，且不得在中标后以任何理由要求追加费用：技术服务费，人力成本，设备与物资费，交通与后勤保障费，安全与保险费，管理与税费，成果交付与验收费，质保与培训费，风险与不可预见费等。</w:t>
      </w:r>
    </w:p>
    <w:p w14:paraId="07C3D3B6">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3. 供应商在报价时应充分考虑</w:t>
      </w:r>
      <w:r>
        <w:rPr>
          <w:rFonts w:hint="eastAsia" w:ascii="Times New Roman" w:hAnsi="Times New Roman" w:eastAsia="宋体" w:cs="Times New Roman"/>
          <w:szCs w:val="21"/>
          <w:lang w:val="en-US" w:eastAsia="zh-CN"/>
        </w:rPr>
        <w:t>榆林市</w:t>
      </w:r>
      <w:r>
        <w:rPr>
          <w:rFonts w:hint="eastAsia" w:ascii="Times New Roman" w:hAnsi="Times New Roman" w:eastAsia="宋体" w:cs="Times New Roman"/>
          <w:szCs w:val="21"/>
          <w:lang w:eastAsia="zh-CN"/>
        </w:rPr>
        <w:t>野外作业的复杂性和高风险性，凡采购需求中明确或隐含的、为完成本项目工作所必需的一切费用，均视为已包含在投标总报价中。</w:t>
      </w:r>
    </w:p>
    <w:p w14:paraId="48B1A6F4">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w:t>
      </w:r>
      <w:r>
        <w:rPr>
          <w:rFonts w:hint="eastAsia" w:ascii="Times New Roman" w:hAnsi="宋体" w:eastAsia="宋体" w:cs="Times New Roman"/>
          <w:b/>
          <w:szCs w:val="21"/>
          <w:lang w:val="en-US" w:eastAsia="zh-CN"/>
        </w:rPr>
        <w:t>十</w:t>
      </w:r>
      <w:r>
        <w:rPr>
          <w:rFonts w:hint="eastAsia" w:ascii="Times New Roman" w:hAnsi="宋体" w:eastAsia="宋体" w:cs="Times New Roman"/>
          <w:b/>
          <w:szCs w:val="21"/>
        </w:rPr>
        <w:t>）资质要求</w:t>
      </w:r>
    </w:p>
    <w:p w14:paraId="462783CD">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投标人须具备自然资源主管部门颁发的测绘乙级及以上资质，资质证书在有效期内，且可承揽相应等级的测绘地理信息相关工作，符合《测绘资质管理办法》（自然资办发[2021]43号）相关规定。</w:t>
      </w:r>
    </w:p>
    <w:p w14:paraId="06C52420">
      <w:pPr>
        <w:tabs>
          <w:tab w:val="left" w:pos="900"/>
        </w:tabs>
        <w:adjustRightInd w:val="0"/>
        <w:snapToGrid w:val="0"/>
        <w:spacing w:line="360" w:lineRule="auto"/>
        <w:ind w:firstLine="422" w:firstLineChars="200"/>
        <w:rPr>
          <w:rFonts w:hint="eastAsia" w:hAnsi="宋体" w:cs="Times New Roman"/>
          <w:b/>
          <w:szCs w:val="21"/>
          <w:lang w:val="en-US" w:eastAsia="zh-CN"/>
        </w:rPr>
      </w:pPr>
      <w:r>
        <w:rPr>
          <w:rFonts w:hint="eastAsia" w:ascii="Times New Roman" w:hAnsi="宋体" w:eastAsia="宋体" w:cs="Times New Roman"/>
          <w:b/>
          <w:szCs w:val="21"/>
        </w:rPr>
        <w:t>（</w:t>
      </w:r>
      <w:r>
        <w:rPr>
          <w:rFonts w:hint="eastAsia" w:ascii="Times New Roman" w:hAnsi="宋体" w:eastAsia="宋体" w:cs="Times New Roman"/>
          <w:b/>
          <w:szCs w:val="21"/>
          <w:lang w:val="en-US" w:eastAsia="zh-CN"/>
        </w:rPr>
        <w:t>十一</w:t>
      </w:r>
      <w:r>
        <w:rPr>
          <w:rFonts w:hint="eastAsia" w:ascii="Times New Roman" w:hAnsi="宋体" w:eastAsia="宋体" w:cs="Times New Roman"/>
          <w:b/>
          <w:szCs w:val="21"/>
        </w:rPr>
        <w:t>）</w:t>
      </w:r>
      <w:r>
        <w:rPr>
          <w:rFonts w:hint="eastAsia" w:hAnsi="宋体" w:cs="Times New Roman"/>
          <w:b/>
          <w:szCs w:val="21"/>
          <w:lang w:val="en-US" w:eastAsia="zh-CN"/>
        </w:rPr>
        <w:t>其他</w:t>
      </w:r>
      <w:bookmarkStart w:id="15" w:name="_GoBack"/>
      <w:bookmarkEnd w:id="15"/>
      <w:r>
        <w:rPr>
          <w:rFonts w:hint="eastAsia" w:hAnsi="宋体" w:cs="Times New Roman"/>
          <w:b/>
          <w:szCs w:val="21"/>
          <w:lang w:val="en-US" w:eastAsia="zh-CN"/>
        </w:rPr>
        <w:t>要求</w:t>
      </w:r>
    </w:p>
    <w:p w14:paraId="61054F3C">
      <w:pPr>
        <w:tabs>
          <w:tab w:val="left" w:pos="900"/>
        </w:tabs>
        <w:adjustRightInd w:val="0"/>
        <w:snapToGrid w:val="0"/>
        <w:spacing w:line="360" w:lineRule="auto"/>
        <w:ind w:firstLine="420" w:firstLineChars="20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本项目与</w:t>
      </w:r>
      <w:r>
        <w:rPr>
          <w:rFonts w:hint="eastAsia" w:cs="Times New Roman"/>
          <w:szCs w:val="21"/>
          <w:lang w:val="en-US" w:eastAsia="zh-CN"/>
        </w:rPr>
        <w:t>榆阳区</w:t>
      </w:r>
      <w:r>
        <w:rPr>
          <w:rFonts w:hint="default" w:ascii="Times New Roman" w:hAnsi="Times New Roman" w:eastAsia="宋体" w:cs="Times New Roman"/>
          <w:szCs w:val="21"/>
          <w:lang w:val="en-US" w:eastAsia="zh-CN"/>
        </w:rPr>
        <w:t>采煤沉陷区煤层火烧区隐患风险核查技术服务</w:t>
      </w:r>
      <w:r>
        <w:rPr>
          <w:rFonts w:hint="eastAsia" w:cs="Times New Roman"/>
          <w:szCs w:val="21"/>
          <w:lang w:val="en-US" w:eastAsia="zh-CN"/>
        </w:rPr>
        <w:t>、</w:t>
      </w:r>
      <w:r>
        <w:rPr>
          <w:rFonts w:hint="default" w:ascii="Times New Roman" w:hAnsi="Times New Roman" w:eastAsia="宋体" w:cs="Times New Roman"/>
          <w:szCs w:val="21"/>
          <w:lang w:val="en-US" w:eastAsia="zh-CN"/>
        </w:rPr>
        <w:t>府谷县采煤沉陷区煤层火烧区隐患风险核查技术服务、神木市采煤沉陷区煤层火烧区隐患风险核查技术服务及横山、米脂、子洲三区（县）采煤沉陷区煤层火烧区隐患风险核查技术服务互为关联项目，同一投标人可同时参与上述多个项目投标，但每名投标人最多只能中标其中 1 个项目。若同一投标人在多个项目评审中综合排名均为第一，由该投标人自主选定 1 个项目中标，其余排名第一放弃的项目，依次顺延由对应项目综合排名第二的投标人递补中标。</w:t>
      </w:r>
    </w:p>
    <w:p w14:paraId="5551104A">
      <w:pPr>
        <w:tabs>
          <w:tab w:val="left" w:pos="900"/>
        </w:tabs>
        <w:adjustRightInd w:val="0"/>
        <w:snapToGrid w:val="0"/>
        <w:spacing w:line="360" w:lineRule="auto"/>
        <w:ind w:firstLine="422" w:firstLineChars="200"/>
        <w:rPr>
          <w:rFonts w:hint="default" w:ascii="Times New Roman" w:hAnsi="宋体" w:eastAsia="宋体" w:cs="Times New Roman"/>
          <w:b/>
          <w:szCs w:val="21"/>
          <w:lang w:val="en-US" w:eastAsia="zh-CN"/>
        </w:rPr>
      </w:pPr>
      <w:r>
        <w:rPr>
          <w:rFonts w:hint="eastAsia" w:ascii="Times New Roman" w:hAnsi="宋体" w:eastAsia="宋体" w:cs="Times New Roman"/>
          <w:b/>
          <w:szCs w:val="21"/>
        </w:rPr>
        <w:t>（</w:t>
      </w:r>
      <w:r>
        <w:rPr>
          <w:rFonts w:hint="eastAsia" w:ascii="Times New Roman" w:hAnsi="宋体" w:eastAsia="宋体" w:cs="Times New Roman"/>
          <w:b/>
          <w:szCs w:val="21"/>
          <w:lang w:val="en-US" w:eastAsia="zh-CN"/>
        </w:rPr>
        <w:t>十</w:t>
      </w:r>
      <w:r>
        <w:rPr>
          <w:rFonts w:hint="eastAsia" w:hAnsi="宋体" w:cs="Times New Roman"/>
          <w:b/>
          <w:szCs w:val="21"/>
          <w:lang w:val="en-US" w:eastAsia="zh-CN"/>
        </w:rPr>
        <w:t>二</w:t>
      </w:r>
      <w:r>
        <w:rPr>
          <w:rFonts w:hint="eastAsia" w:ascii="Times New Roman" w:hAnsi="宋体" w:eastAsia="宋体" w:cs="Times New Roman"/>
          <w:b/>
          <w:szCs w:val="21"/>
        </w:rPr>
        <w:t>）</w:t>
      </w:r>
      <w:r>
        <w:rPr>
          <w:rFonts w:hint="eastAsia" w:ascii="Times New Roman" w:hAnsi="宋体" w:eastAsia="宋体" w:cs="Times New Roman"/>
          <w:b/>
          <w:szCs w:val="21"/>
          <w:lang w:val="en-US" w:eastAsia="zh-CN"/>
        </w:rPr>
        <w:t xml:space="preserve">知识产权要求 </w:t>
      </w:r>
    </w:p>
    <w:p w14:paraId="010CCF89">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1. 本项目产生的所有成果（含报告、图件、数据、数据库等）知识产权完全归采购人所有。供应商仅享有署名权，不得擅自将成果用于其他项目或向第三方转让。</w:t>
      </w:r>
    </w:p>
    <w:p w14:paraId="4D1F224B">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2. 供应商须保证交付成果不侵犯第三方知识产权。若发生侵权纠纷，由供应商承担全部法律责任及赔偿费用。</w:t>
      </w:r>
    </w:p>
    <w:p w14:paraId="7978AC76">
      <w:pPr>
        <w:tabs>
          <w:tab w:val="left" w:pos="900"/>
        </w:tabs>
        <w:adjustRightInd w:val="0"/>
        <w:snapToGrid w:val="0"/>
        <w:spacing w:line="360" w:lineRule="auto"/>
        <w:ind w:firstLine="420" w:firstLineChars="200"/>
        <w:rPr>
          <w:rFonts w:hint="eastAsia"/>
          <w:lang w:eastAsia="zh-CN"/>
        </w:rPr>
      </w:pPr>
      <w:r>
        <w:rPr>
          <w:rFonts w:hint="eastAsia" w:ascii="Times New Roman" w:hAnsi="Times New Roman" w:eastAsia="宋体" w:cs="Times New Roman"/>
          <w:szCs w:val="21"/>
          <w:lang w:val="en-US" w:eastAsia="zh-CN"/>
        </w:rPr>
        <w:t>3. 供应商在服务过程中获取的所有基础数据及成果，均属采购人资产，严禁私自对外发布或用于商业用途。</w:t>
      </w:r>
    </w:p>
    <w:p w14:paraId="0E502799">
      <w:pPr>
        <w:tabs>
          <w:tab w:val="left" w:pos="900"/>
        </w:tabs>
        <w:adjustRightInd w:val="0"/>
        <w:snapToGrid w:val="0"/>
        <w:spacing w:line="360" w:lineRule="auto"/>
        <w:ind w:firstLine="422" w:firstLineChars="200"/>
        <w:rPr>
          <w:rFonts w:hAnsi="宋体"/>
          <w:b/>
          <w:szCs w:val="21"/>
        </w:rPr>
      </w:pPr>
      <w:r>
        <w:rPr>
          <w:rFonts w:hint="eastAsia" w:hAnsi="宋体"/>
          <w:b/>
          <w:szCs w:val="21"/>
        </w:rPr>
        <w:t>五、采购标的需满足的服务标准、期限、效率等要求</w:t>
      </w:r>
    </w:p>
    <w:p w14:paraId="1D8DFDC5">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（一）质保期： 不少于</w:t>
      </w:r>
      <w:r>
        <w:rPr>
          <w:rFonts w:hint="eastAsia" w:ascii="Times New Roman" w:hAnsi="Times New Roman" w:eastAsia="宋体" w:cs="Times New Roman"/>
          <w:szCs w:val="21"/>
          <w:u w:val="single"/>
          <w:lang w:eastAsia="zh-CN"/>
        </w:rPr>
        <w:t xml:space="preserve">   </w:t>
      </w:r>
      <w:r>
        <w:rPr>
          <w:rFonts w:hint="eastAsia" w:ascii="Times New Roman" w:hAnsi="Times New Roman" w:eastAsia="宋体" w:cs="Times New Roman"/>
          <w:szCs w:val="21"/>
          <w:u w:val="single"/>
          <w:lang w:val="en-US" w:eastAsia="zh-CN"/>
        </w:rPr>
        <w:t>1</w:t>
      </w:r>
      <w:r>
        <w:rPr>
          <w:rFonts w:hint="eastAsia" w:ascii="Times New Roman" w:hAnsi="Times New Roman" w:eastAsia="宋体" w:cs="Times New Roman"/>
          <w:szCs w:val="21"/>
          <w:u w:val="single"/>
          <w:lang w:eastAsia="zh-CN"/>
        </w:rPr>
        <w:t xml:space="preserve">   </w:t>
      </w:r>
      <w:r>
        <w:rPr>
          <w:rFonts w:hint="eastAsia" w:ascii="Times New Roman" w:hAnsi="Times New Roman" w:eastAsia="宋体" w:cs="Times New Roman"/>
          <w:szCs w:val="21"/>
          <w:lang w:eastAsia="zh-CN"/>
        </w:rPr>
        <w:t>年，质保期内，供应方须根据项目实际需要提供免费技术支撑服务（免人工服务费、差旅费等相关费用），包括数据更新、报告修改、数据库维护、技术咨询等，确保成果正常使用。质保期满后，供应方仍需提供长期专业技术支撑服务，投标人须在投标文件中明确专业技术支撑服务单项报价（包括人工、材料、差旅费等全部费用），报价须合理合规。</w:t>
      </w:r>
    </w:p>
    <w:p w14:paraId="446C43F0">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（二）服务响应时间：</w:t>
      </w:r>
      <w:r>
        <w:rPr>
          <w:rFonts w:hint="eastAsia" w:hAnsi="宋体"/>
          <w:szCs w:val="24"/>
        </w:rPr>
        <w:t>接到技术咨询或需求通知后</w:t>
      </w:r>
      <w:r>
        <w:rPr>
          <w:rFonts w:hint="eastAsia" w:ascii="宋体" w:hAnsi="宋体"/>
          <w:szCs w:val="21"/>
        </w:rPr>
        <w:t>4小时内给予明确答复，8小时内到达现场。</w:t>
      </w:r>
      <w:r>
        <w:rPr>
          <w:rFonts w:hint="eastAsia" w:hAnsi="宋体"/>
          <w:szCs w:val="24"/>
        </w:rPr>
        <w:t>减少对采购人工作的影响。</w:t>
      </w:r>
    </w:p>
    <w:p w14:paraId="79F6240D">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（三）</w:t>
      </w:r>
      <w:r>
        <w:rPr>
          <w:rFonts w:ascii="宋体" w:hAnsi="宋体"/>
          <w:szCs w:val="21"/>
        </w:rPr>
        <w:t>培训</w:t>
      </w:r>
      <w:r>
        <w:rPr>
          <w:rFonts w:hint="eastAsia" w:ascii="宋体" w:hAnsi="宋体"/>
          <w:szCs w:val="21"/>
        </w:rPr>
        <w:t>要求：</w:t>
      </w:r>
      <w:r>
        <w:rPr>
          <w:rFonts w:hint="eastAsia" w:hAnsi="宋体"/>
          <w:szCs w:val="24"/>
        </w:rPr>
        <w:t>中标人须提供完整的培训电子资料（含操作手册、注意事项等）及视频教程；免费为采购人培训至少</w:t>
      </w:r>
      <w:r>
        <w:rPr>
          <w:rFonts w:hint="eastAsia" w:hAnsi="宋体"/>
          <w:szCs w:val="24"/>
          <w:u w:val="single"/>
          <w:lang w:val="en-US" w:eastAsia="zh-CN"/>
        </w:rPr>
        <w:t xml:space="preserve">  </w:t>
      </w:r>
      <w:r>
        <w:rPr>
          <w:rFonts w:hint="eastAsia" w:hAnsi="宋体"/>
          <w:szCs w:val="24"/>
          <w:u w:val="single"/>
        </w:rPr>
        <w:t>2</w:t>
      </w:r>
      <w:r>
        <w:rPr>
          <w:rFonts w:hint="eastAsia" w:hAnsi="宋体"/>
          <w:szCs w:val="24"/>
          <w:u w:val="single"/>
          <w:lang w:val="en-US" w:eastAsia="zh-CN"/>
        </w:rPr>
        <w:t xml:space="preserve">  </w:t>
      </w:r>
      <w:r>
        <w:rPr>
          <w:rFonts w:hint="eastAsia" w:hAnsi="宋体"/>
          <w:szCs w:val="24"/>
        </w:rPr>
        <w:t>名操作人员，培训为期至少</w:t>
      </w:r>
      <w:r>
        <w:rPr>
          <w:rFonts w:hint="eastAsia" w:hAnsi="宋体"/>
          <w:szCs w:val="24"/>
          <w:u w:val="single"/>
          <w:lang w:val="en-US" w:eastAsia="zh-CN"/>
        </w:rPr>
        <w:t xml:space="preserve">   </w:t>
      </w:r>
      <w:r>
        <w:rPr>
          <w:rFonts w:hint="eastAsia" w:hAnsi="宋体"/>
          <w:szCs w:val="24"/>
          <w:u w:val="single"/>
        </w:rPr>
        <w:t>3</w:t>
      </w:r>
      <w:r>
        <w:rPr>
          <w:rFonts w:hint="eastAsia" w:hAnsi="宋体"/>
          <w:szCs w:val="24"/>
          <w:u w:val="single"/>
          <w:lang w:val="en-US" w:eastAsia="zh-CN"/>
        </w:rPr>
        <w:t xml:space="preserve">  </w:t>
      </w:r>
      <w:r>
        <w:rPr>
          <w:rFonts w:hint="eastAsia" w:hAnsi="宋体"/>
          <w:szCs w:val="24"/>
        </w:rPr>
        <w:t>天（现场操作培训及应用培训相结合），确保操作人员全面掌握</w:t>
      </w:r>
      <w:r>
        <w:rPr>
          <w:rFonts w:hint="eastAsia" w:hAnsi="宋体"/>
          <w:szCs w:val="24"/>
          <w:lang w:val="en-US" w:eastAsia="zh-CN"/>
        </w:rPr>
        <w:t>研究</w:t>
      </w:r>
      <w:r>
        <w:rPr>
          <w:rFonts w:hint="eastAsia" w:hAnsi="宋体"/>
          <w:szCs w:val="24"/>
        </w:rPr>
        <w:t>成果、数据库及相关设备的使用、维护、管理和应用等相关工作要求。质保期内及期满后，不定期免费提供相关技术咨询、操作指导等服务，及时响应采购人的培训需求。</w:t>
      </w:r>
    </w:p>
    <w:p w14:paraId="250BAB25">
      <w:pPr>
        <w:tabs>
          <w:tab w:val="left" w:pos="420"/>
          <w:tab w:val="left" w:pos="900"/>
        </w:tabs>
        <w:adjustRightInd w:val="0"/>
        <w:snapToGrid w:val="0"/>
        <w:spacing w:line="360" w:lineRule="auto"/>
        <w:ind w:firstLine="422" w:firstLineChars="200"/>
        <w:rPr>
          <w:rFonts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1"/>
    <w:bookmarkEnd w:id="2"/>
    <w:bookmarkEnd w:id="3"/>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3694"/>
        <w:gridCol w:w="4601"/>
      </w:tblGrid>
      <w:tr w14:paraId="7ECB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7541F7C7">
            <w:pPr>
              <w:widowControl/>
              <w:adjustRightInd w:val="0"/>
              <w:snapToGrid w:val="0"/>
              <w:jc w:val="left"/>
              <w:textAlignment w:val="baseline"/>
              <w:rPr>
                <w:rFonts w:ascii="宋体" w:hAnsi="宋体"/>
                <w:b/>
                <w:bCs/>
                <w:color w:val="000000"/>
                <w:kern w:val="0"/>
                <w:szCs w:val="21"/>
              </w:rPr>
            </w:pPr>
            <w:bookmarkStart w:id="12" w:name="OLE_LINK3"/>
            <w:r>
              <w:rPr>
                <w:rFonts w:hint="eastAsia" w:ascii="宋体" w:hAnsi="宋体"/>
                <w:b/>
                <w:bCs/>
                <w:color w:val="000000"/>
                <w:kern w:val="0"/>
                <w:szCs w:val="21"/>
              </w:rPr>
              <w:t>一、货物类项目验收要求</w:t>
            </w:r>
          </w:p>
        </w:tc>
      </w:tr>
      <w:tr w14:paraId="1BB8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5E00C0EC">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序号</w:t>
            </w:r>
          </w:p>
        </w:tc>
        <w:tc>
          <w:tcPr>
            <w:tcW w:w="3694" w:type="dxa"/>
            <w:vAlign w:val="center"/>
          </w:tcPr>
          <w:p w14:paraId="5DF60775">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功能或指标</w:t>
            </w:r>
          </w:p>
        </w:tc>
        <w:tc>
          <w:tcPr>
            <w:tcW w:w="4601" w:type="dxa"/>
            <w:vAlign w:val="center"/>
          </w:tcPr>
          <w:p w14:paraId="4288F8A8">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验收或测试方法</w:t>
            </w:r>
          </w:p>
        </w:tc>
      </w:tr>
      <w:tr w14:paraId="4DD1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02C15476">
            <w:pPr>
              <w:widowControl/>
              <w:adjustRightInd w:val="0"/>
              <w:snapToGrid w:val="0"/>
              <w:jc w:val="left"/>
              <w:textAlignment w:val="baseline"/>
              <w:rPr>
                <w:rFonts w:ascii="宋体" w:hAnsi="宋体"/>
                <w:b/>
                <w:color w:val="000000"/>
                <w:kern w:val="0"/>
                <w:szCs w:val="21"/>
              </w:rPr>
            </w:pPr>
            <w:r>
              <w:rPr>
                <w:rFonts w:hint="eastAsia" w:ascii="宋体" w:hAnsi="宋体"/>
                <w:b/>
                <w:color w:val="000000"/>
                <w:kern w:val="0"/>
                <w:szCs w:val="21"/>
              </w:rPr>
              <w:t>项目建设单位验收要求：</w:t>
            </w:r>
          </w:p>
        </w:tc>
      </w:tr>
      <w:tr w14:paraId="5919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097B844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1</w:t>
            </w:r>
          </w:p>
        </w:tc>
        <w:tc>
          <w:tcPr>
            <w:tcW w:w="3694" w:type="dxa"/>
            <w:vAlign w:val="center"/>
          </w:tcPr>
          <w:p w14:paraId="628DDD59">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货物外包装与外观无损伤</w:t>
            </w:r>
          </w:p>
        </w:tc>
        <w:tc>
          <w:tcPr>
            <w:tcW w:w="4601" w:type="dxa"/>
            <w:vAlign w:val="center"/>
          </w:tcPr>
          <w:p w14:paraId="77718575">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w:t>
            </w:r>
          </w:p>
        </w:tc>
      </w:tr>
      <w:tr w14:paraId="3668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4D5202A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2</w:t>
            </w:r>
          </w:p>
        </w:tc>
        <w:tc>
          <w:tcPr>
            <w:tcW w:w="3694" w:type="dxa"/>
            <w:vAlign w:val="center"/>
          </w:tcPr>
          <w:p w14:paraId="5E3C1A74">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货物配置、包括备品备件、耗品耗材等提供齐全，货物实物品牌、规格、型号、配置数量与采购结果、合同约定相符。</w:t>
            </w:r>
          </w:p>
        </w:tc>
        <w:tc>
          <w:tcPr>
            <w:tcW w:w="4601" w:type="dxa"/>
            <w:vAlign w:val="center"/>
          </w:tcPr>
          <w:p w14:paraId="42CFBBEB">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依据《合同》及其附件（包括但不限于《采购需求》《供应商投标（响应）文件》《投标澄清函》《技术协议》等）约定，现场核查。</w:t>
            </w:r>
          </w:p>
        </w:tc>
      </w:tr>
      <w:tr w14:paraId="5150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72C4659C">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3</w:t>
            </w:r>
          </w:p>
        </w:tc>
        <w:tc>
          <w:tcPr>
            <w:tcW w:w="3694" w:type="dxa"/>
            <w:vAlign w:val="center"/>
          </w:tcPr>
          <w:p w14:paraId="737AFF37">
            <w:pPr>
              <w:widowControl/>
              <w:adjustRightInd w:val="0"/>
              <w:snapToGrid w:val="0"/>
              <w:textAlignment w:val="baseline"/>
              <w:rPr>
                <w:rFonts w:ascii="宋体" w:hAnsi="宋体"/>
                <w:color w:val="000000" w:themeColor="text1"/>
                <w:kern w:val="0"/>
                <w:szCs w:val="21"/>
                <w14:textFill>
                  <w14:solidFill>
                    <w14:schemeClr w14:val="tx1"/>
                  </w14:solidFill>
                </w14:textFill>
              </w:rPr>
            </w:pPr>
            <w:r>
              <w:rPr>
                <w:rFonts w:hint="eastAsia" w:ascii="宋体" w:hAnsi="宋体"/>
                <w:color w:val="000000"/>
                <w:kern w:val="0"/>
                <w:szCs w:val="21"/>
              </w:rPr>
              <w:t>所有功能和指标参数（包括边界极限值）达到采购结果合同约定要求。</w:t>
            </w:r>
          </w:p>
        </w:tc>
        <w:tc>
          <w:tcPr>
            <w:tcW w:w="4601" w:type="dxa"/>
            <w:vAlign w:val="center"/>
          </w:tcPr>
          <w:p w14:paraId="509DD066">
            <w:pPr>
              <w:adjustRightInd w:val="0"/>
              <w:snapToGrid w:val="0"/>
              <w:rPr>
                <w:rFonts w:ascii="宋体" w:hAnsi="宋体"/>
                <w:kern w:val="0"/>
                <w:szCs w:val="21"/>
              </w:rPr>
            </w:pPr>
            <w:r>
              <w:rPr>
                <w:rFonts w:hint="eastAsia" w:ascii="宋体" w:hAnsi="宋体"/>
                <w:color w:val="000000"/>
                <w:kern w:val="0"/>
                <w:szCs w:val="21"/>
              </w:rPr>
              <w:t>依据《合同》及其附件（包括但不限于《采购需求》《供应商投标（响应）文件》《投标澄清函》《技术协议》等）约定，通过现场核查、现场测试、供应商应提供《供应商货物类项目完工报告》《产品出厂检测报告》《产品合格证书》《第三方检测报告》（如有）等一种或多种方式进行验收。</w:t>
            </w:r>
          </w:p>
        </w:tc>
      </w:tr>
      <w:tr w14:paraId="1AFC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2081462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4</w:t>
            </w:r>
          </w:p>
        </w:tc>
        <w:tc>
          <w:tcPr>
            <w:tcW w:w="3694" w:type="dxa"/>
            <w:vAlign w:val="center"/>
          </w:tcPr>
          <w:p w14:paraId="1A6C95FE">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培训等合同服务要求完成情况。</w:t>
            </w:r>
          </w:p>
        </w:tc>
        <w:tc>
          <w:tcPr>
            <w:tcW w:w="4601" w:type="dxa"/>
            <w:vAlign w:val="center"/>
          </w:tcPr>
          <w:p w14:paraId="52C2EC9E">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现场核查。供应商须根据合同约定提供《培训视频》影像资料等。</w:t>
            </w:r>
          </w:p>
        </w:tc>
      </w:tr>
      <w:tr w14:paraId="0838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59DD562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5</w:t>
            </w:r>
          </w:p>
        </w:tc>
        <w:tc>
          <w:tcPr>
            <w:tcW w:w="3694" w:type="dxa"/>
            <w:vAlign w:val="center"/>
          </w:tcPr>
          <w:p w14:paraId="1B3E98A5">
            <w:pPr>
              <w:widowControl/>
              <w:adjustRightInd w:val="0"/>
              <w:snapToGrid w:val="0"/>
              <w:textAlignment w:val="baseline"/>
              <w:rPr>
                <w:rFonts w:ascii="宋体" w:hAnsi="宋体"/>
                <w:color w:val="000000" w:themeColor="text1"/>
                <w:kern w:val="0"/>
                <w:szCs w:val="21"/>
                <w14:textFill>
                  <w14:solidFill>
                    <w14:schemeClr w14:val="tx1"/>
                  </w14:solidFill>
                </w14:textFill>
              </w:rPr>
            </w:pPr>
            <w:r>
              <w:rPr>
                <w:rFonts w:hint="eastAsia" w:ascii="宋体" w:hAnsi="宋体"/>
                <w:color w:val="000000"/>
                <w:kern w:val="0"/>
                <w:szCs w:val="21"/>
              </w:rPr>
              <w:t>验证测试设备的运行稳定性</w:t>
            </w:r>
          </w:p>
        </w:tc>
        <w:tc>
          <w:tcPr>
            <w:tcW w:w="4601" w:type="dxa"/>
            <w:vAlign w:val="center"/>
          </w:tcPr>
          <w:p w14:paraId="4B72A531">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试运行验证测试设备运行稳定达标</w:t>
            </w:r>
          </w:p>
        </w:tc>
      </w:tr>
      <w:tr w14:paraId="660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6DFA2F36">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6</w:t>
            </w:r>
          </w:p>
        </w:tc>
        <w:tc>
          <w:tcPr>
            <w:tcW w:w="8295" w:type="dxa"/>
            <w:gridSpan w:val="2"/>
            <w:vAlign w:val="center"/>
          </w:tcPr>
          <w:p w14:paraId="31F21E15">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提示：</w:t>
            </w:r>
          </w:p>
          <w:p w14:paraId="3078E206">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1.经费负责人应当按照采购合同及其附件规定的每一项技术、服务、安全标准组织对供应商履约情况进行验收。</w:t>
            </w:r>
          </w:p>
          <w:p w14:paraId="2883C437">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2.《供应商货物类项目完工报告》《项目建设单位货物类项目完工自验收报告》《第三方检测报告》（如有）等与验收相关的材料由经费负责人妥善保管存档。</w:t>
            </w:r>
          </w:p>
          <w:p w14:paraId="620B491F">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3.</w:t>
            </w:r>
            <w:bookmarkStart w:id="13" w:name="OLE_LINK4"/>
            <w:r>
              <w:rPr>
                <w:rFonts w:hint="eastAsia" w:ascii="宋体" w:hAnsi="宋体"/>
                <w:color w:val="000000"/>
                <w:kern w:val="0"/>
                <w:szCs w:val="21"/>
              </w:rPr>
              <w:t>《技术协议》</w:t>
            </w:r>
            <w:bookmarkEnd w:id="13"/>
            <w:r>
              <w:rPr>
                <w:rFonts w:hint="eastAsia" w:ascii="宋体" w:hAnsi="宋体"/>
                <w:color w:val="000000"/>
                <w:kern w:val="0"/>
                <w:szCs w:val="21"/>
              </w:rPr>
              <w:t>作为合同有效组成部分，由经费负责人和供应商应在招标完成后第一时间根据采购招标结果（即《采购需求》、《供应商投标（响应）文件》和《投标澄清函》等文件）签订，其内容应与采购招标结果保持一致。《技术协议》中一般包含配置、数量、价格、功能指标参数、服务承诺等内容。</w:t>
            </w:r>
            <w:r>
              <w:rPr>
                <w:rFonts w:ascii="宋体" w:hAnsi="宋体"/>
                <w:color w:val="000000"/>
                <w:kern w:val="0"/>
                <w:szCs w:val="21"/>
              </w:rPr>
              <w:t xml:space="preserve"> </w:t>
            </w:r>
          </w:p>
        </w:tc>
      </w:tr>
      <w:tr w14:paraId="72FC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51743AB1">
            <w:pPr>
              <w:widowControl/>
              <w:adjustRightInd w:val="0"/>
              <w:snapToGrid w:val="0"/>
              <w:textAlignment w:val="baseline"/>
              <w:rPr>
                <w:rFonts w:ascii="宋体" w:hAnsi="宋体"/>
                <w:color w:val="000000"/>
                <w:kern w:val="0"/>
                <w:szCs w:val="21"/>
              </w:rPr>
            </w:pPr>
            <w:r>
              <w:rPr>
                <w:rFonts w:hint="eastAsia" w:ascii="宋体" w:hAnsi="宋体"/>
                <w:b/>
                <w:color w:val="000000"/>
                <w:kern w:val="0"/>
                <w:szCs w:val="21"/>
              </w:rPr>
              <w:t>学校验收复核要求：</w:t>
            </w:r>
            <w:r>
              <w:rPr>
                <w:rFonts w:hint="eastAsia" w:ascii="宋体" w:hAnsi="宋体"/>
                <w:color w:val="000000"/>
                <w:kern w:val="0"/>
                <w:szCs w:val="21"/>
              </w:rPr>
              <w:t>经费负责人自验收通过后，将《学校采购货物类项目验收复核申请表》《学校采购项目验收报告》《供应商履约情况评价表》《供应商货物类项目完工报告》《项目建设单位货物类项目完工自验收报告》等相关资料，递交学校国资处，由国资处组织专家现场验收复核。</w:t>
            </w:r>
          </w:p>
        </w:tc>
      </w:tr>
      <w:tr w14:paraId="5D45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14AE30AD">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验收时是否需要供应商提供样品</w:t>
            </w:r>
          </w:p>
        </w:tc>
        <w:tc>
          <w:tcPr>
            <w:tcW w:w="4601" w:type="dxa"/>
            <w:vAlign w:val="center"/>
          </w:tcPr>
          <w:p w14:paraId="798E259A">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hint="eastAsia" w:ascii="宋体" w:hAnsi="宋体"/>
                <w:color w:val="000000"/>
                <w:kern w:val="0"/>
                <w:szCs w:val="21"/>
              </w:rPr>
              <w:t xml:space="preserve">是 </w:t>
            </w:r>
            <w:r>
              <w:rPr>
                <w:rFonts w:hint="eastAsia" w:ascii="宋体" w:hAnsi="宋体" w:cs="宋体"/>
                <w:color w:val="000000"/>
                <w:kern w:val="0"/>
                <w:szCs w:val="21"/>
              </w:rPr>
              <w:t>□</w:t>
            </w:r>
            <w:r>
              <w:rPr>
                <w:rFonts w:hint="eastAsia" w:ascii="宋体" w:hAnsi="宋体"/>
                <w:color w:val="000000"/>
                <w:kern w:val="0"/>
                <w:szCs w:val="21"/>
              </w:rPr>
              <w:t>否</w:t>
            </w:r>
          </w:p>
        </w:tc>
      </w:tr>
      <w:tr w14:paraId="38BC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4B771E24">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验收时是否需供应商提供必要的其他设备</w:t>
            </w:r>
          </w:p>
        </w:tc>
        <w:tc>
          <w:tcPr>
            <w:tcW w:w="4601" w:type="dxa"/>
            <w:vAlign w:val="center"/>
          </w:tcPr>
          <w:p w14:paraId="33CC1E8D">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hint="eastAsia" w:ascii="宋体" w:hAnsi="宋体" w:cs="宋体"/>
                <w:color w:val="000000"/>
                <w:kern w:val="0"/>
                <w:szCs w:val="21"/>
              </w:rPr>
              <w:t>□</w:t>
            </w:r>
            <w:r>
              <w:rPr>
                <w:rFonts w:ascii="宋体" w:hAnsi="宋体"/>
                <w:color w:val="000000"/>
                <w:kern w:val="0"/>
                <w:szCs w:val="21"/>
              </w:rPr>
              <w:t>否</w:t>
            </w:r>
          </w:p>
        </w:tc>
      </w:tr>
      <w:tr w14:paraId="2F5B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3D52DFAE">
            <w:pPr>
              <w:widowControl/>
              <w:adjustRightInd w:val="0"/>
              <w:snapToGrid w:val="0"/>
              <w:textAlignment w:val="baseline"/>
              <w:rPr>
                <w:rFonts w:ascii="宋体" w:hAnsi="宋体" w:cs="宋体"/>
                <w:color w:val="000000"/>
                <w:kern w:val="0"/>
                <w:szCs w:val="21"/>
              </w:rPr>
            </w:pPr>
            <w:r>
              <w:rPr>
                <w:rFonts w:hint="eastAsia" w:ascii="宋体" w:hAnsi="宋体"/>
                <w:color w:val="000000"/>
                <w:kern w:val="0"/>
                <w:szCs w:val="21"/>
              </w:rPr>
              <w:t>二、</w:t>
            </w:r>
            <w:r>
              <w:rPr>
                <w:rFonts w:hint="eastAsia" w:ascii="宋体" w:hAnsi="宋体"/>
                <w:b/>
                <w:bCs/>
                <w:color w:val="000000"/>
                <w:kern w:val="0"/>
                <w:szCs w:val="21"/>
              </w:rPr>
              <w:t>服务类项目验收要求</w:t>
            </w:r>
          </w:p>
        </w:tc>
      </w:tr>
      <w:tr w14:paraId="753C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74517D30">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项目建设单位验收要求：</w:t>
            </w:r>
            <w:bookmarkStart w:id="14" w:name="OLE_LINK35"/>
            <w:r>
              <w:rPr>
                <w:rFonts w:hint="eastAsia" w:ascii="宋体" w:hAnsi="宋体"/>
                <w:szCs w:val="21"/>
              </w:rPr>
              <w:t>根据项目特点对服务期内的服务履约实施情况进行考核，结合考核情况和服务效果进行验收。验收报告须经国资处备案。</w:t>
            </w:r>
            <w:bookmarkEnd w:id="14"/>
          </w:p>
        </w:tc>
      </w:tr>
      <w:tr w14:paraId="4562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2CF4C624">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学校验收备案要求：</w:t>
            </w:r>
            <w:r>
              <w:rPr>
                <w:rFonts w:hint="eastAsia" w:ascii="宋体" w:hAnsi="宋体"/>
                <w:bCs/>
                <w:color w:val="000000"/>
                <w:kern w:val="0"/>
                <w:szCs w:val="21"/>
              </w:rPr>
              <w:t>项目单位提供《学校采购服务类项目验收报告》《服务类供应商履约情况评价表》</w:t>
            </w:r>
            <w:r>
              <w:rPr>
                <w:rFonts w:hint="eastAsia" w:ascii="宋体" w:hAnsi="宋体"/>
                <w:szCs w:val="21"/>
              </w:rPr>
              <w:t>。国资处可根据项目情况采用抽查等方式进行复核。</w:t>
            </w:r>
          </w:p>
        </w:tc>
      </w:tr>
      <w:tr w14:paraId="51A8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62B84129">
            <w:pPr>
              <w:widowControl/>
              <w:adjustRightInd w:val="0"/>
              <w:snapToGrid w:val="0"/>
              <w:jc w:val="left"/>
              <w:textAlignment w:val="baseline"/>
              <w:rPr>
                <w:rFonts w:ascii="宋体" w:hAnsi="宋体"/>
                <w:color w:val="000000"/>
                <w:kern w:val="0"/>
                <w:szCs w:val="21"/>
              </w:rPr>
            </w:pPr>
            <w:r>
              <w:rPr>
                <w:rFonts w:hint="eastAsia" w:ascii="宋体" w:hAnsi="宋体"/>
                <w:b/>
                <w:bCs/>
                <w:color w:val="000000"/>
                <w:kern w:val="0"/>
                <w:szCs w:val="21"/>
              </w:rPr>
              <w:t>三、除现场验收外，需提供的其他验收要求</w:t>
            </w:r>
          </w:p>
        </w:tc>
      </w:tr>
      <w:tr w14:paraId="4317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50D21A46">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w:t>
            </w:r>
            <w:r>
              <w:rPr>
                <w:rFonts w:ascii="宋体" w:hAnsi="宋体"/>
                <w:color w:val="000000"/>
                <w:kern w:val="0"/>
                <w:szCs w:val="21"/>
              </w:rPr>
              <w:t>需提供第三方检测报告</w:t>
            </w:r>
          </w:p>
        </w:tc>
        <w:tc>
          <w:tcPr>
            <w:tcW w:w="4601" w:type="dxa"/>
            <w:vAlign w:val="center"/>
          </w:tcPr>
          <w:p w14:paraId="2746C4A0">
            <w:pPr>
              <w:widowControl/>
              <w:adjustRightInd w:val="0"/>
              <w:snapToGrid w:val="0"/>
              <w:textAlignment w:val="baseline"/>
              <w:rPr>
                <w:rFonts w:ascii="宋体" w:hAnsi="宋体" w:cs="宋体"/>
                <w:color w:val="000000"/>
                <w:kern w:val="0"/>
                <w:szCs w:val="21"/>
              </w:rPr>
            </w:pPr>
          </w:p>
          <w:p w14:paraId="60F1F5C1">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hint="eastAsia" w:ascii="宋体" w:hAnsi="宋体" w:cs="宋体"/>
                <w:color w:val="000000"/>
                <w:kern w:val="0"/>
                <w:szCs w:val="21"/>
                <w:lang w:eastAsia="zh-CN"/>
              </w:rPr>
              <w:t>☑</w:t>
            </w:r>
            <w:r>
              <w:rPr>
                <w:rFonts w:ascii="宋体" w:hAnsi="宋体"/>
                <w:color w:val="000000"/>
                <w:kern w:val="0"/>
                <w:szCs w:val="21"/>
              </w:rPr>
              <w:t>否</w:t>
            </w:r>
          </w:p>
          <w:p w14:paraId="3D6DDFD4">
            <w:pPr>
              <w:widowControl/>
              <w:adjustRightInd w:val="0"/>
              <w:snapToGrid w:val="0"/>
              <w:textAlignment w:val="baseline"/>
              <w:rPr>
                <w:rFonts w:ascii="宋体" w:hAnsi="宋体"/>
                <w:color w:val="000000"/>
                <w:kern w:val="0"/>
                <w:szCs w:val="21"/>
              </w:rPr>
            </w:pPr>
          </w:p>
          <w:p w14:paraId="3B30A560">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如需提供第三方检测报告，需满足下列要求：</w:t>
            </w:r>
          </w:p>
          <w:p w14:paraId="54453A27">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对于检测机构的要求：国家正规检测机构，出具的检测报告由验收复核专家认可之后作为验收复核通过的主要依据。</w:t>
            </w:r>
          </w:p>
          <w:p w14:paraId="7ED4C1AE">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对于检测执行标准的要求：各项检测项目标准以检测机构按照行业相关要求最新适用并执行的标准为准。</w:t>
            </w:r>
          </w:p>
        </w:tc>
      </w:tr>
      <w:bookmarkEnd w:id="12"/>
    </w:tbl>
    <w:p w14:paraId="38F80FC0">
      <w:pPr>
        <w:adjustRightInd w:val="0"/>
        <w:snapToGrid w:val="0"/>
        <w:spacing w:line="360" w:lineRule="auto"/>
        <w:ind w:firstLine="440" w:firstLineChars="200"/>
        <w:rPr>
          <w:rFonts w:ascii="楷体" w:hAnsi="楷体" w:eastAsia="楷体"/>
          <w:color w:val="FF0000"/>
          <w:sz w:val="22"/>
          <w:szCs w:val="22"/>
        </w:rPr>
      </w:pPr>
    </w:p>
    <w:p w14:paraId="35F239AF">
      <w:pPr>
        <w:adjustRightInd w:val="0"/>
        <w:snapToGrid w:val="0"/>
        <w:spacing w:line="360" w:lineRule="auto"/>
        <w:ind w:firstLine="440" w:firstLineChars="200"/>
        <w:rPr>
          <w:rFonts w:ascii="楷体" w:hAnsi="楷体" w:eastAsia="楷体"/>
          <w:color w:val="FF0000"/>
          <w:sz w:val="22"/>
          <w:szCs w:val="22"/>
        </w:rPr>
      </w:pPr>
    </w:p>
    <w:p w14:paraId="793C7502">
      <w:pPr>
        <w:adjustRightInd w:val="0"/>
        <w:snapToGrid w:val="0"/>
        <w:spacing w:line="360" w:lineRule="auto"/>
        <w:ind w:firstLine="420" w:firstLineChars="200"/>
      </w:pPr>
    </w:p>
    <w:sectPr>
      <w:footerReference r:id="rId3" w:type="default"/>
      <w:pgSz w:w="11906" w:h="16838"/>
      <w:pgMar w:top="1871" w:right="1418" w:bottom="158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DA28B">
    <w:pPr>
      <w:pStyle w:val="7"/>
      <w:jc w:val="center"/>
    </w:pPr>
    <w:r>
      <w:fldChar w:fldCharType="begin"/>
    </w:r>
    <w:r>
      <w:instrText xml:space="preserve">PAGE   \* MERGEFORMAT</w:instrText>
    </w:r>
    <w:r>
      <w:fldChar w:fldCharType="separate"/>
    </w:r>
    <w:r>
      <w:rPr>
        <w:lang w:val="zh-CN"/>
      </w:rPr>
      <w:t>5</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DC897"/>
    <w:multiLevelType w:val="singleLevel"/>
    <w:tmpl w:val="F46DC897"/>
    <w:lvl w:ilvl="0" w:tentative="0">
      <w:start w:val="1"/>
      <w:numFmt w:val="decimal"/>
      <w:suff w:val="space"/>
      <w:lvlText w:val="%1."/>
      <w:lvlJc w:val="left"/>
    </w:lvl>
  </w:abstractNum>
  <w:abstractNum w:abstractNumId="1">
    <w:nsid w:val="255849B2"/>
    <w:multiLevelType w:val="singleLevel"/>
    <w:tmpl w:val="255849B2"/>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0ADB"/>
    <w:rsid w:val="000045B7"/>
    <w:rsid w:val="0000609F"/>
    <w:rsid w:val="00012B28"/>
    <w:rsid w:val="000170BA"/>
    <w:rsid w:val="00017928"/>
    <w:rsid w:val="00017C9A"/>
    <w:rsid w:val="000345B6"/>
    <w:rsid w:val="00037EB6"/>
    <w:rsid w:val="0004707F"/>
    <w:rsid w:val="000578DF"/>
    <w:rsid w:val="00060610"/>
    <w:rsid w:val="00063B9E"/>
    <w:rsid w:val="000816A4"/>
    <w:rsid w:val="00090056"/>
    <w:rsid w:val="00092B2E"/>
    <w:rsid w:val="00094C16"/>
    <w:rsid w:val="000A209A"/>
    <w:rsid w:val="000A21C5"/>
    <w:rsid w:val="000A57A8"/>
    <w:rsid w:val="000B5F74"/>
    <w:rsid w:val="000C588B"/>
    <w:rsid w:val="000C5FD7"/>
    <w:rsid w:val="000D1438"/>
    <w:rsid w:val="000E50F5"/>
    <w:rsid w:val="000F1FA8"/>
    <w:rsid w:val="000F2A29"/>
    <w:rsid w:val="00102045"/>
    <w:rsid w:val="00105428"/>
    <w:rsid w:val="001118D9"/>
    <w:rsid w:val="0011348A"/>
    <w:rsid w:val="00121267"/>
    <w:rsid w:val="001218F7"/>
    <w:rsid w:val="00121B7F"/>
    <w:rsid w:val="001262EF"/>
    <w:rsid w:val="0012727F"/>
    <w:rsid w:val="0013226A"/>
    <w:rsid w:val="00134751"/>
    <w:rsid w:val="00140AF0"/>
    <w:rsid w:val="00140C41"/>
    <w:rsid w:val="00141299"/>
    <w:rsid w:val="0014178C"/>
    <w:rsid w:val="001507CE"/>
    <w:rsid w:val="00150952"/>
    <w:rsid w:val="00150BB2"/>
    <w:rsid w:val="0015496B"/>
    <w:rsid w:val="00157667"/>
    <w:rsid w:val="001609FC"/>
    <w:rsid w:val="00162A76"/>
    <w:rsid w:val="00163196"/>
    <w:rsid w:val="00176534"/>
    <w:rsid w:val="00177BD4"/>
    <w:rsid w:val="0018461B"/>
    <w:rsid w:val="00192B6A"/>
    <w:rsid w:val="001B03C0"/>
    <w:rsid w:val="001B0A84"/>
    <w:rsid w:val="001B1B91"/>
    <w:rsid w:val="001B38ED"/>
    <w:rsid w:val="001B712C"/>
    <w:rsid w:val="001C0880"/>
    <w:rsid w:val="001C19BA"/>
    <w:rsid w:val="001C3356"/>
    <w:rsid w:val="001C3D78"/>
    <w:rsid w:val="001C41C3"/>
    <w:rsid w:val="001C5915"/>
    <w:rsid w:val="001C7C84"/>
    <w:rsid w:val="001E0980"/>
    <w:rsid w:val="001E1FDF"/>
    <w:rsid w:val="001E5B8B"/>
    <w:rsid w:val="001F2F73"/>
    <w:rsid w:val="0021026B"/>
    <w:rsid w:val="00214F3E"/>
    <w:rsid w:val="002204EA"/>
    <w:rsid w:val="002262A0"/>
    <w:rsid w:val="00230B96"/>
    <w:rsid w:val="00233C66"/>
    <w:rsid w:val="00237253"/>
    <w:rsid w:val="002440C5"/>
    <w:rsid w:val="00244594"/>
    <w:rsid w:val="00244A77"/>
    <w:rsid w:val="00245208"/>
    <w:rsid w:val="002501FD"/>
    <w:rsid w:val="002529C7"/>
    <w:rsid w:val="00255503"/>
    <w:rsid w:val="00255550"/>
    <w:rsid w:val="002569F5"/>
    <w:rsid w:val="00264031"/>
    <w:rsid w:val="0027521E"/>
    <w:rsid w:val="00277679"/>
    <w:rsid w:val="00280353"/>
    <w:rsid w:val="002815C8"/>
    <w:rsid w:val="002878EA"/>
    <w:rsid w:val="00290359"/>
    <w:rsid w:val="00293B6E"/>
    <w:rsid w:val="00297819"/>
    <w:rsid w:val="002A4902"/>
    <w:rsid w:val="002A6571"/>
    <w:rsid w:val="002B287A"/>
    <w:rsid w:val="002B3A1B"/>
    <w:rsid w:val="002C0CC3"/>
    <w:rsid w:val="002C1D63"/>
    <w:rsid w:val="002C7863"/>
    <w:rsid w:val="002D06B9"/>
    <w:rsid w:val="002D68DE"/>
    <w:rsid w:val="002D7991"/>
    <w:rsid w:val="002D7EBC"/>
    <w:rsid w:val="002E1EFE"/>
    <w:rsid w:val="002F0BEB"/>
    <w:rsid w:val="00300CA8"/>
    <w:rsid w:val="003027D7"/>
    <w:rsid w:val="00303423"/>
    <w:rsid w:val="00305D95"/>
    <w:rsid w:val="00306DA8"/>
    <w:rsid w:val="003078A0"/>
    <w:rsid w:val="00310E17"/>
    <w:rsid w:val="003113D4"/>
    <w:rsid w:val="00311594"/>
    <w:rsid w:val="0031502A"/>
    <w:rsid w:val="00323357"/>
    <w:rsid w:val="003243F0"/>
    <w:rsid w:val="00327213"/>
    <w:rsid w:val="0033313D"/>
    <w:rsid w:val="003458D7"/>
    <w:rsid w:val="00345D8D"/>
    <w:rsid w:val="00351AB0"/>
    <w:rsid w:val="00353168"/>
    <w:rsid w:val="00353C03"/>
    <w:rsid w:val="00353EC3"/>
    <w:rsid w:val="00361390"/>
    <w:rsid w:val="0036352F"/>
    <w:rsid w:val="003649AF"/>
    <w:rsid w:val="00365116"/>
    <w:rsid w:val="00371949"/>
    <w:rsid w:val="00375975"/>
    <w:rsid w:val="0037638F"/>
    <w:rsid w:val="00381C4A"/>
    <w:rsid w:val="00390F4C"/>
    <w:rsid w:val="003A243E"/>
    <w:rsid w:val="003B1B61"/>
    <w:rsid w:val="003B4712"/>
    <w:rsid w:val="003C207F"/>
    <w:rsid w:val="003C277F"/>
    <w:rsid w:val="003D06DB"/>
    <w:rsid w:val="003D4AEF"/>
    <w:rsid w:val="003E4113"/>
    <w:rsid w:val="003E4FDA"/>
    <w:rsid w:val="003E5394"/>
    <w:rsid w:val="003E675E"/>
    <w:rsid w:val="003F1D71"/>
    <w:rsid w:val="003F341A"/>
    <w:rsid w:val="003F37A4"/>
    <w:rsid w:val="003F4F91"/>
    <w:rsid w:val="003F5577"/>
    <w:rsid w:val="003F57FA"/>
    <w:rsid w:val="003F7CB0"/>
    <w:rsid w:val="003F7E54"/>
    <w:rsid w:val="00400968"/>
    <w:rsid w:val="00406295"/>
    <w:rsid w:val="00410B1E"/>
    <w:rsid w:val="004151CD"/>
    <w:rsid w:val="00415A37"/>
    <w:rsid w:val="00426CB3"/>
    <w:rsid w:val="00436B73"/>
    <w:rsid w:val="004374DA"/>
    <w:rsid w:val="00440EDB"/>
    <w:rsid w:val="00442A4D"/>
    <w:rsid w:val="00453832"/>
    <w:rsid w:val="00455ED6"/>
    <w:rsid w:val="004712B7"/>
    <w:rsid w:val="0048154C"/>
    <w:rsid w:val="00481EE9"/>
    <w:rsid w:val="00490D0E"/>
    <w:rsid w:val="00491E5A"/>
    <w:rsid w:val="00492DD3"/>
    <w:rsid w:val="004951D7"/>
    <w:rsid w:val="00495B30"/>
    <w:rsid w:val="004A43F0"/>
    <w:rsid w:val="004A69FE"/>
    <w:rsid w:val="004B3DFE"/>
    <w:rsid w:val="004C0EDE"/>
    <w:rsid w:val="004C6E57"/>
    <w:rsid w:val="004D47EE"/>
    <w:rsid w:val="004D7FAC"/>
    <w:rsid w:val="004E36C2"/>
    <w:rsid w:val="004E4B14"/>
    <w:rsid w:val="004F27FB"/>
    <w:rsid w:val="00501176"/>
    <w:rsid w:val="00501E8E"/>
    <w:rsid w:val="0051081D"/>
    <w:rsid w:val="00510891"/>
    <w:rsid w:val="0051141F"/>
    <w:rsid w:val="00524AB7"/>
    <w:rsid w:val="0052535A"/>
    <w:rsid w:val="005307ED"/>
    <w:rsid w:val="0053111A"/>
    <w:rsid w:val="00537D96"/>
    <w:rsid w:val="00544653"/>
    <w:rsid w:val="00545874"/>
    <w:rsid w:val="00551F52"/>
    <w:rsid w:val="00555D36"/>
    <w:rsid w:val="00557A2C"/>
    <w:rsid w:val="00557F71"/>
    <w:rsid w:val="00562C62"/>
    <w:rsid w:val="00562FB7"/>
    <w:rsid w:val="005633CE"/>
    <w:rsid w:val="00571ADE"/>
    <w:rsid w:val="00572CCF"/>
    <w:rsid w:val="005732C7"/>
    <w:rsid w:val="005737B7"/>
    <w:rsid w:val="00575012"/>
    <w:rsid w:val="005774B1"/>
    <w:rsid w:val="00582A16"/>
    <w:rsid w:val="005853E9"/>
    <w:rsid w:val="00585AD7"/>
    <w:rsid w:val="00586153"/>
    <w:rsid w:val="0059304A"/>
    <w:rsid w:val="005951EF"/>
    <w:rsid w:val="005B02D0"/>
    <w:rsid w:val="005B0AC7"/>
    <w:rsid w:val="005B317C"/>
    <w:rsid w:val="005B5B9E"/>
    <w:rsid w:val="005B62C9"/>
    <w:rsid w:val="005B698D"/>
    <w:rsid w:val="005B6A13"/>
    <w:rsid w:val="005C3DA0"/>
    <w:rsid w:val="005D1A12"/>
    <w:rsid w:val="005E0008"/>
    <w:rsid w:val="005E373A"/>
    <w:rsid w:val="005E6A0A"/>
    <w:rsid w:val="005E7748"/>
    <w:rsid w:val="005E7C85"/>
    <w:rsid w:val="005F06FA"/>
    <w:rsid w:val="005F1571"/>
    <w:rsid w:val="005F26A4"/>
    <w:rsid w:val="005F271F"/>
    <w:rsid w:val="005F3727"/>
    <w:rsid w:val="005F401F"/>
    <w:rsid w:val="0060360E"/>
    <w:rsid w:val="00605B14"/>
    <w:rsid w:val="00611202"/>
    <w:rsid w:val="00611E61"/>
    <w:rsid w:val="006139E7"/>
    <w:rsid w:val="00620197"/>
    <w:rsid w:val="00620652"/>
    <w:rsid w:val="006237BE"/>
    <w:rsid w:val="00634FF1"/>
    <w:rsid w:val="00636F27"/>
    <w:rsid w:val="00640733"/>
    <w:rsid w:val="00642B2A"/>
    <w:rsid w:val="0064334B"/>
    <w:rsid w:val="00643D51"/>
    <w:rsid w:val="006538FB"/>
    <w:rsid w:val="006706FD"/>
    <w:rsid w:val="006772FA"/>
    <w:rsid w:val="00681FDD"/>
    <w:rsid w:val="006873DB"/>
    <w:rsid w:val="006878E9"/>
    <w:rsid w:val="006A6A2F"/>
    <w:rsid w:val="006C2706"/>
    <w:rsid w:val="006C2918"/>
    <w:rsid w:val="006C4154"/>
    <w:rsid w:val="006C511C"/>
    <w:rsid w:val="006C687D"/>
    <w:rsid w:val="006C782C"/>
    <w:rsid w:val="006D095D"/>
    <w:rsid w:val="006D2C2D"/>
    <w:rsid w:val="006D3A11"/>
    <w:rsid w:val="006E1E8B"/>
    <w:rsid w:val="006E330A"/>
    <w:rsid w:val="006F3B7B"/>
    <w:rsid w:val="006F5B28"/>
    <w:rsid w:val="006F5E53"/>
    <w:rsid w:val="006F7061"/>
    <w:rsid w:val="007011DF"/>
    <w:rsid w:val="00703AC6"/>
    <w:rsid w:val="00710AA5"/>
    <w:rsid w:val="00711E56"/>
    <w:rsid w:val="007132C5"/>
    <w:rsid w:val="00715B3F"/>
    <w:rsid w:val="0071642D"/>
    <w:rsid w:val="00717C94"/>
    <w:rsid w:val="00721306"/>
    <w:rsid w:val="007234E0"/>
    <w:rsid w:val="00725D8A"/>
    <w:rsid w:val="00727C0A"/>
    <w:rsid w:val="00730287"/>
    <w:rsid w:val="007369E1"/>
    <w:rsid w:val="0074203F"/>
    <w:rsid w:val="007435CD"/>
    <w:rsid w:val="007437CA"/>
    <w:rsid w:val="00746CF7"/>
    <w:rsid w:val="007554BB"/>
    <w:rsid w:val="00755FDD"/>
    <w:rsid w:val="0075752D"/>
    <w:rsid w:val="00760039"/>
    <w:rsid w:val="00763273"/>
    <w:rsid w:val="0076501A"/>
    <w:rsid w:val="00770F4F"/>
    <w:rsid w:val="007803AD"/>
    <w:rsid w:val="007839AE"/>
    <w:rsid w:val="00785146"/>
    <w:rsid w:val="00791CD0"/>
    <w:rsid w:val="007A059E"/>
    <w:rsid w:val="007A41C0"/>
    <w:rsid w:val="007A5A82"/>
    <w:rsid w:val="007A5DE1"/>
    <w:rsid w:val="007A7B4C"/>
    <w:rsid w:val="007B0025"/>
    <w:rsid w:val="007B0FEB"/>
    <w:rsid w:val="007B4412"/>
    <w:rsid w:val="007C7E7D"/>
    <w:rsid w:val="007D270D"/>
    <w:rsid w:val="007D2C32"/>
    <w:rsid w:val="007D423E"/>
    <w:rsid w:val="007D4F3E"/>
    <w:rsid w:val="007D72DA"/>
    <w:rsid w:val="007D7B8D"/>
    <w:rsid w:val="007E1C48"/>
    <w:rsid w:val="007E62AE"/>
    <w:rsid w:val="007E73EB"/>
    <w:rsid w:val="007F1338"/>
    <w:rsid w:val="007F2546"/>
    <w:rsid w:val="007F4BD9"/>
    <w:rsid w:val="007F4C10"/>
    <w:rsid w:val="007F5C59"/>
    <w:rsid w:val="00800E12"/>
    <w:rsid w:val="00801053"/>
    <w:rsid w:val="0080610F"/>
    <w:rsid w:val="00810968"/>
    <w:rsid w:val="00811918"/>
    <w:rsid w:val="008153D5"/>
    <w:rsid w:val="00823CA9"/>
    <w:rsid w:val="00824562"/>
    <w:rsid w:val="00825F4C"/>
    <w:rsid w:val="00831869"/>
    <w:rsid w:val="00833A4F"/>
    <w:rsid w:val="00834FF0"/>
    <w:rsid w:val="0083650B"/>
    <w:rsid w:val="008403A0"/>
    <w:rsid w:val="0084652E"/>
    <w:rsid w:val="00846FC6"/>
    <w:rsid w:val="00847A0B"/>
    <w:rsid w:val="00860344"/>
    <w:rsid w:val="00860346"/>
    <w:rsid w:val="008627C7"/>
    <w:rsid w:val="008635D7"/>
    <w:rsid w:val="00870113"/>
    <w:rsid w:val="00873F09"/>
    <w:rsid w:val="008775E2"/>
    <w:rsid w:val="00881F75"/>
    <w:rsid w:val="008875CA"/>
    <w:rsid w:val="0089621F"/>
    <w:rsid w:val="008A7248"/>
    <w:rsid w:val="008B21EB"/>
    <w:rsid w:val="008B5DBC"/>
    <w:rsid w:val="008C0BE7"/>
    <w:rsid w:val="008C49D1"/>
    <w:rsid w:val="008C7368"/>
    <w:rsid w:val="008D094B"/>
    <w:rsid w:val="008D11A7"/>
    <w:rsid w:val="008D17DD"/>
    <w:rsid w:val="008D4186"/>
    <w:rsid w:val="008D5F08"/>
    <w:rsid w:val="008E111B"/>
    <w:rsid w:val="008E38CF"/>
    <w:rsid w:val="008E5DAA"/>
    <w:rsid w:val="008E5F1D"/>
    <w:rsid w:val="008E6FAC"/>
    <w:rsid w:val="008F2ED3"/>
    <w:rsid w:val="008F3C13"/>
    <w:rsid w:val="008F6AEC"/>
    <w:rsid w:val="00902581"/>
    <w:rsid w:val="00912013"/>
    <w:rsid w:val="00915D65"/>
    <w:rsid w:val="00925E61"/>
    <w:rsid w:val="0092649F"/>
    <w:rsid w:val="0093090F"/>
    <w:rsid w:val="00946EF5"/>
    <w:rsid w:val="0095685D"/>
    <w:rsid w:val="0095718B"/>
    <w:rsid w:val="009604BB"/>
    <w:rsid w:val="009618B7"/>
    <w:rsid w:val="00962CDE"/>
    <w:rsid w:val="0099177F"/>
    <w:rsid w:val="00992532"/>
    <w:rsid w:val="00995789"/>
    <w:rsid w:val="009A7391"/>
    <w:rsid w:val="009B2EF0"/>
    <w:rsid w:val="009B3732"/>
    <w:rsid w:val="009B4C25"/>
    <w:rsid w:val="009B628C"/>
    <w:rsid w:val="009C2163"/>
    <w:rsid w:val="009C257D"/>
    <w:rsid w:val="009C3957"/>
    <w:rsid w:val="009C5FCD"/>
    <w:rsid w:val="009D18B6"/>
    <w:rsid w:val="009D2D9F"/>
    <w:rsid w:val="009D33C2"/>
    <w:rsid w:val="009D3518"/>
    <w:rsid w:val="009E0F69"/>
    <w:rsid w:val="009F0011"/>
    <w:rsid w:val="009F206D"/>
    <w:rsid w:val="009F3B77"/>
    <w:rsid w:val="009F66DE"/>
    <w:rsid w:val="009F6CAB"/>
    <w:rsid w:val="009F7A2C"/>
    <w:rsid w:val="00A01710"/>
    <w:rsid w:val="00A047F0"/>
    <w:rsid w:val="00A14ED7"/>
    <w:rsid w:val="00A161FC"/>
    <w:rsid w:val="00A2430D"/>
    <w:rsid w:val="00A30C68"/>
    <w:rsid w:val="00A4094F"/>
    <w:rsid w:val="00A500A4"/>
    <w:rsid w:val="00A61746"/>
    <w:rsid w:val="00A63300"/>
    <w:rsid w:val="00A701AE"/>
    <w:rsid w:val="00A7512D"/>
    <w:rsid w:val="00A75C48"/>
    <w:rsid w:val="00A75D88"/>
    <w:rsid w:val="00A765E9"/>
    <w:rsid w:val="00A76D9E"/>
    <w:rsid w:val="00A865ED"/>
    <w:rsid w:val="00A86C18"/>
    <w:rsid w:val="00A93FD2"/>
    <w:rsid w:val="00AA1A80"/>
    <w:rsid w:val="00AA2AC3"/>
    <w:rsid w:val="00AB4712"/>
    <w:rsid w:val="00AB48E9"/>
    <w:rsid w:val="00AC005D"/>
    <w:rsid w:val="00AC2EB1"/>
    <w:rsid w:val="00AC6F95"/>
    <w:rsid w:val="00AD4C30"/>
    <w:rsid w:val="00AD6EAD"/>
    <w:rsid w:val="00AE18CF"/>
    <w:rsid w:val="00AE1AFA"/>
    <w:rsid w:val="00AE67A6"/>
    <w:rsid w:val="00AF7468"/>
    <w:rsid w:val="00B015CE"/>
    <w:rsid w:val="00B01FBC"/>
    <w:rsid w:val="00B03658"/>
    <w:rsid w:val="00B04427"/>
    <w:rsid w:val="00B0779B"/>
    <w:rsid w:val="00B149B5"/>
    <w:rsid w:val="00B151BE"/>
    <w:rsid w:val="00B209E9"/>
    <w:rsid w:val="00B236CB"/>
    <w:rsid w:val="00B30D51"/>
    <w:rsid w:val="00B33451"/>
    <w:rsid w:val="00B33F63"/>
    <w:rsid w:val="00B35632"/>
    <w:rsid w:val="00B43698"/>
    <w:rsid w:val="00B4481B"/>
    <w:rsid w:val="00B4710C"/>
    <w:rsid w:val="00B47D50"/>
    <w:rsid w:val="00B7018C"/>
    <w:rsid w:val="00B7019E"/>
    <w:rsid w:val="00B7185F"/>
    <w:rsid w:val="00B72BD6"/>
    <w:rsid w:val="00B869C6"/>
    <w:rsid w:val="00B87CB4"/>
    <w:rsid w:val="00B91989"/>
    <w:rsid w:val="00B94A57"/>
    <w:rsid w:val="00B97895"/>
    <w:rsid w:val="00BA115A"/>
    <w:rsid w:val="00BA1466"/>
    <w:rsid w:val="00BA15B5"/>
    <w:rsid w:val="00BA359E"/>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F1C8F"/>
    <w:rsid w:val="00BF7E50"/>
    <w:rsid w:val="00C1098B"/>
    <w:rsid w:val="00C10C07"/>
    <w:rsid w:val="00C10F61"/>
    <w:rsid w:val="00C15054"/>
    <w:rsid w:val="00C163BC"/>
    <w:rsid w:val="00C23258"/>
    <w:rsid w:val="00C27434"/>
    <w:rsid w:val="00C32ADD"/>
    <w:rsid w:val="00C34505"/>
    <w:rsid w:val="00C35B3B"/>
    <w:rsid w:val="00C36A51"/>
    <w:rsid w:val="00C459CE"/>
    <w:rsid w:val="00C479F8"/>
    <w:rsid w:val="00C51CEE"/>
    <w:rsid w:val="00C53AA9"/>
    <w:rsid w:val="00C56D21"/>
    <w:rsid w:val="00C63818"/>
    <w:rsid w:val="00C643DA"/>
    <w:rsid w:val="00C74982"/>
    <w:rsid w:val="00C82348"/>
    <w:rsid w:val="00C92D3F"/>
    <w:rsid w:val="00C950B9"/>
    <w:rsid w:val="00C95481"/>
    <w:rsid w:val="00CA1559"/>
    <w:rsid w:val="00CA1D32"/>
    <w:rsid w:val="00CC44C8"/>
    <w:rsid w:val="00CD1229"/>
    <w:rsid w:val="00CD153F"/>
    <w:rsid w:val="00CD2230"/>
    <w:rsid w:val="00CD50E0"/>
    <w:rsid w:val="00CD5C95"/>
    <w:rsid w:val="00CE0FFF"/>
    <w:rsid w:val="00CE546B"/>
    <w:rsid w:val="00CF3F57"/>
    <w:rsid w:val="00CF5863"/>
    <w:rsid w:val="00CF7DC8"/>
    <w:rsid w:val="00D04B4C"/>
    <w:rsid w:val="00D07E51"/>
    <w:rsid w:val="00D12F04"/>
    <w:rsid w:val="00D156F3"/>
    <w:rsid w:val="00D17B51"/>
    <w:rsid w:val="00D21F75"/>
    <w:rsid w:val="00D22E33"/>
    <w:rsid w:val="00D324D9"/>
    <w:rsid w:val="00D333CD"/>
    <w:rsid w:val="00D36298"/>
    <w:rsid w:val="00D41788"/>
    <w:rsid w:val="00D44196"/>
    <w:rsid w:val="00D449F2"/>
    <w:rsid w:val="00D44E67"/>
    <w:rsid w:val="00D45ED1"/>
    <w:rsid w:val="00D512BD"/>
    <w:rsid w:val="00D532CD"/>
    <w:rsid w:val="00D55A25"/>
    <w:rsid w:val="00D56E82"/>
    <w:rsid w:val="00D6619A"/>
    <w:rsid w:val="00D7490B"/>
    <w:rsid w:val="00D76AA8"/>
    <w:rsid w:val="00D8060D"/>
    <w:rsid w:val="00D81319"/>
    <w:rsid w:val="00D8247A"/>
    <w:rsid w:val="00D82B79"/>
    <w:rsid w:val="00D87F17"/>
    <w:rsid w:val="00D94396"/>
    <w:rsid w:val="00D97FEA"/>
    <w:rsid w:val="00DA1B3C"/>
    <w:rsid w:val="00DA2BF3"/>
    <w:rsid w:val="00DA57C1"/>
    <w:rsid w:val="00DB1D64"/>
    <w:rsid w:val="00DB6ED1"/>
    <w:rsid w:val="00DC1928"/>
    <w:rsid w:val="00DD1742"/>
    <w:rsid w:val="00DD2AD3"/>
    <w:rsid w:val="00DE15E5"/>
    <w:rsid w:val="00DF1EA0"/>
    <w:rsid w:val="00DF245C"/>
    <w:rsid w:val="00DF5062"/>
    <w:rsid w:val="00DF65CB"/>
    <w:rsid w:val="00E023CC"/>
    <w:rsid w:val="00E02FC1"/>
    <w:rsid w:val="00E0462B"/>
    <w:rsid w:val="00E0581E"/>
    <w:rsid w:val="00E07247"/>
    <w:rsid w:val="00E10251"/>
    <w:rsid w:val="00E1130A"/>
    <w:rsid w:val="00E14E80"/>
    <w:rsid w:val="00E17608"/>
    <w:rsid w:val="00E22081"/>
    <w:rsid w:val="00E26107"/>
    <w:rsid w:val="00E34A5B"/>
    <w:rsid w:val="00E36D46"/>
    <w:rsid w:val="00E4264C"/>
    <w:rsid w:val="00E458B0"/>
    <w:rsid w:val="00E501AE"/>
    <w:rsid w:val="00E506CD"/>
    <w:rsid w:val="00E512A8"/>
    <w:rsid w:val="00E538A0"/>
    <w:rsid w:val="00E57E43"/>
    <w:rsid w:val="00E65CE7"/>
    <w:rsid w:val="00E6628A"/>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3031"/>
    <w:rsid w:val="00E931F1"/>
    <w:rsid w:val="00E972E0"/>
    <w:rsid w:val="00EA4358"/>
    <w:rsid w:val="00EA4482"/>
    <w:rsid w:val="00EA5BB2"/>
    <w:rsid w:val="00EA67C5"/>
    <w:rsid w:val="00EA7524"/>
    <w:rsid w:val="00EB42C3"/>
    <w:rsid w:val="00EB5304"/>
    <w:rsid w:val="00ED27A4"/>
    <w:rsid w:val="00ED5154"/>
    <w:rsid w:val="00EE2CE9"/>
    <w:rsid w:val="00EE39D9"/>
    <w:rsid w:val="00EF2087"/>
    <w:rsid w:val="00EF4FBA"/>
    <w:rsid w:val="00F02423"/>
    <w:rsid w:val="00F072C1"/>
    <w:rsid w:val="00F07693"/>
    <w:rsid w:val="00F10369"/>
    <w:rsid w:val="00F13265"/>
    <w:rsid w:val="00F14B96"/>
    <w:rsid w:val="00F1681C"/>
    <w:rsid w:val="00F17DEA"/>
    <w:rsid w:val="00F223B3"/>
    <w:rsid w:val="00F33F13"/>
    <w:rsid w:val="00F35137"/>
    <w:rsid w:val="00F43286"/>
    <w:rsid w:val="00F438F3"/>
    <w:rsid w:val="00F57DCD"/>
    <w:rsid w:val="00F63AEB"/>
    <w:rsid w:val="00F65DFE"/>
    <w:rsid w:val="00F72305"/>
    <w:rsid w:val="00F7623C"/>
    <w:rsid w:val="00F77F3E"/>
    <w:rsid w:val="00F8648C"/>
    <w:rsid w:val="00F908A8"/>
    <w:rsid w:val="00F93AA6"/>
    <w:rsid w:val="00F94194"/>
    <w:rsid w:val="00F959C8"/>
    <w:rsid w:val="00F9750C"/>
    <w:rsid w:val="00F9789E"/>
    <w:rsid w:val="00FA67D4"/>
    <w:rsid w:val="00FB00E1"/>
    <w:rsid w:val="00FB12A5"/>
    <w:rsid w:val="00FB1587"/>
    <w:rsid w:val="00FB322D"/>
    <w:rsid w:val="00FB42CB"/>
    <w:rsid w:val="00FB43C6"/>
    <w:rsid w:val="00FB5401"/>
    <w:rsid w:val="00FC1111"/>
    <w:rsid w:val="00FC194B"/>
    <w:rsid w:val="00FC3BB8"/>
    <w:rsid w:val="00FD6CA8"/>
    <w:rsid w:val="00FE1B41"/>
    <w:rsid w:val="00FF21F2"/>
    <w:rsid w:val="00FF339E"/>
    <w:rsid w:val="00FF40F9"/>
    <w:rsid w:val="00FF47AD"/>
    <w:rsid w:val="00FF6875"/>
    <w:rsid w:val="00FF698C"/>
    <w:rsid w:val="04156D5F"/>
    <w:rsid w:val="0FAE2258"/>
    <w:rsid w:val="1B016A5F"/>
    <w:rsid w:val="1BC72B84"/>
    <w:rsid w:val="22370C5F"/>
    <w:rsid w:val="26962DDB"/>
    <w:rsid w:val="34D6203C"/>
    <w:rsid w:val="3778260F"/>
    <w:rsid w:val="40E43586"/>
    <w:rsid w:val="495B21DD"/>
    <w:rsid w:val="4BF90723"/>
    <w:rsid w:val="4C151BDD"/>
    <w:rsid w:val="4FAF6015"/>
    <w:rsid w:val="50E6017C"/>
    <w:rsid w:val="6C762E7E"/>
    <w:rsid w:val="758A56CF"/>
    <w:rsid w:val="7DB33A33"/>
    <w:rsid w:val="7EAE3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9"/>
    <w:semiHidden/>
    <w:unhideWhenUsed/>
    <w:qFormat/>
    <w:uiPriority w:val="99"/>
    <w:pPr>
      <w:jc w:val="left"/>
    </w:pPr>
  </w:style>
  <w:style w:type="paragraph" w:styleId="4">
    <w:name w:val="Body Text Indent"/>
    <w:basedOn w:val="1"/>
    <w:semiHidden/>
    <w:unhideWhenUsed/>
    <w:qFormat/>
    <w:uiPriority w:val="99"/>
    <w:pPr>
      <w:spacing w:after="120"/>
      <w:ind w:left="420" w:leftChars="200"/>
    </w:pPr>
  </w:style>
  <w:style w:type="paragraph" w:styleId="5">
    <w:name w:val="Plain Text"/>
    <w:basedOn w:val="1"/>
    <w:link w:val="19"/>
    <w:qFormat/>
    <w:uiPriority w:val="0"/>
    <w:rPr>
      <w:rFonts w:ascii="宋体" w:hAnsi="Courier New" w:cstheme="minorBidi"/>
      <w:szCs w:val="22"/>
    </w:rPr>
  </w:style>
  <w:style w:type="paragraph" w:styleId="6">
    <w:name w:val="Balloon Text"/>
    <w:basedOn w:val="1"/>
    <w:link w:val="27"/>
    <w:semiHidden/>
    <w:unhideWhenUsed/>
    <w:qFormat/>
    <w:uiPriority w:val="99"/>
    <w:rPr>
      <w:sz w:val="18"/>
      <w:szCs w:val="18"/>
    </w:rPr>
  </w:style>
  <w:style w:type="paragraph" w:styleId="7">
    <w:name w:val="footer"/>
    <w:basedOn w:val="1"/>
    <w:link w:val="20"/>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8">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link w:val="21"/>
    <w:qFormat/>
    <w:uiPriority w:val="0"/>
    <w:pPr>
      <w:spacing w:before="240" w:after="60"/>
      <w:jc w:val="center"/>
      <w:outlineLvl w:val="0"/>
    </w:pPr>
    <w:rPr>
      <w:rFonts w:ascii="Arial" w:hAnsi="Arial" w:cs="Arial"/>
      <w:b/>
      <w:bCs/>
      <w:sz w:val="32"/>
      <w:szCs w:val="32"/>
    </w:rPr>
  </w:style>
  <w:style w:type="paragraph" w:styleId="10">
    <w:name w:val="annotation subject"/>
    <w:basedOn w:val="3"/>
    <w:next w:val="3"/>
    <w:link w:val="30"/>
    <w:semiHidden/>
    <w:unhideWhenUsed/>
    <w:qFormat/>
    <w:uiPriority w:val="99"/>
    <w:rPr>
      <w:b/>
      <w:bCs/>
    </w:rPr>
  </w:style>
  <w:style w:type="paragraph" w:styleId="11">
    <w:name w:val="Body Text First Indent 2"/>
    <w:basedOn w:val="4"/>
    <w:unhideWhenUsed/>
    <w:qFormat/>
    <w:uiPriority w:val="99"/>
    <w:pPr>
      <w:ind w:firstLine="42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Emphasis"/>
    <w:basedOn w:val="14"/>
    <w:qFormat/>
    <w:uiPriority w:val="20"/>
    <w:rPr>
      <w:i/>
      <w:iCs/>
    </w:rPr>
  </w:style>
  <w:style w:type="character" w:styleId="17">
    <w:name w:val="Hyperlink"/>
    <w:basedOn w:val="14"/>
    <w:semiHidden/>
    <w:unhideWhenUsed/>
    <w:qFormat/>
    <w:uiPriority w:val="99"/>
    <w:rPr>
      <w:color w:val="0000FF"/>
      <w:u w:val="single"/>
    </w:rPr>
  </w:style>
  <w:style w:type="character" w:styleId="18">
    <w:name w:val="annotation reference"/>
    <w:basedOn w:val="14"/>
    <w:semiHidden/>
    <w:unhideWhenUsed/>
    <w:qFormat/>
    <w:uiPriority w:val="99"/>
    <w:rPr>
      <w:sz w:val="21"/>
      <w:szCs w:val="21"/>
    </w:rPr>
  </w:style>
  <w:style w:type="character" w:customStyle="1" w:styleId="19">
    <w:name w:val="纯文本 字符"/>
    <w:link w:val="5"/>
    <w:qFormat/>
    <w:uiPriority w:val="0"/>
    <w:rPr>
      <w:rFonts w:ascii="宋体" w:hAnsi="Courier New" w:eastAsia="宋体"/>
    </w:rPr>
  </w:style>
  <w:style w:type="character" w:customStyle="1" w:styleId="20">
    <w:name w:val="页脚 字符"/>
    <w:link w:val="7"/>
    <w:qFormat/>
    <w:uiPriority w:val="0"/>
    <w:rPr>
      <w:sz w:val="18"/>
    </w:rPr>
  </w:style>
  <w:style w:type="character" w:customStyle="1" w:styleId="21">
    <w:name w:val="标题 字符"/>
    <w:link w:val="9"/>
    <w:qFormat/>
    <w:uiPriority w:val="0"/>
    <w:rPr>
      <w:rFonts w:ascii="Arial" w:hAnsi="Arial" w:eastAsia="宋体" w:cs="Arial"/>
      <w:b/>
      <w:bCs/>
      <w:sz w:val="32"/>
      <w:szCs w:val="32"/>
    </w:rPr>
  </w:style>
  <w:style w:type="character" w:customStyle="1" w:styleId="22">
    <w:name w:val="页脚 Char"/>
    <w:basedOn w:val="14"/>
    <w:semiHidden/>
    <w:qFormat/>
    <w:uiPriority w:val="99"/>
    <w:rPr>
      <w:rFonts w:ascii="Times New Roman" w:hAnsi="Times New Roman" w:eastAsia="宋体" w:cs="Times New Roman"/>
      <w:sz w:val="18"/>
      <w:szCs w:val="18"/>
    </w:rPr>
  </w:style>
  <w:style w:type="character" w:customStyle="1" w:styleId="23">
    <w:name w:val="标题 Char"/>
    <w:basedOn w:val="14"/>
    <w:qFormat/>
    <w:uiPriority w:val="10"/>
    <w:rPr>
      <w:rFonts w:eastAsia="宋体" w:asciiTheme="majorHAnsi" w:hAnsiTheme="majorHAnsi" w:cstheme="majorBidi"/>
      <w:b/>
      <w:bCs/>
      <w:sz w:val="32"/>
      <w:szCs w:val="32"/>
    </w:rPr>
  </w:style>
  <w:style w:type="character" w:customStyle="1" w:styleId="24">
    <w:name w:val="纯文本 Char"/>
    <w:basedOn w:val="14"/>
    <w:semiHidden/>
    <w:qFormat/>
    <w:uiPriority w:val="99"/>
    <w:rPr>
      <w:rFonts w:ascii="宋体" w:hAnsi="Courier New" w:eastAsia="宋体" w:cs="Courier New"/>
      <w:szCs w:val="21"/>
    </w:rPr>
  </w:style>
  <w:style w:type="character" w:customStyle="1" w:styleId="25">
    <w:name w:val="页眉 字符"/>
    <w:basedOn w:val="14"/>
    <w:link w:val="8"/>
    <w:qFormat/>
    <w:uiPriority w:val="99"/>
    <w:rPr>
      <w:rFonts w:ascii="Times New Roman" w:hAnsi="Times New Roman" w:eastAsia="宋体" w:cs="Times New Roman"/>
      <w:sz w:val="18"/>
      <w:szCs w:val="18"/>
    </w:rPr>
  </w:style>
  <w:style w:type="paragraph" w:styleId="26">
    <w:name w:val="List Paragraph"/>
    <w:basedOn w:val="1"/>
    <w:qFormat/>
    <w:uiPriority w:val="34"/>
    <w:pPr>
      <w:ind w:firstLine="420" w:firstLineChars="200"/>
    </w:pPr>
  </w:style>
  <w:style w:type="character" w:customStyle="1" w:styleId="27">
    <w:name w:val="批注框文本 字符"/>
    <w:basedOn w:val="14"/>
    <w:link w:val="6"/>
    <w:semiHidden/>
    <w:qFormat/>
    <w:uiPriority w:val="99"/>
    <w:rPr>
      <w:rFonts w:ascii="Times New Roman" w:hAnsi="Times New Roman" w:eastAsia="宋体" w:cs="Times New Roman"/>
      <w:sz w:val="18"/>
      <w:szCs w:val="18"/>
    </w:rPr>
  </w:style>
  <w:style w:type="paragraph" w:customStyle="1" w:styleId="28">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character" w:customStyle="1" w:styleId="29">
    <w:name w:val="批注文字 字符"/>
    <w:basedOn w:val="14"/>
    <w:link w:val="3"/>
    <w:semiHidden/>
    <w:qFormat/>
    <w:uiPriority w:val="99"/>
    <w:rPr>
      <w:rFonts w:ascii="Times New Roman" w:hAnsi="Times New Roman" w:eastAsia="宋体" w:cs="Times New Roman"/>
      <w:kern w:val="2"/>
      <w:sz w:val="21"/>
    </w:rPr>
  </w:style>
  <w:style w:type="character" w:customStyle="1" w:styleId="30">
    <w:name w:val="批注主题 字符"/>
    <w:basedOn w:val="29"/>
    <w:link w:val="10"/>
    <w:semiHidden/>
    <w:qFormat/>
    <w:uiPriority w:val="99"/>
    <w:rPr>
      <w:rFonts w:ascii="Times New Roman" w:hAnsi="Times New Roman" w:eastAsia="宋体" w:cs="Times New Roman"/>
      <w:b/>
      <w:bCs/>
      <w:kern w:val="2"/>
      <w:sz w:val="21"/>
    </w:rPr>
  </w:style>
  <w:style w:type="paragraph" w:customStyle="1" w:styleId="31">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5325</Words>
  <Characters>5504</Characters>
  <Lines>37</Lines>
  <Paragraphs>10</Paragraphs>
  <TotalTime>1</TotalTime>
  <ScaleCrop>false</ScaleCrop>
  <LinksUpToDate>false</LinksUpToDate>
  <CharactersWithSpaces>5594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张     帆</cp:lastModifiedBy>
  <dcterms:modified xsi:type="dcterms:W3CDTF">2026-05-24T06:02:31Z</dcterms:modified>
  <cp:revision>708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B3303588149146B9B05D4B66DA762D2A_13</vt:lpwstr>
  </property>
  <property fmtid="{D5CDD505-2E9C-101B-9397-08002B2CF9AE}" pid="4" name="KSOTemplateDocerSaveRecord">
    <vt:lpwstr>eyJoZGlkIjoiYWVhNjBmZDQyNmI2MGZkYmY1ZjAyY2ZkOTMxYzBkMDkiLCJ1c2VySWQiOiI2NTIyNzU2NTYifQ==</vt:lpwstr>
  </property>
</Properties>
</file>