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FF20">
      <w:pPr>
        <w:pStyle w:val="7"/>
        <w:adjustRightInd w:val="0"/>
        <w:snapToGrid w:val="0"/>
        <w:spacing w:before="0" w:after="0" w:line="360" w:lineRule="auto"/>
        <w:outlineLvl w:val="9"/>
        <w:rPr>
          <w:rFonts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【凝胶渗透色谱仪】采购需求</w:t>
      </w:r>
      <w:bookmarkEnd w:id="0"/>
    </w:p>
    <w:p w14:paraId="77C2D7A7">
      <w:pPr>
        <w:tabs>
          <w:tab w:val="left" w:pos="900"/>
        </w:tabs>
        <w:adjustRightInd w:val="0"/>
        <w:snapToGrid w:val="0"/>
        <w:spacing w:line="360" w:lineRule="auto"/>
        <w:ind w:firstLine="422" w:firstLineChars="200"/>
        <w:rPr>
          <w:b/>
          <w:szCs w:val="21"/>
        </w:rPr>
      </w:pPr>
      <w:bookmarkStart w:id="1" w:name="_Toc219271393"/>
      <w:bookmarkStart w:id="2" w:name="_Toc172360661"/>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8D81523">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61CBE858">
      <w:pPr>
        <w:adjustRightInd w:val="0"/>
        <w:snapToGrid w:val="0"/>
        <w:spacing w:line="360" w:lineRule="auto"/>
        <w:ind w:firstLine="440" w:firstLineChars="200"/>
        <w:rPr>
          <w:rFonts w:ascii="宋体" w:hAnsi="宋体" w:cs="宋体"/>
          <w:sz w:val="22"/>
          <w:szCs w:val="22"/>
        </w:rPr>
      </w:pPr>
      <w:r>
        <w:rPr>
          <w:rFonts w:hint="eastAsia" w:ascii="宋体" w:hAnsi="宋体" w:cs="宋体"/>
          <w:sz w:val="22"/>
          <w:szCs w:val="22"/>
        </w:rPr>
        <w:t>本项目采购凝胶渗透色谱（GPC/SEC）系统 1 套，主要用于水相体系中蛋白质、多肽、多糖、聚电解质、水溶性高分子等样品的</w:t>
      </w:r>
      <w:r>
        <w:rPr>
          <w:rFonts w:hint="eastAsia" w:ascii="宋体" w:hAnsi="宋体" w:cs="宋体"/>
          <w:sz w:val="22"/>
          <w:szCs w:val="22"/>
          <w:lang w:val="en-US" w:eastAsia="zh-CN"/>
        </w:rPr>
        <w:t>综合检测和分析，可完成</w:t>
      </w:r>
      <w:r>
        <w:rPr>
          <w:rFonts w:hint="eastAsia" w:ascii="宋体" w:hAnsi="宋体" w:cs="宋体"/>
          <w:sz w:val="22"/>
          <w:szCs w:val="22"/>
        </w:rPr>
        <w:t>相对分子量、分子量分布</w:t>
      </w:r>
      <w:r>
        <w:rPr>
          <w:rFonts w:hint="eastAsia" w:ascii="宋体" w:hAnsi="宋体" w:cs="宋体"/>
          <w:sz w:val="22"/>
          <w:szCs w:val="22"/>
          <w:lang w:val="en-US" w:eastAsia="zh-CN"/>
        </w:rPr>
        <w:t>检测，可依托光散射检测方式测定重均分子量和回转半径，综合浓度检测信号换算流体力学半径，评估分子聚集特性，完成高分子链形态与空间结构特征表征分析，</w:t>
      </w:r>
      <w:r>
        <w:rPr>
          <w:rFonts w:hint="eastAsia" w:ascii="宋体" w:hAnsi="宋体" w:cs="宋体"/>
          <w:sz w:val="22"/>
          <w:szCs w:val="22"/>
        </w:rPr>
        <w:t>满足教学科研与公共检测服务需求；系统应兼容水相流动相，具备高稳定性、低检测噪音、宽分子量检测范围，配套相应的色谱柱</w:t>
      </w:r>
      <w:r>
        <w:rPr>
          <w:rFonts w:hint="eastAsia" w:ascii="宋体" w:hAnsi="宋体" w:cs="宋体"/>
          <w:sz w:val="22"/>
          <w:szCs w:val="22"/>
          <w:lang w:eastAsia="zh-CN"/>
        </w:rPr>
        <w:t>、</w:t>
      </w:r>
      <w:r>
        <w:rPr>
          <w:rFonts w:hint="eastAsia" w:ascii="宋体" w:hAnsi="宋体" w:cs="宋体"/>
          <w:sz w:val="22"/>
          <w:szCs w:val="22"/>
          <w:lang w:val="en-US" w:eastAsia="zh-CN"/>
        </w:rPr>
        <w:t>保护柱</w:t>
      </w:r>
      <w:r>
        <w:rPr>
          <w:rFonts w:hint="eastAsia" w:ascii="宋体" w:hAnsi="宋体" w:cs="宋体"/>
          <w:sz w:val="22"/>
          <w:szCs w:val="22"/>
        </w:rPr>
        <w:t>与标准品，可实现多检测器联用检测，支撑高质量科研实验与权威检测报告输出。</w:t>
      </w:r>
    </w:p>
    <w:p w14:paraId="7E45FA3A">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5D9D7DE0">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 xml:space="preserve"> </w:t>
      </w:r>
      <w:r>
        <w:rPr>
          <w:rFonts w:hAnsi="宋体"/>
          <w:szCs w:val="24"/>
          <w:u w:val="single"/>
        </w:rPr>
        <w:t xml:space="preserve">      </w:t>
      </w:r>
      <w:r>
        <w:rPr>
          <w:rFonts w:hint="eastAsia" w:hAnsi="宋体"/>
          <w:szCs w:val="24"/>
          <w:u w:val="single"/>
        </w:rPr>
        <w:t>工业</w:t>
      </w:r>
      <w:r>
        <w:rPr>
          <w:rFonts w:hAnsi="宋体"/>
          <w:szCs w:val="24"/>
          <w:u w:val="single"/>
        </w:rPr>
        <w:t xml:space="preserve">                </w:t>
      </w:r>
      <w:r>
        <w:rPr>
          <w:rFonts w:hint="eastAsia" w:hAnsi="宋体"/>
          <w:szCs w:val="24"/>
        </w:rPr>
        <w:t>。</w:t>
      </w:r>
    </w:p>
    <w:p w14:paraId="34515769">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hAnsi="宋体"/>
          <w:szCs w:val="24"/>
        </w:rPr>
        <w:t>□不允许</w:t>
      </w:r>
      <w:r>
        <w:rPr>
          <w:rFonts w:hAnsi="宋体"/>
          <w:szCs w:val="24"/>
        </w:rPr>
        <w:t xml:space="preserve"> </w:t>
      </w:r>
      <w:r>
        <w:rPr>
          <w:rFonts w:hint="eastAsia" w:hAnsi="宋体"/>
          <w:szCs w:val="24"/>
        </w:rPr>
        <w:t>进口产品参加。（未进行勾选的，视为只接受本国产品参加）</w:t>
      </w:r>
    </w:p>
    <w:p w14:paraId="3A979E91">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5CE80CCC">
      <w:pPr>
        <w:tabs>
          <w:tab w:val="left" w:pos="900"/>
        </w:tabs>
        <w:adjustRightInd w:val="0"/>
        <w:snapToGrid w:val="0"/>
        <w:spacing w:line="360" w:lineRule="auto"/>
        <w:ind w:firstLine="420" w:firstLineChars="200"/>
        <w:rPr>
          <w:szCs w:val="21"/>
        </w:rPr>
      </w:pPr>
      <w:r>
        <w:rPr>
          <w:rFonts w:hint="eastAsia"/>
          <w:szCs w:val="21"/>
        </w:rPr>
        <w:t>1.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3699D30">
      <w:pPr>
        <w:adjustRightInd w:val="0"/>
        <w:snapToGrid w:val="0"/>
        <w:spacing w:line="360" w:lineRule="auto"/>
        <w:ind w:firstLine="440" w:firstLineChars="200"/>
        <w:rPr>
          <w:rFonts w:ascii="宋体" w:hAnsi="宋体" w:cs="宋体"/>
          <w:sz w:val="22"/>
          <w:szCs w:val="22"/>
        </w:rPr>
      </w:pPr>
      <w:r>
        <w:rPr>
          <w:rFonts w:hint="eastAsia" w:ascii="宋体" w:hAnsi="宋体" w:cs="宋体"/>
          <w:sz w:val="22"/>
          <w:szCs w:val="22"/>
        </w:rPr>
        <w:t>2.采购项目的特殊资格要求：</w:t>
      </w:r>
      <w:bookmarkStart w:id="8" w:name="_GoBack"/>
      <w:bookmarkEnd w:id="8"/>
    </w:p>
    <w:p w14:paraId="5A8FCC1C">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599624B6">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凝胶渗透色谱仪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00B5273">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ascii="宋体" w:hAnsi="宋体"/>
          <w:szCs w:val="21"/>
          <w:u w:val="single"/>
        </w:rPr>
        <w:t>1套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D66FB09">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rPr>
        <w:t>130万</w:t>
      </w:r>
      <w:r>
        <w:rPr>
          <w:rFonts w:hAnsi="宋体"/>
          <w:szCs w:val="21"/>
          <w:u w:val="single"/>
        </w:rPr>
        <w:t xml:space="preserve">        </w:t>
      </w:r>
      <w:r>
        <w:rPr>
          <w:rFonts w:hint="eastAsia" w:hAnsi="宋体"/>
          <w:szCs w:val="21"/>
        </w:rPr>
        <w:t>元（大写：</w:t>
      </w:r>
      <w:r>
        <w:rPr>
          <w:rFonts w:hAnsi="宋体"/>
          <w:szCs w:val="21"/>
          <w:u w:val="single"/>
        </w:rPr>
        <w:t xml:space="preserve">       </w:t>
      </w:r>
      <w:r>
        <w:rPr>
          <w:rFonts w:hint="eastAsia" w:hAnsi="宋体"/>
          <w:szCs w:val="21"/>
          <w:u w:val="single"/>
        </w:rPr>
        <w:t>壹佰叁拾万元</w:t>
      </w:r>
      <w:r>
        <w:rPr>
          <w:rFonts w:hAnsi="宋体"/>
          <w:szCs w:val="21"/>
          <w:u w:val="single"/>
        </w:rPr>
        <w:t xml:space="preserve">               </w:t>
      </w:r>
      <w:r>
        <w:rPr>
          <w:rFonts w:hint="eastAsia" w:hAnsi="宋体"/>
          <w:szCs w:val="21"/>
        </w:rPr>
        <w:t>）</w:t>
      </w:r>
    </w:p>
    <w:p w14:paraId="72B992CF">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int="eastAsia" w:hAnsi="宋体"/>
          <w:szCs w:val="21"/>
          <w:u w:val="single"/>
        </w:rPr>
        <w:t>90</w:t>
      </w:r>
      <w:r>
        <w:rPr>
          <w:rFonts w:hAnsi="宋体"/>
          <w:szCs w:val="21"/>
          <w:u w:val="single"/>
        </w:rPr>
        <w:t xml:space="preserve">                                             </w:t>
      </w:r>
      <w:r>
        <w:rPr>
          <w:rFonts w:hAnsi="宋体"/>
          <w:u w:val="single"/>
        </w:rPr>
        <w:t xml:space="preserve">  </w:t>
      </w:r>
      <w:r>
        <w:rPr>
          <w:rFonts w:hint="eastAsia" w:hAnsi="宋体"/>
        </w:rPr>
        <w:t>天内</w:t>
      </w:r>
    </w:p>
    <w:p w14:paraId="544209DB">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rPr>
        <w:t>中国西部科技创新港18号楼辅楼分析测试中心18-2002</w:t>
      </w:r>
      <w:r>
        <w:rPr>
          <w:rFonts w:hAnsi="宋体"/>
          <w:szCs w:val="21"/>
          <w:u w:val="single"/>
        </w:rPr>
        <w:t xml:space="preserve">                                                               </w:t>
      </w:r>
    </w:p>
    <w:p w14:paraId="179C3B80">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cs="宋体" w:asciiTheme="minorEastAsia" w:hAnsiTheme="minorEastAsia"/>
          <w:b/>
          <w:color w:val="000000"/>
          <w:kern w:val="0"/>
          <w:szCs w:val="21"/>
        </w:rPr>
        <w:t>☑</w:t>
      </w:r>
      <w:r>
        <w:rPr>
          <w:rFonts w:hint="eastAsia" w:hAnsi="宋体"/>
          <w:szCs w:val="21"/>
        </w:rPr>
        <w:t xml:space="preserve"> 按</w:t>
      </w:r>
      <w:r>
        <w:rPr>
          <w:rFonts w:hAnsi="宋体"/>
          <w:szCs w:val="21"/>
        </w:rPr>
        <w:t>采购文件</w:t>
      </w:r>
      <w:r>
        <w:rPr>
          <w:rFonts w:hint="eastAsia" w:hAnsi="宋体"/>
          <w:szCs w:val="21"/>
        </w:rPr>
        <w:t>要求。</w:t>
      </w:r>
    </w:p>
    <w:p w14:paraId="5FA361AF">
      <w:pPr>
        <w:tabs>
          <w:tab w:val="left" w:pos="900"/>
        </w:tabs>
        <w:adjustRightInd w:val="0"/>
        <w:snapToGrid w:val="0"/>
        <w:spacing w:line="360" w:lineRule="auto"/>
        <w:ind w:firstLine="402" w:firstLineChars="200"/>
        <w:rPr>
          <w:rFonts w:hAnsi="宋体"/>
          <w:szCs w:val="21"/>
        </w:rPr>
      </w:pP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hint="eastAsia" w:cs="宋体" w:asciiTheme="minorEastAsia" w:hAnsiTheme="minorEastAsia"/>
          <w:b/>
          <w:color w:val="000000"/>
          <w:kern w:val="0"/>
          <w:sz w:val="20"/>
          <w:szCs w:val="21"/>
        </w:rPr>
        <w:t>□</w:t>
      </w:r>
      <w:r>
        <w:rPr>
          <w:rFonts w:hAnsi="宋体"/>
          <w:szCs w:val="21"/>
        </w:rPr>
        <w:t>其他要求</w:t>
      </w:r>
      <w:r>
        <w:rPr>
          <w:rFonts w:hint="eastAsia" w:hAnsi="宋体"/>
          <w:szCs w:val="21"/>
        </w:rPr>
        <w:t>：</w:t>
      </w:r>
      <w:r>
        <w:rPr>
          <w:rFonts w:hAnsi="宋体"/>
          <w:szCs w:val="21"/>
          <w:u w:val="single"/>
        </w:rPr>
        <w:t xml:space="preserve">                                  </w:t>
      </w:r>
      <w:r>
        <w:rPr>
          <w:rFonts w:hAnsi="宋体"/>
          <w:szCs w:val="21"/>
        </w:rPr>
        <w:t xml:space="preserve"> </w:t>
      </w:r>
      <w:r>
        <w:rPr>
          <w:rFonts w:hint="eastAsia" w:hAnsi="宋体"/>
          <w:szCs w:val="21"/>
        </w:rPr>
        <w:t>。</w:t>
      </w:r>
    </w:p>
    <w:p w14:paraId="3C999C16">
      <w:pPr>
        <w:numPr>
          <w:ilvl w:val="0"/>
          <w:numId w:val="1"/>
        </w:numPr>
        <w:tabs>
          <w:tab w:val="left" w:pos="900"/>
        </w:tabs>
        <w:adjustRightInd w:val="0"/>
        <w:snapToGrid w:val="0"/>
        <w:spacing w:line="360" w:lineRule="auto"/>
        <w:ind w:firstLine="422" w:firstLineChars="200"/>
        <w:rPr>
          <w:rFonts w:hAnsi="宋体"/>
          <w:b/>
          <w:szCs w:val="21"/>
        </w:rPr>
      </w:pPr>
      <w:r>
        <w:rPr>
          <w:rFonts w:hint="eastAsia" w:hAnsi="宋体"/>
          <w:b/>
          <w:szCs w:val="21"/>
        </w:rPr>
        <w:t>采购标的需满足的质量、安全、技术规格、物理特性等要求：</w:t>
      </w:r>
    </w:p>
    <w:p w14:paraId="2BAE0A6D">
      <w:pPr>
        <w:tabs>
          <w:tab w:val="left" w:pos="900"/>
        </w:tabs>
        <w:adjustRightInd w:val="0"/>
        <w:snapToGrid w:val="0"/>
        <w:spacing w:line="360" w:lineRule="auto"/>
        <w:ind w:firstLine="422" w:firstLineChars="200"/>
        <w:rPr>
          <w:rFonts w:hAnsi="宋体"/>
          <w:b/>
          <w:szCs w:val="21"/>
        </w:rPr>
      </w:pPr>
      <w:r>
        <w:rPr>
          <w:rFonts w:hint="eastAsia" w:hAnsi="宋体"/>
          <w:b/>
          <w:szCs w:val="21"/>
        </w:rPr>
        <w:t>说明：标注“*”的技术参数为重要技术指标（非实质性要求）。供应商不满足时不会直接导致投标（响应）无效，但将作为负偏离在评审中予以扣分，具体扣分标准详见本项目评分办法。</w:t>
      </w:r>
    </w:p>
    <w:p w14:paraId="48C23714">
      <w:pPr>
        <w:adjustRightInd w:val="0"/>
        <w:snapToGrid w:val="0"/>
        <w:spacing w:line="360" w:lineRule="auto"/>
        <w:ind w:firstLine="420" w:firstLineChars="200"/>
        <w:rPr>
          <w:rFonts w:ascii="宋体" w:hAnsi="宋体" w:cs="宋体"/>
          <w:szCs w:val="21"/>
        </w:rPr>
      </w:pPr>
      <w:r>
        <w:rPr>
          <w:rFonts w:hint="eastAsia" w:ascii="宋体" w:hAnsi="宋体" w:cs="宋体"/>
          <w:szCs w:val="21"/>
        </w:rPr>
        <w:t>（一）工作条件</w:t>
      </w:r>
    </w:p>
    <w:p w14:paraId="7E90EFB2">
      <w:pPr>
        <w:adjustRightInd w:val="0"/>
        <w:snapToGrid w:val="0"/>
        <w:spacing w:line="360" w:lineRule="auto"/>
        <w:ind w:firstLine="420" w:firstLineChars="200"/>
        <w:rPr>
          <w:rFonts w:ascii="宋体" w:hAnsi="宋体" w:cs="宋体"/>
          <w:szCs w:val="21"/>
        </w:rPr>
      </w:pPr>
      <w:r>
        <w:rPr>
          <w:rFonts w:hint="eastAsia" w:ascii="宋体" w:hAnsi="宋体" w:cs="宋体"/>
          <w:szCs w:val="21"/>
        </w:rPr>
        <w:t>电源：AC 220V，50Hz环境温度：4～35℃环境湿度：20%-85%</w:t>
      </w:r>
    </w:p>
    <w:p w14:paraId="195F0CE4">
      <w:pPr>
        <w:adjustRightInd w:val="0"/>
        <w:snapToGrid w:val="0"/>
        <w:spacing w:line="360" w:lineRule="auto"/>
        <w:ind w:firstLine="420" w:firstLineChars="200"/>
        <w:rPr>
          <w:rFonts w:ascii="宋体" w:hAnsi="宋体" w:cs="宋体"/>
          <w:szCs w:val="21"/>
        </w:rPr>
      </w:pPr>
      <w:r>
        <w:rPr>
          <w:rFonts w:hint="eastAsia" w:ascii="宋体" w:hAnsi="宋体" w:cs="宋体"/>
          <w:szCs w:val="21"/>
        </w:rPr>
        <w:t>（二）核心系统单元技术要求</w:t>
      </w:r>
    </w:p>
    <w:p w14:paraId="38D6FF85">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色谱主机部分：</w:t>
      </w:r>
    </w:p>
    <w:p w14:paraId="2C975508">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1.输液泵单元：</w:t>
      </w:r>
    </w:p>
    <w:p w14:paraId="7F3DA875">
      <w:pPr>
        <w:adjustRightInd w:val="0"/>
        <w:snapToGrid w:val="0"/>
        <w:spacing w:line="360" w:lineRule="auto"/>
        <w:ind w:firstLine="420" w:firstLineChars="200"/>
        <w:rPr>
          <w:rFonts w:ascii="宋体" w:hAnsi="宋体" w:cs="宋体"/>
          <w:szCs w:val="21"/>
        </w:rPr>
      </w:pPr>
      <w:r>
        <w:rPr>
          <w:rFonts w:hint="eastAsia" w:ascii="宋体" w:hAnsi="宋体" w:cs="宋体"/>
          <w:szCs w:val="21"/>
        </w:rPr>
        <w:t>1.1双柱塞串联往复泵或双柱塞并联往复泵</w:t>
      </w:r>
    </w:p>
    <w:p w14:paraId="0C76C7DA">
      <w:pPr>
        <w:adjustRightInd w:val="0"/>
        <w:snapToGrid w:val="0"/>
        <w:spacing w:line="360" w:lineRule="auto"/>
        <w:ind w:firstLine="420" w:firstLineChars="200"/>
        <w:rPr>
          <w:rFonts w:ascii="宋体" w:hAnsi="宋体" w:cs="宋体"/>
          <w:szCs w:val="21"/>
        </w:rPr>
      </w:pPr>
      <w:r>
        <w:rPr>
          <w:rFonts w:hint="eastAsia" w:ascii="宋体" w:hAnsi="宋体" w:cs="宋体"/>
          <w:szCs w:val="21"/>
        </w:rPr>
        <w:t>1.2流量范围：0.001mL/min～10.000 mL/min，增量≤0.001mL/min。</w:t>
      </w:r>
    </w:p>
    <w:p w14:paraId="60BBEEF8">
      <w:pPr>
        <w:adjustRightInd w:val="0"/>
        <w:snapToGrid w:val="0"/>
        <w:spacing w:line="360" w:lineRule="auto"/>
        <w:ind w:firstLine="420" w:firstLineChars="200"/>
        <w:rPr>
          <w:rFonts w:ascii="宋体" w:hAnsi="宋体" w:cs="宋体"/>
          <w:szCs w:val="21"/>
        </w:rPr>
      </w:pPr>
      <w:r>
        <w:rPr>
          <w:rFonts w:hint="eastAsia" w:ascii="宋体" w:hAnsi="宋体" w:cs="宋体"/>
          <w:szCs w:val="21"/>
        </w:rPr>
        <w:t>*1.3流量精度：≤0.1% RSD，流量准确度：</w:t>
      </w:r>
      <w:r>
        <w:rPr>
          <w:rFonts w:hint="eastAsia" w:ascii="宋体" w:hAnsi="宋体" w:cs="宋体"/>
          <w:bCs/>
          <w:szCs w:val="21"/>
        </w:rPr>
        <w:t>±1%以内。</w:t>
      </w:r>
    </w:p>
    <w:p w14:paraId="05DDDCE0">
      <w:pPr>
        <w:adjustRightInd w:val="0"/>
        <w:snapToGrid w:val="0"/>
        <w:spacing w:line="360" w:lineRule="auto"/>
        <w:ind w:firstLine="420" w:firstLineChars="200"/>
        <w:rPr>
          <w:rFonts w:ascii="宋体" w:hAnsi="宋体" w:cs="宋体"/>
          <w:szCs w:val="21"/>
        </w:rPr>
      </w:pPr>
      <w:r>
        <w:rPr>
          <w:rFonts w:ascii="宋体" w:hAnsi="宋体" w:cs="宋体"/>
          <w:szCs w:val="21"/>
        </w:rPr>
        <w:t>*</w:t>
      </w:r>
      <w:r>
        <w:rPr>
          <w:rFonts w:hint="eastAsia" w:ascii="宋体" w:hAnsi="宋体" w:cs="宋体"/>
          <w:szCs w:val="21"/>
        </w:rPr>
        <w:t>1.4最大耐压：≥30MPa或≥300bar或≥4350psi</w:t>
      </w:r>
    </w:p>
    <w:p w14:paraId="25771DA2">
      <w:pPr>
        <w:adjustRightInd w:val="0"/>
        <w:snapToGrid w:val="0"/>
        <w:spacing w:line="360" w:lineRule="auto"/>
        <w:ind w:firstLine="420" w:firstLineChars="200"/>
        <w:rPr>
          <w:rFonts w:ascii="宋体" w:hAnsi="宋体" w:cs="宋体"/>
          <w:szCs w:val="21"/>
        </w:rPr>
      </w:pPr>
      <w:r>
        <w:rPr>
          <w:rFonts w:hint="eastAsia" w:ascii="宋体" w:hAnsi="宋体" w:cs="宋体"/>
          <w:szCs w:val="21"/>
        </w:rPr>
        <w:t>1.5梯度混合：四元低压混合</w:t>
      </w:r>
      <w:r>
        <w:rPr>
          <w:rFonts w:hint="eastAsia" w:ascii="宋体" w:hAnsi="宋体" w:cs="宋体"/>
          <w:szCs w:val="21"/>
          <w:lang w:eastAsia="zh-CN"/>
        </w:rPr>
        <w:t>，具备溶剂压缩性补偿功能</w:t>
      </w:r>
      <w:r>
        <w:rPr>
          <w:rFonts w:hint="eastAsia" w:ascii="宋体" w:hAnsi="宋体" w:cs="宋体"/>
          <w:szCs w:val="21"/>
        </w:rPr>
        <w:t>。</w:t>
      </w:r>
    </w:p>
    <w:p w14:paraId="2794F57B">
      <w:pPr>
        <w:adjustRightInd w:val="0"/>
        <w:snapToGrid w:val="0"/>
        <w:spacing w:line="360" w:lineRule="auto"/>
        <w:ind w:firstLine="420" w:firstLineChars="200"/>
        <w:rPr>
          <w:rFonts w:ascii="宋体" w:hAnsi="宋体" w:cs="宋体"/>
          <w:szCs w:val="21"/>
        </w:rPr>
      </w:pPr>
      <w:r>
        <w:rPr>
          <w:rFonts w:hint="eastAsia" w:ascii="宋体" w:hAnsi="宋体" w:cs="宋体"/>
          <w:szCs w:val="21"/>
        </w:rPr>
        <w:t>1.6具备自动柱塞清洗和防盐析功能。</w:t>
      </w:r>
    </w:p>
    <w:p w14:paraId="6DE3AB76">
      <w:pPr>
        <w:numPr>
          <w:ilvl w:val="0"/>
          <w:numId w:val="2"/>
        </w:num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在线脱气机单元≥2套。</w:t>
      </w:r>
    </w:p>
    <w:p w14:paraId="6C425CC3">
      <w:pPr>
        <w:adjustRightInd w:val="0"/>
        <w:snapToGrid w:val="0"/>
        <w:spacing w:line="360" w:lineRule="auto"/>
        <w:rPr>
          <w:rFonts w:ascii="宋体" w:hAnsi="宋体" w:cs="宋体"/>
          <w:szCs w:val="21"/>
          <w:highlight w:val="none"/>
        </w:rPr>
      </w:pPr>
      <w:r>
        <w:rPr>
          <w:rFonts w:hint="eastAsia" w:ascii="宋体" w:hAnsi="宋体" w:cs="宋体"/>
          <w:szCs w:val="21"/>
        </w:rPr>
        <w:t xml:space="preserve">    *2.1脱气机类型：一套</w:t>
      </w:r>
      <w:r>
        <w:rPr>
          <w:rFonts w:hint="eastAsia" w:ascii="宋体" w:hAnsi="宋体" w:cs="宋体"/>
          <w:szCs w:val="21"/>
          <w:lang w:val="en-US" w:eastAsia="zh-CN"/>
        </w:rPr>
        <w:t>为</w:t>
      </w:r>
      <w:r>
        <w:rPr>
          <w:rFonts w:hint="eastAsia" w:ascii="宋体" w:hAnsi="宋体" w:cs="宋体"/>
          <w:szCs w:val="21"/>
        </w:rPr>
        <w:t>常规型脱气机，兼容水、甲醇、乙腈、缓冲盐及常规酸碱流动相（</w:t>
      </w:r>
      <w:r>
        <w:rPr>
          <w:rFonts w:hint="eastAsia" w:ascii="宋体" w:hAnsi="宋体" w:cs="宋体"/>
          <w:szCs w:val="21"/>
          <w:highlight w:val="none"/>
          <w:lang w:val="en-US" w:eastAsia="zh-CN"/>
        </w:rPr>
        <w:t>脱气膜材质为PTFE，流动相液体接触材料(含管路、接头、阀座、墙体内衬)：PTFE、FEP、PEEK）</w:t>
      </w:r>
      <w:r>
        <w:rPr>
          <w:rFonts w:hint="eastAsia" w:ascii="宋体" w:hAnsi="宋体" w:cs="宋体"/>
          <w:szCs w:val="21"/>
          <w:highlight w:val="none"/>
        </w:rPr>
        <w:t>）；一套</w:t>
      </w:r>
      <w:r>
        <w:rPr>
          <w:rFonts w:hint="eastAsia" w:ascii="宋体" w:hAnsi="宋体" w:cs="宋体"/>
          <w:szCs w:val="21"/>
          <w:highlight w:val="none"/>
          <w:lang w:val="en-US" w:eastAsia="zh-CN"/>
        </w:rPr>
        <w:t>为</w:t>
      </w:r>
      <w:r>
        <w:rPr>
          <w:rFonts w:hint="eastAsia" w:ascii="宋体" w:hAnsi="宋体" w:cs="宋体"/>
          <w:szCs w:val="21"/>
          <w:highlight w:val="none"/>
        </w:rPr>
        <w:t>HFIP专用脱气机（脱气膜为Teflon AF或同</w:t>
      </w:r>
      <w:r>
        <w:rPr>
          <w:rFonts w:hint="eastAsia" w:ascii="宋体" w:hAnsi="宋体" w:cs="宋体"/>
          <w:szCs w:val="21"/>
          <w:highlight w:val="none"/>
          <w:lang w:val="en-US" w:eastAsia="zh-CN"/>
        </w:rPr>
        <w:t>级</w:t>
      </w:r>
      <w:r>
        <w:rPr>
          <w:rFonts w:hint="eastAsia" w:ascii="宋体" w:hAnsi="宋体" w:cs="宋体"/>
          <w:szCs w:val="21"/>
          <w:highlight w:val="none"/>
        </w:rPr>
        <w:t>氟化高分子专用膜</w:t>
      </w:r>
      <w:r>
        <w:rPr>
          <w:rFonts w:hint="eastAsia" w:ascii="宋体" w:hAnsi="宋体" w:cs="宋体"/>
          <w:szCs w:val="21"/>
          <w:highlight w:val="none"/>
          <w:lang w:eastAsia="zh-CN"/>
        </w:rPr>
        <w:t>，</w:t>
      </w:r>
      <w:r>
        <w:rPr>
          <w:rFonts w:hint="eastAsia" w:ascii="宋体" w:hAnsi="宋体" w:cs="宋体"/>
          <w:szCs w:val="21"/>
          <w:highlight w:val="none"/>
          <w:lang w:val="en-US" w:eastAsia="zh-CN"/>
        </w:rPr>
        <w:t>液体接触材料：耐HFIP腐蚀材料，等效或优于PEEK+全氟膜组合</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rPr>
        <w:t>具备独立真空系统</w:t>
      </w:r>
      <w:r>
        <w:rPr>
          <w:rFonts w:hint="eastAsia" w:ascii="宋体" w:hAnsi="宋体" w:cs="宋体"/>
          <w:szCs w:val="21"/>
          <w:highlight w:val="none"/>
          <w:lang w:eastAsia="zh-CN"/>
        </w:rPr>
        <w:t>，</w:t>
      </w:r>
      <w:r>
        <w:rPr>
          <w:rFonts w:hint="eastAsia" w:ascii="宋体" w:hAnsi="宋体" w:cs="宋体"/>
          <w:szCs w:val="21"/>
          <w:highlight w:val="none"/>
          <w:lang w:val="en-US" w:eastAsia="zh-CN"/>
        </w:rPr>
        <w:t>工作真空度-55~-70kPa，真空波动优于±2kPa</w:t>
      </w:r>
      <w:r>
        <w:rPr>
          <w:rFonts w:hint="eastAsia" w:ascii="宋体" w:hAnsi="宋体" w:cs="宋体"/>
          <w:szCs w:val="21"/>
          <w:highlight w:val="none"/>
        </w:rPr>
        <w:t>，</w:t>
      </w:r>
      <w:r>
        <w:rPr>
          <w:rFonts w:hint="eastAsia" w:ascii="宋体" w:hAnsi="宋体" w:cs="宋体"/>
          <w:szCs w:val="21"/>
          <w:highlight w:val="none"/>
          <w:lang w:val="en-US" w:eastAsia="zh-CN"/>
        </w:rPr>
        <w:t>脱气效率≥95%，基线噪音≤0.5nRIU</w:t>
      </w:r>
      <w:r>
        <w:rPr>
          <w:rFonts w:hint="eastAsia" w:ascii="宋体" w:hAnsi="宋体" w:cs="宋体"/>
          <w:szCs w:val="21"/>
          <w:highlight w:val="none"/>
        </w:rPr>
        <w:t>）。</w:t>
      </w:r>
    </w:p>
    <w:p w14:paraId="22F517F7">
      <w:pPr>
        <w:adjustRightInd w:val="0"/>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 xml:space="preserve">2.2通道数：≥3 </w:t>
      </w:r>
      <w:r>
        <w:rPr>
          <w:rFonts w:hint="eastAsia" w:ascii="宋体" w:hAnsi="宋体" w:cs="宋体"/>
          <w:szCs w:val="21"/>
          <w:highlight w:val="none"/>
          <w:lang w:val="en-US" w:eastAsia="zh-CN"/>
        </w:rPr>
        <w:t>通道</w:t>
      </w:r>
    </w:p>
    <w:p w14:paraId="7A4CF77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2.3通道满足样品 pH要求：常规型为 1-14 ，HFIP专用为</w:t>
      </w:r>
      <w:r>
        <w:rPr>
          <w:rFonts w:hint="eastAsia" w:ascii="宋体" w:hAnsi="宋体" w:cs="宋体"/>
          <w:szCs w:val="21"/>
          <w:highlight w:val="none"/>
          <w:lang w:val="en-US" w:eastAsia="zh-CN"/>
        </w:rPr>
        <w:t>0</w:t>
      </w:r>
      <w:r>
        <w:rPr>
          <w:rFonts w:hint="eastAsia" w:ascii="宋体" w:hAnsi="宋体" w:cs="宋体"/>
          <w:szCs w:val="21"/>
          <w:highlight w:val="none"/>
        </w:rPr>
        <w:t>-</w:t>
      </w:r>
      <w:r>
        <w:rPr>
          <w:rFonts w:hint="eastAsia" w:ascii="宋体" w:hAnsi="宋体" w:cs="宋体"/>
          <w:szCs w:val="21"/>
          <w:highlight w:val="none"/>
          <w:lang w:val="en-US" w:eastAsia="zh-CN"/>
        </w:rPr>
        <w:t>14</w:t>
      </w:r>
      <w:r>
        <w:rPr>
          <w:rFonts w:hint="eastAsia" w:ascii="宋体" w:hAnsi="宋体" w:cs="宋体"/>
          <w:szCs w:val="21"/>
          <w:highlight w:val="none"/>
        </w:rPr>
        <w:t>。</w:t>
      </w:r>
    </w:p>
    <w:p w14:paraId="0DFECD1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2.4流动相单通道最大流量：常规型：≥5</w:t>
      </w:r>
      <w:r>
        <w:rPr>
          <w:rFonts w:ascii="宋体" w:hAnsi="宋体" w:cs="宋体"/>
          <w:szCs w:val="21"/>
          <w:highlight w:val="none"/>
        </w:rPr>
        <w:t xml:space="preserve"> </w:t>
      </w:r>
      <w:r>
        <w:rPr>
          <w:rFonts w:hint="eastAsia" w:ascii="宋体" w:hAnsi="宋体" w:cs="宋体"/>
          <w:szCs w:val="21"/>
          <w:highlight w:val="none"/>
        </w:rPr>
        <w:t>mL/min，HFIP专用：≥5</w:t>
      </w:r>
      <w:r>
        <w:rPr>
          <w:rFonts w:ascii="宋体" w:hAnsi="宋体" w:cs="宋体"/>
          <w:szCs w:val="21"/>
          <w:highlight w:val="none"/>
        </w:rPr>
        <w:t xml:space="preserve"> </w:t>
      </w:r>
      <w:r>
        <w:rPr>
          <w:rFonts w:hint="eastAsia" w:ascii="宋体" w:hAnsi="宋体" w:cs="宋体"/>
          <w:szCs w:val="21"/>
          <w:highlight w:val="none"/>
        </w:rPr>
        <w:t>mL/min。</w:t>
      </w:r>
    </w:p>
    <w:p w14:paraId="68C3DEC0">
      <w:pPr>
        <w:numPr>
          <w:ilvl w:val="0"/>
          <w:numId w:val="2"/>
        </w:num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自动进样器单元</w:t>
      </w:r>
    </w:p>
    <w:p w14:paraId="6BB2F0D7">
      <w:pPr>
        <w:adjustRightInd w:val="0"/>
        <w:snapToGrid w:val="0"/>
        <w:spacing w:line="360" w:lineRule="auto"/>
        <w:ind w:left="420" w:leftChars="200"/>
        <w:rPr>
          <w:rFonts w:ascii="宋体" w:hAnsi="宋体" w:cs="宋体"/>
          <w:szCs w:val="21"/>
          <w:highlight w:val="none"/>
        </w:rPr>
      </w:pPr>
      <w:r>
        <w:rPr>
          <w:rFonts w:hint="eastAsia" w:ascii="宋体" w:hAnsi="宋体" w:cs="宋体"/>
          <w:szCs w:val="21"/>
          <w:highlight w:val="none"/>
        </w:rPr>
        <w:t>3.1进样范围：0.1-100μL，可扩展至1000μL以上，并提供相应规格的定量环及扩展进样组件。</w:t>
      </w:r>
    </w:p>
    <w:p w14:paraId="7CCAC9CB">
      <w:pPr>
        <w:adjustRightInd w:val="0"/>
        <w:snapToGrid w:val="0"/>
        <w:spacing w:line="360" w:lineRule="auto"/>
        <w:ind w:left="420" w:leftChars="200"/>
        <w:rPr>
          <w:rFonts w:ascii="宋体" w:hAnsi="宋体" w:cs="宋体"/>
          <w:szCs w:val="21"/>
          <w:highlight w:val="none"/>
        </w:rPr>
      </w:pPr>
      <w:r>
        <w:rPr>
          <w:rFonts w:hint="eastAsia" w:ascii="宋体" w:hAnsi="宋体" w:cs="宋体"/>
          <w:szCs w:val="21"/>
          <w:highlight w:val="none"/>
        </w:rPr>
        <w:t>3.2样品容量：≥120 位（2mL 样品瓶）</w:t>
      </w:r>
    </w:p>
    <w:p w14:paraId="0FEB5C63">
      <w:pPr>
        <w:adjustRightInd w:val="0"/>
        <w:snapToGrid w:val="0"/>
        <w:spacing w:line="360" w:lineRule="auto"/>
        <w:ind w:left="420" w:leftChars="200"/>
        <w:rPr>
          <w:rFonts w:ascii="宋体" w:hAnsi="宋体" w:cs="宋体"/>
          <w:szCs w:val="21"/>
          <w:highlight w:val="none"/>
        </w:rPr>
      </w:pPr>
      <w:r>
        <w:rPr>
          <w:rFonts w:hint="eastAsia" w:ascii="宋体" w:hAnsi="宋体" w:cs="宋体"/>
          <w:szCs w:val="21"/>
          <w:highlight w:val="none"/>
        </w:rPr>
        <w:t>3.3交叉残留：≤0.004%</w:t>
      </w:r>
    </w:p>
    <w:p w14:paraId="30628A31">
      <w:pPr>
        <w:adjustRightInd w:val="0"/>
        <w:snapToGrid w:val="0"/>
        <w:spacing w:line="360" w:lineRule="auto"/>
        <w:ind w:left="420" w:leftChars="200"/>
        <w:rPr>
          <w:rFonts w:ascii="宋体" w:hAnsi="宋体" w:cs="宋体"/>
          <w:szCs w:val="21"/>
          <w:highlight w:val="none"/>
        </w:rPr>
      </w:pPr>
      <w:r>
        <w:rPr>
          <w:rFonts w:hint="eastAsia" w:ascii="宋体" w:hAnsi="宋体" w:cs="宋体"/>
          <w:szCs w:val="21"/>
          <w:highlight w:val="none"/>
        </w:rPr>
        <w:t>3.4样品温控:具备独立温控，范围优于1</w:t>
      </w:r>
      <w:r>
        <w:rPr>
          <w:rFonts w:ascii="宋体" w:hAnsi="宋体" w:cs="宋体"/>
          <w:szCs w:val="21"/>
          <w:highlight w:val="none"/>
        </w:rPr>
        <w:t>0</w:t>
      </w:r>
      <w:r>
        <w:rPr>
          <w:rFonts w:hint="eastAsia" w:ascii="宋体" w:hAnsi="宋体" w:cs="宋体"/>
          <w:szCs w:val="21"/>
          <w:highlight w:val="none"/>
        </w:rPr>
        <w:t>℃-40℃。</w:t>
      </w:r>
    </w:p>
    <w:p w14:paraId="6468FAAB">
      <w:pPr>
        <w:numPr>
          <w:ilvl w:val="0"/>
          <w:numId w:val="2"/>
        </w:num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柱温箱单元</w:t>
      </w:r>
    </w:p>
    <w:p w14:paraId="6848DFAE">
      <w:pPr>
        <w:adjustRightInd w:val="0"/>
        <w:snapToGrid w:val="0"/>
        <w:spacing w:line="360" w:lineRule="auto"/>
        <w:ind w:left="420" w:leftChars="200"/>
        <w:rPr>
          <w:rFonts w:ascii="宋体" w:hAnsi="宋体" w:cs="宋体"/>
          <w:szCs w:val="21"/>
        </w:rPr>
      </w:pPr>
      <w:r>
        <w:rPr>
          <w:rFonts w:hint="eastAsia" w:ascii="宋体" w:hAnsi="宋体" w:cs="宋体"/>
          <w:szCs w:val="21"/>
        </w:rPr>
        <w:t>4.1温控范围：优于10℃-65℃。</w:t>
      </w:r>
    </w:p>
    <w:p w14:paraId="7DA362F8">
      <w:pPr>
        <w:adjustRightInd w:val="0"/>
        <w:snapToGrid w:val="0"/>
        <w:spacing w:line="360" w:lineRule="auto"/>
        <w:ind w:left="420" w:leftChars="200"/>
        <w:rPr>
          <w:rFonts w:ascii="宋体" w:hAnsi="宋体" w:cs="宋体"/>
          <w:szCs w:val="21"/>
        </w:rPr>
      </w:pPr>
      <w:r>
        <w:rPr>
          <w:rFonts w:ascii="宋体" w:hAnsi="宋体" w:cs="宋体"/>
          <w:szCs w:val="21"/>
        </w:rPr>
        <w:t>*</w:t>
      </w:r>
      <w:r>
        <w:rPr>
          <w:rFonts w:hint="eastAsia" w:ascii="宋体" w:hAnsi="宋体" w:cs="宋体"/>
          <w:szCs w:val="21"/>
        </w:rPr>
        <w:t>4.2温控精度：优于±0.1℃。</w:t>
      </w:r>
    </w:p>
    <w:p w14:paraId="5EFAA3F4">
      <w:pPr>
        <w:adjustRightInd w:val="0"/>
        <w:snapToGrid w:val="0"/>
        <w:spacing w:line="360" w:lineRule="auto"/>
        <w:ind w:left="420" w:leftChars="200"/>
        <w:rPr>
          <w:rFonts w:ascii="宋体" w:hAnsi="宋体" w:cs="宋体"/>
          <w:szCs w:val="21"/>
        </w:rPr>
      </w:pPr>
      <w:r>
        <w:rPr>
          <w:rFonts w:hint="eastAsia" w:ascii="宋体" w:hAnsi="宋体" w:cs="宋体"/>
          <w:szCs w:val="21"/>
        </w:rPr>
        <w:t>*4.</w:t>
      </w:r>
      <w:r>
        <w:rPr>
          <w:rFonts w:ascii="宋体" w:hAnsi="宋体" w:cs="宋体"/>
          <w:szCs w:val="21"/>
        </w:rPr>
        <w:t>3</w:t>
      </w:r>
      <w:r>
        <w:rPr>
          <w:rFonts w:hint="eastAsia" w:ascii="宋体" w:hAnsi="宋体" w:cs="宋体"/>
          <w:szCs w:val="21"/>
        </w:rPr>
        <w:t>色谱柱容量：可同时容纳≥2 套 300mm 色谱柱+保护柱</w:t>
      </w:r>
    </w:p>
    <w:p w14:paraId="04F851B9">
      <w:pPr>
        <w:adjustRightInd w:val="0"/>
        <w:snapToGrid w:val="0"/>
        <w:spacing w:line="360" w:lineRule="auto"/>
        <w:ind w:left="420" w:leftChars="200"/>
        <w:rPr>
          <w:rFonts w:hint="eastAsia" w:ascii="宋体" w:hAnsi="宋体" w:cs="宋体"/>
          <w:b/>
          <w:szCs w:val="21"/>
        </w:rPr>
      </w:pPr>
      <w:r>
        <w:rPr>
          <w:rFonts w:hint="eastAsia" w:ascii="宋体" w:hAnsi="宋体" w:cs="宋体"/>
          <w:b/>
          <w:szCs w:val="21"/>
        </w:rPr>
        <w:t>检测系统：</w:t>
      </w:r>
    </w:p>
    <w:p w14:paraId="7A29A266">
      <w:pPr>
        <w:adjustRightInd w:val="0"/>
        <w:snapToGrid w:val="0"/>
        <w:spacing w:line="360" w:lineRule="auto"/>
        <w:ind w:left="420" w:leftChars="200"/>
        <w:rPr>
          <w:rFonts w:ascii="宋体" w:hAnsi="宋体" w:cs="宋体"/>
          <w:b/>
          <w:bCs/>
          <w:szCs w:val="21"/>
        </w:rPr>
      </w:pPr>
      <w:r>
        <w:rPr>
          <w:rFonts w:hint="eastAsia" w:ascii="宋体" w:hAnsi="宋体" w:cs="宋体"/>
          <w:b/>
          <w:bCs/>
          <w:szCs w:val="21"/>
        </w:rPr>
        <w:t>5.1示差折光检测器（RI）</w:t>
      </w:r>
    </w:p>
    <w:p w14:paraId="560F33B0">
      <w:pPr>
        <w:adjustRightInd w:val="0"/>
        <w:snapToGrid w:val="0"/>
        <w:spacing w:line="360" w:lineRule="auto"/>
        <w:ind w:left="420" w:leftChars="200"/>
        <w:rPr>
          <w:rFonts w:ascii="宋体" w:hAnsi="宋体" w:cs="宋体"/>
          <w:szCs w:val="21"/>
        </w:rPr>
      </w:pPr>
      <w:r>
        <w:rPr>
          <w:rFonts w:hint="eastAsia" w:ascii="宋体" w:hAnsi="宋体" w:cs="宋体"/>
          <w:szCs w:val="21"/>
        </w:rPr>
        <w:t>5.1.1折射率范围 1.00 - 1.75 RIU</w:t>
      </w:r>
    </w:p>
    <w:p w14:paraId="65E54881">
      <w:pPr>
        <w:adjustRightInd w:val="0"/>
        <w:snapToGrid w:val="0"/>
        <w:spacing w:line="360" w:lineRule="auto"/>
        <w:ind w:left="420" w:leftChars="200"/>
        <w:rPr>
          <w:rFonts w:ascii="宋体" w:hAnsi="宋体" w:cs="宋体"/>
          <w:szCs w:val="21"/>
        </w:rPr>
      </w:pPr>
      <w:r>
        <w:rPr>
          <w:rFonts w:hint="eastAsia" w:ascii="宋体" w:hAnsi="宋体" w:cs="宋体"/>
          <w:szCs w:val="21"/>
        </w:rPr>
        <w:t>5.1.2噪音：优于±2.5×10</w:t>
      </w:r>
      <w:r>
        <w:rPr>
          <w:rFonts w:hint="eastAsia" w:ascii="宋体" w:hAnsi="宋体" w:cs="宋体"/>
          <w:szCs w:val="21"/>
          <w:vertAlign w:val="superscript"/>
        </w:rPr>
        <w:t>-9</w:t>
      </w:r>
      <w:r>
        <w:rPr>
          <w:rFonts w:hint="eastAsia" w:ascii="宋体" w:hAnsi="宋体" w:cs="宋体"/>
          <w:szCs w:val="21"/>
        </w:rPr>
        <w:t xml:space="preserve"> RIU</w:t>
      </w:r>
    </w:p>
    <w:p w14:paraId="10F760D1">
      <w:pPr>
        <w:adjustRightInd w:val="0"/>
        <w:snapToGrid w:val="0"/>
        <w:spacing w:line="360" w:lineRule="auto"/>
        <w:ind w:left="420" w:leftChars="200"/>
        <w:rPr>
          <w:rFonts w:ascii="宋体" w:hAnsi="宋体" w:cs="宋体"/>
          <w:szCs w:val="21"/>
        </w:rPr>
      </w:pPr>
      <w:r>
        <w:rPr>
          <w:rFonts w:hint="eastAsia" w:ascii="宋体" w:hAnsi="宋体" w:cs="宋体"/>
          <w:szCs w:val="21"/>
        </w:rPr>
        <w:t>5.1.3漂移：优于±2.0×10</w:t>
      </w:r>
      <w:r>
        <w:rPr>
          <w:rFonts w:hint="eastAsia" w:ascii="宋体" w:hAnsi="宋体" w:cs="宋体"/>
          <w:szCs w:val="21"/>
          <w:vertAlign w:val="superscript"/>
        </w:rPr>
        <w:t xml:space="preserve">-7 </w:t>
      </w:r>
      <w:r>
        <w:rPr>
          <w:rFonts w:hint="eastAsia" w:ascii="宋体" w:hAnsi="宋体" w:cs="宋体"/>
          <w:szCs w:val="21"/>
        </w:rPr>
        <w:t>RIU/h</w:t>
      </w:r>
    </w:p>
    <w:p w14:paraId="546F95B9">
      <w:pPr>
        <w:adjustRightInd w:val="0"/>
        <w:snapToGrid w:val="0"/>
        <w:spacing w:line="360" w:lineRule="auto"/>
        <w:ind w:left="420" w:leftChars="200"/>
        <w:rPr>
          <w:rFonts w:ascii="宋体" w:hAnsi="宋体" w:cs="宋体"/>
          <w:szCs w:val="21"/>
        </w:rPr>
      </w:pPr>
      <w:r>
        <w:rPr>
          <w:rFonts w:hint="eastAsia" w:ascii="宋体" w:hAnsi="宋体" w:cs="宋体"/>
          <w:szCs w:val="21"/>
        </w:rPr>
        <w:t>5.1.4池耐压：≥5 bar</w:t>
      </w:r>
    </w:p>
    <w:p w14:paraId="1C6DE48C">
      <w:pPr>
        <w:adjustRightInd w:val="0"/>
        <w:snapToGrid w:val="0"/>
        <w:spacing w:line="360" w:lineRule="auto"/>
        <w:ind w:left="420" w:leftChars="200"/>
        <w:rPr>
          <w:rFonts w:ascii="宋体" w:hAnsi="宋体" w:cs="宋体"/>
          <w:szCs w:val="21"/>
        </w:rPr>
      </w:pPr>
      <w:r>
        <w:rPr>
          <w:rFonts w:hint="eastAsia" w:ascii="宋体" w:hAnsi="宋体" w:cs="宋体"/>
          <w:szCs w:val="21"/>
        </w:rPr>
        <w:t>*5.1.5控温范围：优于30-55℃，稳定性：优于±0.5℃。</w:t>
      </w:r>
    </w:p>
    <w:p w14:paraId="2FB232FF">
      <w:pPr>
        <w:adjustRightInd w:val="0"/>
        <w:snapToGrid w:val="0"/>
        <w:spacing w:line="360" w:lineRule="auto"/>
        <w:ind w:left="420" w:leftChars="200"/>
        <w:rPr>
          <w:rFonts w:ascii="宋体" w:hAnsi="宋体" w:cs="宋体"/>
          <w:szCs w:val="21"/>
        </w:rPr>
      </w:pPr>
      <w:r>
        <w:rPr>
          <w:rFonts w:hint="eastAsia" w:ascii="宋体" w:hAnsi="宋体" w:cs="宋体"/>
          <w:szCs w:val="21"/>
        </w:rPr>
        <w:t>5.1.6数据采集速率：≥70Hz</w:t>
      </w:r>
    </w:p>
    <w:p w14:paraId="3BC33756">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5.2紫外或二极管阵列检测器（UV/DAD）</w:t>
      </w:r>
    </w:p>
    <w:p w14:paraId="6CB1A575">
      <w:pPr>
        <w:adjustRightInd w:val="0"/>
        <w:snapToGrid w:val="0"/>
        <w:spacing w:line="360" w:lineRule="auto"/>
        <w:ind w:firstLine="420" w:firstLineChars="200"/>
        <w:rPr>
          <w:rFonts w:ascii="宋体" w:hAnsi="宋体" w:cs="宋体"/>
          <w:szCs w:val="21"/>
        </w:rPr>
      </w:pPr>
      <w:r>
        <w:rPr>
          <w:rFonts w:hint="eastAsia" w:ascii="宋体" w:hAnsi="宋体" w:cs="宋体"/>
          <w:szCs w:val="21"/>
        </w:rPr>
        <w:t>5.2.1波长范围：优于 190 - 700nm</w:t>
      </w:r>
    </w:p>
    <w:p w14:paraId="303DD37F">
      <w:pPr>
        <w:adjustRightInd w:val="0"/>
        <w:snapToGrid w:val="0"/>
        <w:spacing w:line="360" w:lineRule="auto"/>
        <w:ind w:firstLine="420" w:firstLineChars="200"/>
        <w:rPr>
          <w:rFonts w:ascii="宋体" w:hAnsi="宋体" w:cs="宋体"/>
          <w:szCs w:val="21"/>
        </w:rPr>
      </w:pPr>
      <w:r>
        <w:rPr>
          <w:rFonts w:hint="eastAsia" w:ascii="宋体" w:hAnsi="宋体" w:cs="宋体"/>
          <w:szCs w:val="21"/>
        </w:rPr>
        <w:t>*5.2.2基线噪音：优于±0.8×10</w:t>
      </w:r>
      <w:r>
        <w:rPr>
          <w:rFonts w:hint="eastAsia" w:ascii="宋体" w:hAnsi="宋体" w:cs="宋体"/>
          <w:szCs w:val="21"/>
          <w:vertAlign w:val="superscript"/>
        </w:rPr>
        <w:t xml:space="preserve">-5 </w:t>
      </w:r>
      <w:r>
        <w:rPr>
          <w:rFonts w:hint="eastAsia" w:ascii="宋体" w:hAnsi="宋体" w:cs="宋体"/>
          <w:szCs w:val="21"/>
        </w:rPr>
        <w:t>AU</w:t>
      </w:r>
    </w:p>
    <w:p w14:paraId="45155DC8">
      <w:pPr>
        <w:adjustRightInd w:val="0"/>
        <w:snapToGrid w:val="0"/>
        <w:spacing w:line="360" w:lineRule="auto"/>
        <w:ind w:firstLine="420" w:firstLineChars="200"/>
        <w:rPr>
          <w:rFonts w:hint="eastAsia" w:ascii="宋体" w:hAnsi="宋体" w:eastAsia="宋体" w:cs="宋体"/>
          <w:bCs/>
          <w:szCs w:val="21"/>
          <w:lang w:eastAsia="zh-CN"/>
        </w:rPr>
      </w:pPr>
      <w:r>
        <w:rPr>
          <w:rFonts w:hint="eastAsia" w:ascii="宋体" w:hAnsi="宋体" w:cs="宋体"/>
          <w:szCs w:val="21"/>
        </w:rPr>
        <w:t>*5.2.3波长准确度：</w:t>
      </w:r>
      <w:r>
        <w:rPr>
          <w:rFonts w:hint="eastAsia" w:ascii="宋体" w:hAnsi="宋体" w:cs="宋体"/>
          <w:bCs/>
          <w:szCs w:val="21"/>
        </w:rPr>
        <w:t>优于±1.0 nm</w:t>
      </w:r>
      <w:r>
        <w:rPr>
          <w:rFonts w:hint="eastAsia" w:ascii="宋体" w:hAnsi="宋体" w:cs="宋体"/>
          <w:bCs/>
          <w:szCs w:val="21"/>
          <w:lang w:eastAsia="zh-CN"/>
        </w:rPr>
        <w:t>（</w:t>
      </w:r>
      <w:r>
        <w:rPr>
          <w:rFonts w:hint="eastAsia" w:ascii="宋体" w:hAnsi="宋体" w:eastAsia="宋体" w:cs="Times New Roman"/>
          <w:color w:val="000000"/>
          <w:kern w:val="0"/>
          <w:szCs w:val="21"/>
        </w:rPr>
        <w:t>使用咖啡因或钬玻璃标准品，扫描特征吸收峰</w:t>
      </w:r>
      <w:r>
        <w:rPr>
          <w:rFonts w:hint="eastAsia" w:ascii="宋体" w:hAnsi="宋体" w:cs="宋体"/>
          <w:bCs/>
          <w:szCs w:val="21"/>
          <w:lang w:eastAsia="zh-CN"/>
        </w:rPr>
        <w:t>）</w:t>
      </w:r>
    </w:p>
    <w:p w14:paraId="59831144">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5.2.4线性范围：≥2.0AU</w:t>
      </w:r>
    </w:p>
    <w:p w14:paraId="33A2E9B6">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5.2.5数据采集速率：≥40Hz</w:t>
      </w:r>
    </w:p>
    <w:p w14:paraId="4670FDDE">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5.3激光光散射检测器（LS/MALS）</w:t>
      </w:r>
    </w:p>
    <w:p w14:paraId="50DD245C">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5.3.1光源波长: 658±5nm（红光） 或5</w:t>
      </w:r>
      <w:r>
        <w:rPr>
          <w:rFonts w:hint="eastAsia" w:ascii="宋体" w:hAnsi="宋体" w:cs="宋体"/>
          <w:szCs w:val="21"/>
          <w:lang w:val="en-US" w:eastAsia="zh-CN"/>
        </w:rPr>
        <w:t>05</w:t>
      </w:r>
      <w:r>
        <w:rPr>
          <w:rFonts w:hint="eastAsia" w:ascii="宋体" w:hAnsi="宋体" w:cs="宋体"/>
          <w:szCs w:val="21"/>
        </w:rPr>
        <w:t>nm</w:t>
      </w:r>
      <w:r>
        <w:rPr>
          <w:rFonts w:hint="eastAsia" w:ascii="宋体" w:hAnsi="宋体" w:cs="宋体"/>
          <w:szCs w:val="21"/>
          <w:highlight w:val="none"/>
        </w:rPr>
        <w:t>±5nm</w:t>
      </w:r>
      <w:r>
        <w:rPr>
          <w:rFonts w:hint="eastAsia" w:ascii="宋体" w:hAnsi="宋体" w:cs="宋体"/>
          <w:szCs w:val="21"/>
        </w:rPr>
        <w:t>（绿光）</w:t>
      </w:r>
      <w:r>
        <w:rPr>
          <w:rFonts w:hint="eastAsia" w:ascii="宋体" w:hAnsi="宋体" w:cs="宋体"/>
          <w:szCs w:val="21"/>
          <w:lang w:eastAsia="zh-CN"/>
        </w:rPr>
        <w:t>，</w:t>
      </w:r>
      <w:r>
        <w:rPr>
          <w:rFonts w:hint="eastAsia" w:ascii="宋体" w:hAnsi="宋体" w:cs="宋体"/>
          <w:szCs w:val="21"/>
          <w:lang w:val="en-US" w:eastAsia="zh-CN"/>
        </w:rPr>
        <w:t>二选一即可。</w:t>
      </w:r>
    </w:p>
    <w:p w14:paraId="60156B46">
      <w:pPr>
        <w:adjustRightInd w:val="0"/>
        <w:snapToGrid w:val="0"/>
        <w:spacing w:line="360" w:lineRule="auto"/>
        <w:ind w:firstLine="420" w:firstLineChars="200"/>
        <w:rPr>
          <w:rFonts w:ascii="宋体" w:hAnsi="宋体" w:cs="宋体"/>
          <w:szCs w:val="21"/>
        </w:rPr>
      </w:pPr>
      <w:r>
        <w:rPr>
          <w:rFonts w:hint="eastAsia" w:ascii="宋体" w:hAnsi="宋体" w:cs="宋体"/>
          <w:szCs w:val="21"/>
        </w:rPr>
        <w:t>*5.3.2光源功率：≥20 mW</w:t>
      </w:r>
    </w:p>
    <w:p w14:paraId="27147E5E">
      <w:pPr>
        <w:adjustRightInd w:val="0"/>
        <w:snapToGrid w:val="0"/>
        <w:spacing w:line="360" w:lineRule="auto"/>
        <w:ind w:firstLine="420" w:firstLineChars="200"/>
        <w:rPr>
          <w:rFonts w:ascii="宋体" w:hAnsi="宋体" w:cs="宋体"/>
          <w:szCs w:val="21"/>
        </w:rPr>
      </w:pPr>
      <w:r>
        <w:rPr>
          <w:rFonts w:hint="eastAsia" w:ascii="宋体" w:hAnsi="宋体" w:cs="宋体"/>
          <w:szCs w:val="21"/>
        </w:rPr>
        <w:t>*5.3.3检测角度:≥2 个，需列</w:t>
      </w:r>
      <w:r>
        <w:rPr>
          <w:rFonts w:hint="eastAsia" w:ascii="宋体" w:hAnsi="宋体" w:cs="宋体"/>
          <w:szCs w:val="21"/>
          <w:lang w:val="en-US" w:eastAsia="zh-CN"/>
        </w:rPr>
        <w:t>明所有角度</w:t>
      </w:r>
      <w:r>
        <w:rPr>
          <w:rFonts w:hint="eastAsia" w:ascii="宋体" w:hAnsi="宋体" w:cs="宋体"/>
          <w:szCs w:val="21"/>
        </w:rPr>
        <w:t>。</w:t>
      </w:r>
    </w:p>
    <w:p w14:paraId="15EE7869">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w:t>
      </w:r>
      <w:r>
        <w:rPr>
          <w:rFonts w:hint="eastAsia" w:ascii="宋体" w:hAnsi="宋体" w:cs="宋体"/>
          <w:szCs w:val="21"/>
        </w:rPr>
        <w:t>5.3.4分子量检测范围</w:t>
      </w:r>
      <w:r>
        <w:rPr>
          <w:rFonts w:hint="eastAsia" w:ascii="宋体" w:hAnsi="宋体" w:cs="宋体"/>
          <w:szCs w:val="21"/>
          <w:lang w:val="en-US" w:eastAsia="zh-CN"/>
        </w:rPr>
        <w:t>及准确性</w:t>
      </w:r>
      <w:r>
        <w:rPr>
          <w:rFonts w:hint="eastAsia" w:ascii="宋体" w:hAnsi="宋体" w:cs="宋体"/>
          <w:szCs w:val="21"/>
        </w:rPr>
        <w:t>： 优于200</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1×10⁷Da</w:t>
      </w:r>
      <w:r>
        <w:rPr>
          <w:rFonts w:hint="eastAsia" w:ascii="宋体" w:hAnsi="宋体" w:cs="宋体"/>
          <w:szCs w:val="21"/>
          <w:lang w:eastAsia="zh-CN"/>
        </w:rPr>
        <w:t>；</w:t>
      </w:r>
      <w:r>
        <w:rPr>
          <w:rFonts w:hint="eastAsia" w:ascii="宋体" w:hAnsi="宋体" w:cs="宋体"/>
          <w:szCs w:val="21"/>
          <w:lang w:val="en-US" w:eastAsia="zh-CN"/>
        </w:rPr>
        <w:t>提供多梯度分子量蛋白质、多糖标准品</w:t>
      </w:r>
      <w:r>
        <w:rPr>
          <w:rFonts w:hint="eastAsia" w:ascii="宋体" w:hAnsi="宋体" w:cs="宋体"/>
          <w:szCs w:val="21"/>
        </w:rPr>
        <w:t>（如BSA 66 kDa</w:t>
      </w:r>
      <w:r>
        <w:rPr>
          <w:rFonts w:hint="eastAsia" w:ascii="宋体" w:hAnsi="宋体" w:cs="宋体"/>
          <w:szCs w:val="21"/>
          <w:lang w:eastAsia="zh-CN"/>
        </w:rPr>
        <w:t>，</w:t>
      </w:r>
      <w:r>
        <w:rPr>
          <w:rFonts w:hint="eastAsia" w:ascii="宋体" w:hAnsi="宋体" w:cs="宋体"/>
          <w:szCs w:val="21"/>
          <w:lang w:val="en-US" w:eastAsia="zh-CN"/>
        </w:rPr>
        <w:t>普鲁兰多糖 108kDa</w:t>
      </w:r>
      <w:r>
        <w:rPr>
          <w:rFonts w:hint="eastAsia" w:ascii="宋体" w:hAnsi="宋体" w:cs="宋体"/>
          <w:szCs w:val="21"/>
        </w:rPr>
        <w:t>）</w:t>
      </w:r>
      <w:r>
        <w:rPr>
          <w:rFonts w:hint="eastAsia" w:ascii="宋体" w:hAnsi="宋体" w:cs="宋体"/>
          <w:szCs w:val="21"/>
          <w:lang w:val="en-US" w:eastAsia="zh-CN"/>
        </w:rPr>
        <w:t>实测值与标称值对比数据（标准品分子量覆盖范围应尽量涵盖</w:t>
      </w:r>
      <w:r>
        <w:rPr>
          <w:rFonts w:hint="eastAsia" w:ascii="宋体" w:hAnsi="宋体" w:cs="宋体"/>
          <w:szCs w:val="21"/>
        </w:rPr>
        <w:t>200</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1×10⁷Da</w:t>
      </w:r>
      <w:r>
        <w:rPr>
          <w:rFonts w:hint="eastAsia" w:ascii="宋体" w:hAnsi="宋体" w:cs="宋体"/>
          <w:szCs w:val="21"/>
          <w:lang w:val="en-US" w:eastAsia="zh-CN"/>
        </w:rPr>
        <w:t>）。</w:t>
      </w:r>
    </w:p>
    <w:p w14:paraId="7883F864">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rPr>
        <w:t>5.</w:t>
      </w:r>
      <w:r>
        <w:rPr>
          <w:rFonts w:hint="eastAsia" w:ascii="宋体" w:hAnsi="宋体" w:cs="宋体"/>
          <w:szCs w:val="21"/>
          <w:lang w:val="en-US" w:eastAsia="zh-CN"/>
        </w:rPr>
        <w:t>3.</w:t>
      </w:r>
      <w:r>
        <w:rPr>
          <w:rFonts w:hint="eastAsia" w:ascii="宋体" w:hAnsi="宋体" w:cs="宋体"/>
          <w:szCs w:val="21"/>
        </w:rPr>
        <w:t>5 功能要求：具备在线</w:t>
      </w:r>
      <w:r>
        <w:rPr>
          <w:rFonts w:hint="eastAsia" w:ascii="宋体" w:hAnsi="宋体" w:cs="宋体"/>
          <w:szCs w:val="21"/>
          <w:lang w:val="en-US" w:eastAsia="zh-CN"/>
        </w:rPr>
        <w:t>d</w:t>
      </w:r>
      <w:r>
        <w:rPr>
          <w:rFonts w:hint="eastAsia" w:ascii="宋体" w:hAnsi="宋体" w:cs="宋体"/>
          <w:szCs w:val="21"/>
        </w:rPr>
        <w:t>n/</w:t>
      </w:r>
      <w:r>
        <w:rPr>
          <w:rFonts w:hint="eastAsia" w:ascii="宋体" w:hAnsi="宋体" w:cs="宋体"/>
          <w:szCs w:val="21"/>
          <w:lang w:val="en-US" w:eastAsia="zh-CN"/>
        </w:rPr>
        <w:t>d</w:t>
      </w:r>
      <w:r>
        <w:rPr>
          <w:rFonts w:hint="eastAsia" w:ascii="宋体" w:hAnsi="宋体" w:cs="宋体"/>
          <w:szCs w:val="21"/>
        </w:rPr>
        <w:t>c测定功能或与示差检测器联用计算</w:t>
      </w:r>
      <w:r>
        <w:rPr>
          <w:rFonts w:hint="eastAsia" w:ascii="宋体" w:hAnsi="宋体" w:cs="宋体"/>
          <w:szCs w:val="21"/>
          <w:lang w:val="en-US" w:eastAsia="zh-CN"/>
        </w:rPr>
        <w:t>d</w:t>
      </w:r>
      <w:r>
        <w:rPr>
          <w:rFonts w:hint="eastAsia" w:ascii="宋体" w:hAnsi="宋体" w:cs="宋体"/>
          <w:szCs w:val="21"/>
        </w:rPr>
        <w:t>n/</w:t>
      </w:r>
      <w:r>
        <w:rPr>
          <w:rFonts w:hint="eastAsia" w:ascii="宋体" w:hAnsi="宋体" w:cs="宋体"/>
          <w:szCs w:val="21"/>
          <w:lang w:val="en-US" w:eastAsia="zh-CN"/>
        </w:rPr>
        <w:t>d</w:t>
      </w:r>
      <w:r>
        <w:rPr>
          <w:rFonts w:hint="eastAsia" w:ascii="宋体" w:hAnsi="宋体" w:cs="宋体"/>
          <w:szCs w:val="21"/>
        </w:rPr>
        <w:t>c的软件模块。</w:t>
      </w:r>
    </w:p>
    <w:p w14:paraId="087C4B10">
      <w:pPr>
        <w:adjustRightInd w:val="0"/>
        <w:snapToGrid w:val="0"/>
        <w:spacing w:line="360" w:lineRule="auto"/>
        <w:ind w:firstLine="420" w:firstLineChars="200"/>
        <w:rPr>
          <w:rFonts w:ascii="宋体" w:hAnsi="宋体" w:cs="宋体"/>
          <w:szCs w:val="21"/>
        </w:rPr>
      </w:pPr>
      <w:r>
        <w:rPr>
          <w:rFonts w:hint="eastAsia" w:ascii="宋体" w:hAnsi="宋体" w:cs="宋体"/>
          <w:szCs w:val="21"/>
        </w:rPr>
        <w:t>5.3.</w:t>
      </w:r>
      <w:r>
        <w:rPr>
          <w:rFonts w:hint="eastAsia" w:ascii="宋体" w:hAnsi="宋体" w:cs="宋体"/>
          <w:szCs w:val="21"/>
          <w:lang w:val="en-US" w:eastAsia="zh-CN"/>
        </w:rPr>
        <w:t>6</w:t>
      </w:r>
      <w:r>
        <w:rPr>
          <w:rFonts w:hint="eastAsia" w:ascii="宋体" w:hAnsi="宋体" w:cs="宋体"/>
          <w:szCs w:val="21"/>
        </w:rPr>
        <w:t>检测灵敏度：500 ng of BSA/磷酸盐缓冲液体系</w:t>
      </w:r>
    </w:p>
    <w:p w14:paraId="1DEE9CF4">
      <w:pPr>
        <w:adjustRightInd w:val="0"/>
        <w:snapToGrid w:val="0"/>
        <w:spacing w:line="360" w:lineRule="auto"/>
        <w:ind w:firstLine="420" w:firstLineChars="200"/>
        <w:rPr>
          <w:rFonts w:ascii="宋体" w:hAnsi="宋体" w:cs="宋体"/>
          <w:szCs w:val="21"/>
        </w:rPr>
      </w:pPr>
      <w:r>
        <w:rPr>
          <w:rFonts w:hint="eastAsia" w:ascii="宋体" w:hAnsi="宋体" w:cs="宋体"/>
          <w:szCs w:val="21"/>
        </w:rPr>
        <w:t>5.3.</w:t>
      </w:r>
      <w:r>
        <w:rPr>
          <w:rFonts w:hint="eastAsia" w:ascii="宋体" w:hAnsi="宋体" w:cs="宋体"/>
          <w:szCs w:val="21"/>
          <w:lang w:val="en-US" w:eastAsia="zh-CN"/>
        </w:rPr>
        <w:t>7</w:t>
      </w:r>
      <w:r>
        <w:rPr>
          <w:rFonts w:hint="eastAsia" w:ascii="宋体" w:hAnsi="宋体" w:cs="宋体"/>
          <w:szCs w:val="21"/>
        </w:rPr>
        <w:t>分子尺寸Rg测定范围</w:t>
      </w:r>
      <w:r>
        <w:rPr>
          <w:rFonts w:hint="eastAsia" w:ascii="宋体" w:hAnsi="宋体" w:cs="宋体"/>
          <w:szCs w:val="21"/>
          <w:lang w:val="en-US" w:eastAsia="zh-CN"/>
        </w:rPr>
        <w:t>及准确性</w:t>
      </w:r>
      <w:r>
        <w:rPr>
          <w:rFonts w:hint="eastAsia" w:ascii="宋体" w:hAnsi="宋体" w:cs="宋体"/>
          <w:szCs w:val="21"/>
        </w:rPr>
        <w:t>：优于10</w:t>
      </w:r>
      <w:r>
        <w:rPr>
          <w:rFonts w:ascii="宋体" w:hAnsi="宋体" w:cs="宋体"/>
          <w:szCs w:val="21"/>
        </w:rPr>
        <w:t>–</w:t>
      </w:r>
      <w:r>
        <w:rPr>
          <w:rFonts w:hint="eastAsia" w:ascii="宋体" w:hAnsi="宋体" w:cs="宋体"/>
          <w:szCs w:val="21"/>
        </w:rPr>
        <w:t>50</w:t>
      </w:r>
      <w:r>
        <w:rPr>
          <w:rFonts w:ascii="宋体" w:hAnsi="宋体" w:cs="宋体"/>
          <w:szCs w:val="21"/>
        </w:rPr>
        <w:t xml:space="preserve"> </w:t>
      </w:r>
      <w:r>
        <w:rPr>
          <w:rFonts w:hint="eastAsia" w:ascii="宋体" w:hAnsi="宋体" w:cs="宋体"/>
          <w:szCs w:val="21"/>
        </w:rPr>
        <w:t>nm（依据样品构象）</w:t>
      </w:r>
      <w:r>
        <w:rPr>
          <w:rFonts w:hint="eastAsia" w:ascii="宋体" w:hAnsi="宋体" w:cs="宋体"/>
          <w:szCs w:val="21"/>
          <w:lang w:eastAsia="zh-CN"/>
        </w:rPr>
        <w:t>（</w:t>
      </w:r>
      <w:r>
        <w:rPr>
          <w:rFonts w:hint="eastAsia" w:ascii="宋体" w:hAnsi="宋体" w:eastAsia="宋体" w:cs="Times New Roman"/>
          <w:color w:val="000000"/>
          <w:kern w:val="0"/>
          <w:szCs w:val="21"/>
        </w:rPr>
        <w:t>测定已知Rg的标准品（如PS 200k，Rg≈15-20 nm），与标称值对比</w:t>
      </w:r>
      <w:r>
        <w:rPr>
          <w:rFonts w:hint="eastAsia" w:ascii="宋体" w:hAnsi="宋体" w:cs="宋体"/>
          <w:szCs w:val="21"/>
          <w:lang w:eastAsia="zh-CN"/>
        </w:rPr>
        <w:t>）</w:t>
      </w:r>
    </w:p>
    <w:p w14:paraId="7B64A3A7">
      <w:pPr>
        <w:adjustRightInd w:val="0"/>
        <w:snapToGrid w:val="0"/>
        <w:spacing w:line="360" w:lineRule="auto"/>
        <w:ind w:firstLine="420" w:firstLineChars="200"/>
        <w:rPr>
          <w:rFonts w:ascii="宋体" w:hAnsi="宋体" w:cs="宋体"/>
          <w:szCs w:val="21"/>
        </w:rPr>
      </w:pPr>
      <w:r>
        <w:rPr>
          <w:rFonts w:hint="eastAsia" w:ascii="宋体" w:hAnsi="宋体" w:cs="宋体"/>
          <w:szCs w:val="21"/>
        </w:rPr>
        <w:t>5.3.</w:t>
      </w:r>
      <w:r>
        <w:rPr>
          <w:rFonts w:hint="eastAsia" w:ascii="宋体" w:hAnsi="宋体" w:cs="宋体"/>
          <w:szCs w:val="21"/>
          <w:lang w:val="en-US" w:eastAsia="zh-CN"/>
        </w:rPr>
        <w:t>8</w:t>
      </w:r>
      <w:r>
        <w:rPr>
          <w:rFonts w:hint="eastAsia" w:ascii="宋体" w:hAnsi="宋体" w:cs="宋体"/>
          <w:szCs w:val="21"/>
        </w:rPr>
        <w:t xml:space="preserve"> 其它功能：如仪器校正、在线清洗等，需详细列出。</w:t>
      </w:r>
    </w:p>
    <w:p w14:paraId="35585A43">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5.4粘度检测器（IV）（选配）</w:t>
      </w:r>
    </w:p>
    <w:p w14:paraId="5C0EC5CE">
      <w:pPr>
        <w:adjustRightInd w:val="0"/>
        <w:snapToGrid w:val="0"/>
        <w:spacing w:line="360" w:lineRule="auto"/>
        <w:ind w:firstLine="420" w:firstLineChars="200"/>
        <w:rPr>
          <w:rFonts w:ascii="宋体" w:hAnsi="宋体" w:cs="宋体"/>
          <w:szCs w:val="21"/>
        </w:rPr>
      </w:pPr>
      <w:r>
        <w:rPr>
          <w:rFonts w:hint="eastAsia" w:ascii="宋体" w:hAnsi="宋体" w:cs="宋体"/>
          <w:szCs w:val="21"/>
        </w:rPr>
        <w:t>5.4.1传感器类型：桥式四毛细管差压式粘度计，可测参数：特性粘度、M-H常数、分子旋转半径等。</w:t>
      </w:r>
    </w:p>
    <w:p w14:paraId="45428928">
      <w:pPr>
        <w:adjustRightInd w:val="0"/>
        <w:snapToGrid w:val="0"/>
        <w:spacing w:line="360" w:lineRule="auto"/>
        <w:ind w:firstLine="420" w:firstLineChars="200"/>
        <w:rPr>
          <w:rFonts w:ascii="宋体" w:hAnsi="宋体" w:cs="宋体"/>
          <w:szCs w:val="21"/>
        </w:rPr>
      </w:pPr>
      <w:r>
        <w:rPr>
          <w:rFonts w:hint="eastAsia" w:ascii="宋体" w:hAnsi="宋体" w:cs="宋体"/>
          <w:szCs w:val="21"/>
        </w:rPr>
        <w:t>5.4.2噪音/基线漂移：≤1×10</w:t>
      </w:r>
      <w:r>
        <w:rPr>
          <w:rFonts w:hint="eastAsia" w:ascii="宋体" w:hAnsi="宋体" w:cs="宋体"/>
          <w:szCs w:val="21"/>
          <w:vertAlign w:val="superscript"/>
        </w:rPr>
        <w:t>-5</w:t>
      </w:r>
      <w:r>
        <w:rPr>
          <w:rFonts w:hint="eastAsia" w:ascii="宋体" w:hAnsi="宋体" w:cs="宋体"/>
          <w:szCs w:val="21"/>
        </w:rPr>
        <w:t>Pa/s；控温方式及温度范围：独立温控，优于30-60℃，温度稳定性：优于±0.2℃。</w:t>
      </w:r>
    </w:p>
    <w:p w14:paraId="26CC32FC">
      <w:pPr>
        <w:numPr>
          <w:ilvl w:val="0"/>
          <w:numId w:val="0"/>
        </w:numPr>
        <w:tabs>
          <w:tab w:val="left" w:pos="312"/>
        </w:tabs>
        <w:adjustRightInd w:val="0"/>
        <w:snapToGrid w:val="0"/>
        <w:spacing w:line="360" w:lineRule="auto"/>
        <w:ind w:left="422" w:firstLine="0" w:firstLineChars="0"/>
        <w:rPr>
          <w:rFonts w:ascii="宋体" w:hAnsi="宋体" w:cs="宋体"/>
          <w:b/>
          <w:bCs/>
          <w:szCs w:val="21"/>
        </w:rPr>
      </w:pPr>
      <w:r>
        <w:rPr>
          <w:rFonts w:hint="eastAsia" w:ascii="宋体" w:hAnsi="宋体" w:cs="宋体"/>
          <w:b/>
          <w:bCs/>
          <w:szCs w:val="21"/>
        </w:rPr>
        <w:t>数据处理系统：</w:t>
      </w:r>
    </w:p>
    <w:p w14:paraId="7147E9CA">
      <w:pPr>
        <w:adjustRightInd w:val="0"/>
        <w:snapToGrid w:val="0"/>
        <w:spacing w:line="360" w:lineRule="auto"/>
        <w:ind w:left="420" w:leftChars="200"/>
        <w:rPr>
          <w:rFonts w:ascii="宋体" w:hAnsi="宋体" w:cs="宋体"/>
          <w:b/>
          <w:bCs/>
          <w:szCs w:val="21"/>
        </w:rPr>
      </w:pPr>
      <w:r>
        <w:rPr>
          <w:rFonts w:hint="eastAsia" w:ascii="宋体" w:hAnsi="宋体" w:cs="宋体"/>
          <w:b/>
          <w:bCs/>
          <w:szCs w:val="21"/>
        </w:rPr>
        <w:t>6.1软件功能：</w:t>
      </w:r>
    </w:p>
    <w:p w14:paraId="6A15FFFB">
      <w:pPr>
        <w:adjustRightInd w:val="0"/>
        <w:snapToGrid w:val="0"/>
        <w:spacing w:line="360" w:lineRule="auto"/>
        <w:ind w:left="420" w:leftChars="200"/>
        <w:rPr>
          <w:rFonts w:ascii="宋体" w:hAnsi="宋体" w:cs="宋体"/>
          <w:szCs w:val="21"/>
        </w:rPr>
      </w:pPr>
      <w:r>
        <w:rPr>
          <w:rFonts w:hint="eastAsia" w:ascii="宋体" w:hAnsi="宋体" w:cs="宋体"/>
          <w:szCs w:val="21"/>
        </w:rPr>
        <w:t>6.1.1多通道数据采集：需提供≥3个独立数据通道，可同时采集示差折光（RI）、紫外/可见光（UV/Vis）、光散射（LS）等多个检测器信号。</w:t>
      </w:r>
    </w:p>
    <w:p w14:paraId="6BF4E47D">
      <w:pPr>
        <w:adjustRightInd w:val="0"/>
        <w:snapToGrid w:val="0"/>
        <w:spacing w:line="360" w:lineRule="auto"/>
        <w:ind w:left="420" w:leftChars="200"/>
        <w:rPr>
          <w:rFonts w:ascii="宋体" w:hAnsi="宋体" w:cs="宋体"/>
          <w:szCs w:val="21"/>
        </w:rPr>
      </w:pPr>
      <w:r>
        <w:rPr>
          <w:rFonts w:hint="eastAsia" w:ascii="宋体" w:hAnsi="宋体" w:cs="宋体"/>
          <w:szCs w:val="21"/>
        </w:rPr>
        <w:t>6.1.2实时监控：具备实时显示色谱图、系统压力、流量、温度等参数的功能，支持多轴显示。</w:t>
      </w:r>
    </w:p>
    <w:p w14:paraId="297747F6">
      <w:pPr>
        <w:adjustRightInd w:val="0"/>
        <w:snapToGrid w:val="0"/>
        <w:spacing w:line="360" w:lineRule="auto"/>
        <w:ind w:left="420" w:leftChars="200"/>
        <w:rPr>
          <w:rFonts w:ascii="宋体" w:hAnsi="宋体" w:cs="宋体"/>
          <w:szCs w:val="21"/>
        </w:rPr>
      </w:pPr>
      <w:r>
        <w:rPr>
          <w:rFonts w:hint="eastAsia" w:ascii="宋体" w:hAnsi="宋体" w:cs="宋体"/>
          <w:szCs w:val="21"/>
        </w:rPr>
        <w:t>6.1.3进样控制：可编辑进样序列，支持无人值守过夜运行；具备自动洗针、样品盘温控、进样体积编程等功能。</w:t>
      </w:r>
    </w:p>
    <w:p w14:paraId="55F3BC86">
      <w:pPr>
        <w:adjustRightInd w:val="0"/>
        <w:snapToGrid w:val="0"/>
        <w:spacing w:line="360" w:lineRule="auto"/>
        <w:ind w:left="420" w:leftChars="200"/>
        <w:rPr>
          <w:rFonts w:ascii="宋体" w:hAnsi="宋体" w:cs="宋体"/>
          <w:szCs w:val="21"/>
        </w:rPr>
      </w:pPr>
      <w:r>
        <w:rPr>
          <w:rFonts w:hint="eastAsia" w:ascii="宋体" w:hAnsi="宋体" w:cs="宋体"/>
          <w:szCs w:val="21"/>
        </w:rPr>
        <w:t>6.1.4维护预警：实时监控仪器状态，对预防性维护进行系统提示（如溶剂消耗、密封圈寿命、紫外灯使用时间等）。</w:t>
      </w:r>
    </w:p>
    <w:p w14:paraId="3BEE47C7">
      <w:pPr>
        <w:adjustRightInd w:val="0"/>
        <w:snapToGrid w:val="0"/>
        <w:spacing w:line="360" w:lineRule="auto"/>
        <w:ind w:left="420" w:leftChars="200"/>
        <w:rPr>
          <w:rFonts w:ascii="宋体" w:hAnsi="宋体" w:cs="宋体"/>
          <w:szCs w:val="21"/>
        </w:rPr>
      </w:pPr>
      <w:r>
        <w:rPr>
          <w:rFonts w:hint="eastAsia" w:ascii="宋体" w:hAnsi="宋体" w:cs="宋体"/>
          <w:szCs w:val="21"/>
        </w:rPr>
        <w:t>6.1.5工作站软件集成化程度高，软件为原厂配套软件（非第三方），确保兼容性和售后服务，检测样品时需同时使用的软件数量≤2</w:t>
      </w:r>
      <w:r>
        <w:rPr>
          <w:rFonts w:hint="eastAsia" w:ascii="宋体" w:hAnsi="宋体" w:cs="宋体"/>
          <w:szCs w:val="21"/>
          <w:highlight w:val="none"/>
        </w:rPr>
        <w:t>（软件及对应数据库</w:t>
      </w:r>
      <w:r>
        <w:rPr>
          <w:rFonts w:hint="eastAsia" w:ascii="宋体" w:hAnsi="宋体" w:cs="宋体"/>
          <w:szCs w:val="21"/>
          <w:highlight w:val="none"/>
          <w:lang w:val="en-US" w:eastAsia="zh-CN"/>
        </w:rPr>
        <w:t>在仪器生命周以内</w:t>
      </w:r>
      <w:r>
        <w:rPr>
          <w:rFonts w:hint="eastAsia" w:ascii="宋体" w:hAnsi="宋体" w:cs="宋体"/>
          <w:szCs w:val="21"/>
          <w:highlight w:val="none"/>
        </w:rPr>
        <w:t>免费升级）</w:t>
      </w:r>
      <w:r>
        <w:rPr>
          <w:rFonts w:hint="eastAsia" w:ascii="宋体" w:hAnsi="宋体" w:cs="宋体"/>
          <w:szCs w:val="21"/>
        </w:rPr>
        <w:t>。</w:t>
      </w:r>
    </w:p>
    <w:p w14:paraId="46800CDB">
      <w:pPr>
        <w:adjustRightInd w:val="0"/>
        <w:snapToGrid w:val="0"/>
        <w:spacing w:line="360" w:lineRule="auto"/>
        <w:ind w:left="420" w:leftChars="200"/>
        <w:rPr>
          <w:rFonts w:ascii="宋体" w:hAnsi="宋体" w:cs="宋体"/>
          <w:b/>
          <w:bCs/>
          <w:szCs w:val="21"/>
        </w:rPr>
      </w:pPr>
      <w:r>
        <w:rPr>
          <w:rFonts w:hint="eastAsia" w:ascii="宋体" w:hAnsi="宋体" w:cs="宋体"/>
          <w:b/>
          <w:bCs/>
          <w:szCs w:val="21"/>
        </w:rPr>
        <w:t>6.2数据分析：</w:t>
      </w:r>
    </w:p>
    <w:p w14:paraId="1E6AEE02">
      <w:pPr>
        <w:adjustRightInd w:val="0"/>
        <w:snapToGrid w:val="0"/>
        <w:spacing w:line="360" w:lineRule="auto"/>
        <w:ind w:left="420" w:leftChars="200"/>
        <w:rPr>
          <w:rFonts w:ascii="宋体" w:hAnsi="宋体" w:cs="宋体"/>
          <w:szCs w:val="21"/>
        </w:rPr>
      </w:pPr>
      <w:r>
        <w:rPr>
          <w:rFonts w:hint="eastAsia" w:ascii="宋体" w:hAnsi="宋体" w:cs="宋体"/>
          <w:szCs w:val="21"/>
        </w:rPr>
        <w:t>6.2.1 分子量校正与计算方法：支持窄分布标准品进行标准曲线建立，支持普适校正（若有粘度检测器），支持宽分布校正，具备自动/手动峰积分、基线扣除等多种积分方式，支持拖尾峰、肩峰的分离处理，可自动计算分子量参数，可进行切片分子量计算。</w:t>
      </w:r>
    </w:p>
    <w:p w14:paraId="3477670E">
      <w:pPr>
        <w:adjustRightInd w:val="0"/>
        <w:snapToGrid w:val="0"/>
        <w:spacing w:line="360" w:lineRule="auto"/>
        <w:ind w:left="420" w:leftChars="200"/>
        <w:rPr>
          <w:rFonts w:ascii="宋体" w:hAnsi="宋体" w:cs="宋体"/>
          <w:szCs w:val="21"/>
        </w:rPr>
      </w:pPr>
      <w:r>
        <w:rPr>
          <w:rFonts w:hint="eastAsia" w:ascii="宋体" w:hAnsi="宋体" w:cs="宋体"/>
          <w:szCs w:val="21"/>
        </w:rPr>
        <w:t>6.2.2 多检测器数据分析功能：具备分子量测定功能，具备共聚物组成分析功能。若有粘度检测器，可进行Mark-Houwink构象分析和支化度分析，可进行旋转半径Rg的分析。</w:t>
      </w:r>
    </w:p>
    <w:p w14:paraId="655CAD0A">
      <w:pPr>
        <w:adjustRightInd w:val="0"/>
        <w:snapToGrid w:val="0"/>
        <w:spacing w:line="360" w:lineRule="auto"/>
        <w:ind w:left="420" w:leftChars="200"/>
        <w:rPr>
          <w:rFonts w:ascii="宋体" w:hAnsi="宋体" w:cs="宋体"/>
          <w:szCs w:val="21"/>
        </w:rPr>
      </w:pPr>
      <w:r>
        <w:rPr>
          <w:rFonts w:hint="eastAsia" w:ascii="宋体" w:hAnsi="宋体" w:cs="宋体"/>
          <w:szCs w:val="21"/>
        </w:rPr>
        <w:t>6.2.3其它分析功能：可进行分峰与去卷积，可对多组分体系进行多峰拟合，支持多谱图叠加比较，支持多种标准报告格式（不少于8种），可自定义报告布局、色谱图比例、输出项目等，具备数据完整性、审计追踪、多用户权限管理功能。</w:t>
      </w:r>
    </w:p>
    <w:p w14:paraId="364AF9ED">
      <w:pPr>
        <w:adjustRightInd w:val="0"/>
        <w:snapToGrid w:val="0"/>
        <w:spacing w:line="360" w:lineRule="auto"/>
        <w:ind w:firstLine="422" w:firstLineChars="200"/>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常用备件及标准品：</w:t>
      </w:r>
    </w:p>
    <w:p w14:paraId="2FFCC529">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lang w:val="en-US" w:eastAsia="zh-CN"/>
        </w:rPr>
        <w:t>7.1</w:t>
      </w:r>
      <w:r>
        <w:rPr>
          <w:rFonts w:hint="eastAsia" w:ascii="宋体" w:hAnsi="宋体" w:cs="宋体"/>
          <w:b/>
          <w:szCs w:val="21"/>
          <w:highlight w:val="none"/>
        </w:rPr>
        <w:t>色谱柱配置</w:t>
      </w:r>
      <w:r>
        <w:rPr>
          <w:rFonts w:hint="eastAsia" w:ascii="宋体" w:hAnsi="宋体" w:cs="宋体"/>
          <w:szCs w:val="21"/>
          <w:highlight w:val="none"/>
        </w:rPr>
        <w:t>（长度3</w:t>
      </w:r>
      <w:r>
        <w:rPr>
          <w:rFonts w:ascii="宋体" w:hAnsi="宋体" w:cs="宋体"/>
          <w:szCs w:val="21"/>
          <w:highlight w:val="none"/>
        </w:rPr>
        <w:t>00</w:t>
      </w:r>
      <w:r>
        <w:rPr>
          <w:rFonts w:hint="eastAsia" w:ascii="宋体" w:hAnsi="宋体" w:cs="宋体"/>
          <w:szCs w:val="21"/>
          <w:highlight w:val="none"/>
        </w:rPr>
        <w:t>mm）</w:t>
      </w:r>
      <w:r>
        <w:rPr>
          <w:rFonts w:hint="eastAsia" w:ascii="宋体" w:hAnsi="宋体" w:cs="宋体"/>
          <w:b/>
          <w:szCs w:val="21"/>
          <w:highlight w:val="none"/>
        </w:rPr>
        <w:t>：</w:t>
      </w:r>
    </w:p>
    <w:p w14:paraId="7364383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7.1.</w:t>
      </w:r>
      <w:r>
        <w:rPr>
          <w:rFonts w:hint="eastAsia" w:ascii="宋体" w:hAnsi="宋体" w:cs="宋体"/>
          <w:szCs w:val="21"/>
          <w:highlight w:val="none"/>
        </w:rPr>
        <w:t>1水相色谱柱（蛋白 / 多肽 / 核酸类）：≥2 根，测定范围覆盖2</w:t>
      </w:r>
      <w:r>
        <w:rPr>
          <w:rFonts w:ascii="宋体" w:hAnsi="宋体" w:cs="宋体"/>
          <w:szCs w:val="21"/>
          <w:highlight w:val="none"/>
        </w:rPr>
        <w:t xml:space="preserve">00 </w:t>
      </w:r>
      <w:r>
        <w:rPr>
          <w:rFonts w:hint="eastAsia" w:ascii="宋体" w:hAnsi="宋体" w:cs="宋体"/>
          <w:szCs w:val="21"/>
          <w:highlight w:val="none"/>
        </w:rPr>
        <w:t>- 1×10⁶Da。</w:t>
      </w:r>
    </w:p>
    <w:p w14:paraId="66ED039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7.1.</w:t>
      </w:r>
      <w:r>
        <w:rPr>
          <w:rFonts w:hint="eastAsia" w:ascii="宋体" w:hAnsi="宋体" w:cs="宋体"/>
          <w:szCs w:val="21"/>
          <w:highlight w:val="none"/>
        </w:rPr>
        <w:t>2水相色谱柱（多糖 / 高分子类）：≥2 根，测定范围覆盖2</w:t>
      </w:r>
      <w:r>
        <w:rPr>
          <w:rFonts w:ascii="宋体" w:hAnsi="宋体" w:cs="宋体"/>
          <w:szCs w:val="21"/>
          <w:highlight w:val="none"/>
        </w:rPr>
        <w:t xml:space="preserve">00 </w:t>
      </w:r>
      <w:r>
        <w:rPr>
          <w:rFonts w:hint="eastAsia" w:ascii="宋体" w:hAnsi="宋体" w:cs="宋体"/>
          <w:szCs w:val="21"/>
          <w:highlight w:val="none"/>
        </w:rPr>
        <w:t>- 1×10⁶Da。</w:t>
      </w:r>
    </w:p>
    <w:p w14:paraId="5BF3B8EE">
      <w:pPr>
        <w:adjustRightInd w:val="0"/>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7.1.</w:t>
      </w:r>
      <w:r>
        <w:rPr>
          <w:rFonts w:hint="eastAsia" w:ascii="宋体" w:hAnsi="宋体" w:cs="宋体"/>
          <w:szCs w:val="21"/>
          <w:highlight w:val="none"/>
        </w:rPr>
        <w:t>3极性有机溶剂色谱柱</w:t>
      </w:r>
      <w:r>
        <w:rPr>
          <w:rFonts w:hint="eastAsia" w:ascii="宋体" w:hAnsi="宋体" w:cs="宋体"/>
          <w:szCs w:val="21"/>
          <w:highlight w:val="none"/>
          <w:lang w:eastAsia="zh-CN"/>
        </w:rPr>
        <w:t>（</w:t>
      </w:r>
      <w:r>
        <w:rPr>
          <w:rFonts w:hint="eastAsia" w:ascii="宋体" w:hAnsi="宋体" w:cs="宋体"/>
          <w:szCs w:val="21"/>
          <w:highlight w:val="none"/>
          <w:lang w:val="en-US" w:eastAsia="zh-CN"/>
        </w:rPr>
        <w:t>DMF/DMAc/高极性有机溶剂</w:t>
      </w:r>
      <w:r>
        <w:rPr>
          <w:rFonts w:hint="eastAsia" w:ascii="宋体" w:hAnsi="宋体" w:cs="宋体"/>
          <w:szCs w:val="21"/>
          <w:highlight w:val="none"/>
          <w:lang w:eastAsia="zh-CN"/>
        </w:rPr>
        <w:t>）</w:t>
      </w:r>
      <w:r>
        <w:rPr>
          <w:rFonts w:hint="eastAsia" w:ascii="宋体" w:hAnsi="宋体" w:cs="宋体"/>
          <w:szCs w:val="21"/>
          <w:highlight w:val="none"/>
        </w:rPr>
        <w:t>：≥1 根</w:t>
      </w:r>
      <w:r>
        <w:rPr>
          <w:rFonts w:hint="eastAsia" w:ascii="宋体" w:hAnsi="宋体" w:cs="宋体"/>
          <w:szCs w:val="21"/>
          <w:highlight w:val="none"/>
          <w:lang w:eastAsia="zh-CN"/>
        </w:rPr>
        <w:t>，</w:t>
      </w:r>
      <w:r>
        <w:rPr>
          <w:rFonts w:hint="eastAsia" w:ascii="宋体" w:hAnsi="宋体" w:cs="宋体"/>
          <w:szCs w:val="21"/>
          <w:highlight w:val="none"/>
        </w:rPr>
        <w:t>测定范围覆盖</w:t>
      </w:r>
      <w:r>
        <w:rPr>
          <w:rFonts w:hint="eastAsia" w:ascii="宋体" w:hAnsi="宋体" w:cs="宋体"/>
          <w:szCs w:val="21"/>
          <w:highlight w:val="none"/>
          <w:lang w:val="en-US" w:eastAsia="zh-CN"/>
        </w:rPr>
        <w:t>5</w:t>
      </w:r>
      <w:r>
        <w:rPr>
          <w:rFonts w:ascii="宋体" w:hAnsi="宋体" w:cs="宋体"/>
          <w:szCs w:val="21"/>
          <w:highlight w:val="none"/>
        </w:rPr>
        <w:t xml:space="preserve">00 </w:t>
      </w:r>
      <w:r>
        <w:rPr>
          <w:rFonts w:hint="eastAsia" w:ascii="宋体" w:hAnsi="宋体" w:cs="宋体"/>
          <w:szCs w:val="21"/>
          <w:highlight w:val="none"/>
        </w:rPr>
        <w:t>- 1×10⁶Da</w:t>
      </w:r>
    </w:p>
    <w:p w14:paraId="117E9C1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7.1.</w:t>
      </w:r>
      <w:r>
        <w:rPr>
          <w:rFonts w:hint="eastAsia" w:ascii="宋体" w:hAnsi="宋体" w:cs="宋体"/>
          <w:szCs w:val="21"/>
          <w:highlight w:val="none"/>
        </w:rPr>
        <w:t>4常规有机相色谱柱</w:t>
      </w:r>
      <w:r>
        <w:rPr>
          <w:rFonts w:hint="eastAsia" w:ascii="宋体" w:hAnsi="宋体" w:cs="宋体"/>
          <w:szCs w:val="21"/>
          <w:highlight w:val="none"/>
          <w:lang w:eastAsia="zh-CN"/>
        </w:rPr>
        <w:t>（</w:t>
      </w:r>
      <w:r>
        <w:rPr>
          <w:rFonts w:hint="eastAsia" w:ascii="宋体" w:hAnsi="宋体" w:cs="宋体"/>
          <w:szCs w:val="21"/>
          <w:highlight w:val="none"/>
          <w:lang w:val="en-US" w:eastAsia="zh-CN"/>
        </w:rPr>
        <w:t>THF/氯仿/甲苯类</w:t>
      </w:r>
      <w:r>
        <w:rPr>
          <w:rFonts w:hint="eastAsia" w:ascii="宋体" w:hAnsi="宋体" w:cs="宋体"/>
          <w:szCs w:val="21"/>
          <w:highlight w:val="none"/>
          <w:lang w:eastAsia="zh-CN"/>
        </w:rPr>
        <w:t>）</w:t>
      </w:r>
      <w:r>
        <w:rPr>
          <w:rFonts w:hint="eastAsia" w:ascii="宋体" w:hAnsi="宋体" w:cs="宋体"/>
          <w:szCs w:val="21"/>
          <w:highlight w:val="none"/>
        </w:rPr>
        <w:t>：≥1 根</w:t>
      </w:r>
      <w:r>
        <w:rPr>
          <w:rFonts w:hint="eastAsia" w:ascii="宋体" w:hAnsi="宋体" w:cs="宋体"/>
          <w:szCs w:val="21"/>
          <w:highlight w:val="none"/>
          <w:lang w:eastAsia="zh-CN"/>
        </w:rPr>
        <w:t>，</w:t>
      </w:r>
      <w:r>
        <w:rPr>
          <w:rFonts w:hint="eastAsia" w:ascii="宋体" w:hAnsi="宋体" w:cs="宋体"/>
          <w:szCs w:val="21"/>
          <w:highlight w:val="none"/>
        </w:rPr>
        <w:t>测定范围覆盖</w:t>
      </w:r>
      <w:r>
        <w:rPr>
          <w:rFonts w:hint="eastAsia" w:ascii="宋体" w:hAnsi="宋体" w:cs="宋体"/>
          <w:szCs w:val="21"/>
          <w:highlight w:val="none"/>
          <w:lang w:val="en-US" w:eastAsia="zh-CN"/>
        </w:rPr>
        <w:t>5</w:t>
      </w:r>
      <w:r>
        <w:rPr>
          <w:rFonts w:ascii="宋体" w:hAnsi="宋体" w:cs="宋体"/>
          <w:szCs w:val="21"/>
          <w:highlight w:val="none"/>
        </w:rPr>
        <w:t xml:space="preserve">00 </w:t>
      </w:r>
      <w:r>
        <w:rPr>
          <w:rFonts w:hint="eastAsia" w:ascii="宋体" w:hAnsi="宋体" w:cs="宋体"/>
          <w:szCs w:val="21"/>
          <w:highlight w:val="none"/>
        </w:rPr>
        <w:t>- 1×10⁶Da</w:t>
      </w:r>
    </w:p>
    <w:p w14:paraId="08B07E54">
      <w:pPr>
        <w:adjustRightInd w:val="0"/>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7.1.5 氟化溶剂（HFIP） 专用色谱柱：≥ 1 根，</w:t>
      </w:r>
      <w:r>
        <w:rPr>
          <w:rFonts w:hint="eastAsia" w:ascii="宋体" w:hAnsi="宋体" w:cs="宋体"/>
          <w:szCs w:val="21"/>
          <w:highlight w:val="none"/>
        </w:rPr>
        <w:t>测定范围覆盖</w:t>
      </w:r>
      <w:r>
        <w:rPr>
          <w:rFonts w:hint="eastAsia" w:ascii="宋体" w:hAnsi="宋体" w:cs="宋体"/>
          <w:szCs w:val="21"/>
          <w:highlight w:val="none"/>
          <w:lang w:val="en-US" w:eastAsia="zh-CN"/>
        </w:rPr>
        <w:t>600 Da – 5×10⁶ Da</w:t>
      </w:r>
    </w:p>
    <w:p w14:paraId="4F6A880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7.1.6</w:t>
      </w:r>
      <w:r>
        <w:rPr>
          <w:rFonts w:hint="eastAsia" w:ascii="宋体" w:hAnsi="宋体" w:eastAsia="宋体" w:cs="宋体"/>
          <w:sz w:val="21"/>
          <w:szCs w:val="21"/>
          <w:highlight w:val="none"/>
        </w:rPr>
        <w:t>所有色谱柱均配套</w:t>
      </w:r>
      <w:r>
        <w:rPr>
          <w:rStyle w:val="11"/>
          <w:rFonts w:hint="eastAsia" w:ascii="宋体" w:hAnsi="宋体" w:eastAsia="宋体" w:cs="宋体"/>
          <w:b w:val="0"/>
          <w:bCs w:val="0"/>
          <w:color w:val="auto"/>
          <w:sz w:val="21"/>
          <w:szCs w:val="21"/>
          <w:highlight w:val="none"/>
        </w:rPr>
        <w:t>保护柱</w:t>
      </w:r>
      <w:r>
        <w:rPr>
          <w:rFonts w:hint="eastAsia" w:ascii="宋体" w:hAnsi="宋体" w:eastAsia="宋体" w:cs="宋体"/>
          <w:sz w:val="21"/>
          <w:szCs w:val="21"/>
          <w:highlight w:val="none"/>
        </w:rPr>
        <w:t>（≥ 1:1 配比）</w:t>
      </w:r>
      <w:r>
        <w:rPr>
          <w:rFonts w:hint="eastAsia" w:ascii="宋体" w:hAnsi="宋体" w:cs="宋体"/>
          <w:szCs w:val="21"/>
          <w:highlight w:val="none"/>
        </w:rPr>
        <w:t>。</w:t>
      </w:r>
    </w:p>
    <w:p w14:paraId="19D2C13A">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lang w:val="en-US" w:eastAsia="zh-CN"/>
        </w:rPr>
        <w:t>7.2</w:t>
      </w:r>
      <w:r>
        <w:rPr>
          <w:rFonts w:hint="eastAsia" w:ascii="宋体" w:hAnsi="宋体" w:cs="宋体"/>
          <w:b/>
          <w:szCs w:val="21"/>
          <w:highlight w:val="none"/>
        </w:rPr>
        <w:t>标准品配置：</w:t>
      </w:r>
    </w:p>
    <w:p w14:paraId="7263A85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7.2.</w:t>
      </w:r>
      <w:r>
        <w:rPr>
          <w:rFonts w:hint="eastAsia" w:ascii="宋体" w:hAnsi="宋体" w:cs="宋体"/>
          <w:szCs w:val="21"/>
          <w:highlight w:val="none"/>
        </w:rPr>
        <w:t>1水相标准品套装</w:t>
      </w:r>
    </w:p>
    <w:p w14:paraId="464AFFD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聚乙二醇/聚环氧乙烯（PEG/PEO）标准品套装：校准点≥7 个，优于 100Da–1</w:t>
      </w:r>
      <w:r>
        <w:rPr>
          <w:rFonts w:hint="eastAsia" w:ascii="宋体" w:hAnsi="宋体" w:cs="宋体"/>
          <w:szCs w:val="21"/>
          <w:highlight w:val="none"/>
          <w:lang w:val="en-US" w:eastAsia="zh-CN"/>
        </w:rPr>
        <w:t>.5</w:t>
      </w:r>
      <w:r>
        <w:rPr>
          <w:rFonts w:hint="eastAsia" w:ascii="宋体" w:hAnsi="宋体" w:cs="宋体"/>
          <w:szCs w:val="21"/>
          <w:highlight w:val="none"/>
        </w:rPr>
        <w:t>×10⁶Da</w:t>
      </w:r>
    </w:p>
    <w:p w14:paraId="1170FD7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葡聚糖（Dextran）标准品套装：校准点≥6 个，优于 1000Da–1×10⁶Da</w:t>
      </w:r>
    </w:p>
    <w:p w14:paraId="27CBDF5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蛋白质标准品套装：包含 BSA、卵清蛋白、肌红蛋白等，校准点≥5 种，优于 1×10</w:t>
      </w:r>
      <w:r>
        <w:rPr>
          <w:rFonts w:hint="eastAsia" w:ascii="宋体" w:hAnsi="宋体" w:cs="宋体"/>
          <w:szCs w:val="21"/>
          <w:highlight w:val="none"/>
          <w:vertAlign w:val="superscript"/>
          <w:lang w:val="en-US" w:eastAsia="zh-CN"/>
        </w:rPr>
        <w:t>4</w:t>
      </w:r>
      <w:r>
        <w:rPr>
          <w:rFonts w:hint="eastAsia" w:ascii="宋体" w:hAnsi="宋体" w:cs="宋体"/>
          <w:szCs w:val="21"/>
          <w:highlight w:val="none"/>
        </w:rPr>
        <w:t>Da–</w:t>
      </w:r>
      <w:r>
        <w:rPr>
          <w:rFonts w:hint="eastAsia" w:ascii="宋体" w:hAnsi="宋体" w:cs="宋体"/>
          <w:szCs w:val="21"/>
          <w:highlight w:val="none"/>
          <w:lang w:val="en-US" w:eastAsia="zh-CN"/>
        </w:rPr>
        <w:t>6</w:t>
      </w:r>
      <w:r>
        <w:rPr>
          <w:rFonts w:hint="eastAsia" w:ascii="宋体" w:hAnsi="宋体" w:cs="宋体"/>
          <w:szCs w:val="21"/>
          <w:highlight w:val="none"/>
        </w:rPr>
        <w:t>×10</w:t>
      </w:r>
      <w:r>
        <w:rPr>
          <w:rFonts w:hint="eastAsia" w:ascii="宋体" w:hAnsi="宋体" w:cs="宋体"/>
          <w:szCs w:val="21"/>
          <w:highlight w:val="none"/>
          <w:vertAlign w:val="superscript"/>
          <w:lang w:val="en-US" w:eastAsia="zh-CN"/>
        </w:rPr>
        <w:t>5</w:t>
      </w:r>
      <w:r>
        <w:rPr>
          <w:rFonts w:hint="eastAsia" w:ascii="宋体" w:hAnsi="宋体" w:cs="宋体"/>
          <w:szCs w:val="21"/>
          <w:highlight w:val="none"/>
        </w:rPr>
        <w:t>Da</w:t>
      </w:r>
    </w:p>
    <w:p w14:paraId="1821351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szCs w:val="21"/>
          <w:highlight w:val="none"/>
        </w:rPr>
        <w:t>聚丙烯酸钠（PAA-Na）标准品套装：校准点≥5 个，优于 1000Da–1</w:t>
      </w:r>
      <w:r>
        <w:rPr>
          <w:rFonts w:hint="eastAsia" w:ascii="宋体" w:hAnsi="宋体" w:cs="宋体"/>
          <w:szCs w:val="21"/>
          <w:highlight w:val="none"/>
          <w:lang w:val="en-US" w:eastAsia="zh-CN"/>
        </w:rPr>
        <w:t>.5</w:t>
      </w:r>
      <w:r>
        <w:rPr>
          <w:rFonts w:hint="eastAsia" w:ascii="宋体" w:hAnsi="宋体" w:cs="宋体"/>
          <w:szCs w:val="21"/>
          <w:highlight w:val="none"/>
        </w:rPr>
        <w:t>×10⁶Da</w:t>
      </w:r>
    </w:p>
    <w:p w14:paraId="0C2CF58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7.2.</w:t>
      </w:r>
      <w:r>
        <w:rPr>
          <w:rFonts w:hint="eastAsia" w:ascii="宋体" w:hAnsi="宋体" w:cs="宋体"/>
          <w:szCs w:val="21"/>
          <w:highlight w:val="none"/>
        </w:rPr>
        <w:t>2</w:t>
      </w:r>
      <w:r>
        <w:rPr>
          <w:rFonts w:hint="eastAsia" w:ascii="宋体" w:hAnsi="宋体" w:cs="宋体"/>
          <w:szCs w:val="21"/>
          <w:highlight w:val="none"/>
          <w:lang w:val="en-US" w:eastAsia="zh-CN"/>
        </w:rPr>
        <w:t xml:space="preserve"> </w:t>
      </w:r>
      <w:r>
        <w:rPr>
          <w:rFonts w:hint="eastAsia" w:ascii="宋体" w:hAnsi="宋体" w:cs="宋体"/>
          <w:szCs w:val="21"/>
          <w:highlight w:val="none"/>
        </w:rPr>
        <w:t>有机相标准品套装</w:t>
      </w:r>
    </w:p>
    <w:p w14:paraId="7678A06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聚甲基丙烯酸甲酯标准品套装、聚丁二烯标准品套装等</w:t>
      </w:r>
    </w:p>
    <w:p w14:paraId="60445633">
      <w:pPr>
        <w:numPr>
          <w:ilvl w:val="-1"/>
          <w:numId w:val="0"/>
        </w:num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 xml:space="preserve">7.2.3 </w:t>
      </w:r>
      <w:r>
        <w:rPr>
          <w:rFonts w:hint="eastAsia" w:ascii="宋体" w:hAnsi="宋体" w:cs="宋体"/>
          <w:szCs w:val="21"/>
          <w:highlight w:val="none"/>
        </w:rPr>
        <w:t>通用校正与质控标准品</w:t>
      </w:r>
      <w:r>
        <w:rPr>
          <w:rFonts w:hint="eastAsia" w:ascii="宋体" w:hAnsi="宋体" w:cs="宋体"/>
          <w:szCs w:val="21"/>
          <w:highlight w:val="none"/>
          <w:lang w:eastAsia="zh-CN"/>
        </w:rPr>
        <w:t>：</w:t>
      </w:r>
      <w:r>
        <w:rPr>
          <w:rFonts w:hint="eastAsia" w:ascii="宋体" w:hAnsi="宋体" w:cs="宋体"/>
          <w:szCs w:val="21"/>
          <w:highlight w:val="none"/>
          <w:lang w:val="en-US" w:eastAsia="zh-CN"/>
        </w:rPr>
        <w:t>光散射检测器</w:t>
      </w:r>
      <w:r>
        <w:rPr>
          <w:rFonts w:hint="eastAsia" w:ascii="宋体" w:hAnsi="宋体" w:cs="宋体"/>
          <w:szCs w:val="21"/>
          <w:highlight w:val="none"/>
        </w:rPr>
        <w:t>校准用标准品与校准试剂盒</w:t>
      </w:r>
    </w:p>
    <w:p w14:paraId="064D6549">
      <w:pPr>
        <w:numPr>
          <w:ilvl w:val="0"/>
          <w:numId w:val="3"/>
        </w:num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其它配置</w:t>
      </w:r>
    </w:p>
    <w:p w14:paraId="08BC7A8D">
      <w:pPr>
        <w:numPr>
          <w:ilvl w:val="0"/>
          <w:numId w:val="4"/>
        </w:numPr>
        <w:adjustRightInd w:val="0"/>
        <w:snapToGrid w:val="0"/>
        <w:spacing w:line="360" w:lineRule="auto"/>
        <w:rPr>
          <w:rFonts w:ascii="宋体" w:hAnsi="宋体" w:cs="宋体"/>
          <w:bCs/>
          <w:szCs w:val="21"/>
          <w:highlight w:val="none"/>
        </w:rPr>
      </w:pPr>
      <w:r>
        <w:rPr>
          <w:rFonts w:hint="eastAsia" w:ascii="宋体" w:hAnsi="宋体" w:cs="宋体"/>
          <w:szCs w:val="21"/>
          <w:highlight w:val="none"/>
        </w:rPr>
        <w:t>工作站（必须为品牌机）：</w:t>
      </w:r>
      <w:r>
        <w:rPr>
          <w:rFonts w:hint="eastAsia" w:ascii="宋体" w:hAnsi="宋体" w:cs="宋体"/>
          <w:bCs/>
          <w:szCs w:val="21"/>
          <w:highlight w:val="none"/>
        </w:rPr>
        <w:t>配置不低于CPU Inter i5-10500或同级Xeon/W系列处理器，16G+内存，512</w:t>
      </w:r>
      <w:r>
        <w:rPr>
          <w:rFonts w:hint="eastAsia" w:ascii="宋体" w:hAnsi="宋体" w:cs="宋体"/>
          <w:bCs/>
          <w:szCs w:val="21"/>
          <w:highlight w:val="none"/>
          <w:lang w:val="en-US" w:eastAsia="zh-CN"/>
        </w:rPr>
        <w:t>G</w:t>
      </w:r>
      <w:r>
        <w:rPr>
          <w:rFonts w:hint="eastAsia" w:ascii="宋体" w:hAnsi="宋体" w:cs="宋体"/>
          <w:bCs/>
          <w:szCs w:val="21"/>
          <w:highlight w:val="none"/>
        </w:rPr>
        <w:t xml:space="preserve">+SSD，2T+机械硬盘，Windows10 64位专业版系统，27英寸液晶显示器 </w:t>
      </w:r>
      <w:r>
        <w:rPr>
          <w:rFonts w:ascii="宋体" w:hAnsi="宋体" w:cs="宋体"/>
          <w:bCs/>
          <w:szCs w:val="21"/>
          <w:highlight w:val="none"/>
        </w:rPr>
        <w:t>2</w:t>
      </w:r>
      <w:r>
        <w:rPr>
          <w:rFonts w:hint="eastAsia" w:ascii="宋体" w:hAnsi="宋体" w:cs="宋体"/>
          <w:bCs/>
          <w:szCs w:val="21"/>
          <w:highlight w:val="none"/>
        </w:rPr>
        <w:t>台及显示器支架。</w:t>
      </w:r>
    </w:p>
    <w:p w14:paraId="37BDC6B1">
      <w:pPr>
        <w:numPr>
          <w:ilvl w:val="0"/>
          <w:numId w:val="4"/>
        </w:numPr>
        <w:adjustRightInd w:val="0"/>
        <w:snapToGrid w:val="0"/>
        <w:spacing w:line="360" w:lineRule="auto"/>
        <w:rPr>
          <w:rFonts w:ascii="宋体" w:hAnsi="宋体" w:cs="宋体"/>
          <w:szCs w:val="21"/>
          <w:highlight w:val="none"/>
        </w:rPr>
      </w:pPr>
      <w:r>
        <w:rPr>
          <w:rFonts w:hint="eastAsia" w:ascii="宋体" w:hAnsi="宋体" w:cs="宋体"/>
          <w:bCs/>
          <w:szCs w:val="21"/>
          <w:highlight w:val="none"/>
          <w:lang w:val="en-US" w:eastAsia="zh-CN"/>
        </w:rPr>
        <w:t>原厂</w:t>
      </w:r>
      <w:r>
        <w:rPr>
          <w:rFonts w:hint="eastAsia" w:ascii="宋体" w:hAnsi="宋体" w:cs="宋体"/>
          <w:bCs/>
          <w:szCs w:val="21"/>
          <w:highlight w:val="none"/>
        </w:rPr>
        <w:t>溶剂瓶（1L）：≥</w:t>
      </w:r>
      <w:r>
        <w:rPr>
          <w:rFonts w:ascii="宋体" w:hAnsi="宋体" w:cs="宋体"/>
          <w:bCs/>
          <w:szCs w:val="21"/>
          <w:highlight w:val="none"/>
        </w:rPr>
        <w:t>10</w:t>
      </w:r>
      <w:r>
        <w:rPr>
          <w:rFonts w:hint="eastAsia" w:ascii="宋体" w:hAnsi="宋体" w:cs="宋体"/>
          <w:bCs/>
          <w:szCs w:val="21"/>
          <w:highlight w:val="none"/>
        </w:rPr>
        <w:t>个。</w:t>
      </w:r>
    </w:p>
    <w:p w14:paraId="3DD068DB">
      <w:pPr>
        <w:numPr>
          <w:ilvl w:val="0"/>
          <w:numId w:val="4"/>
        </w:numPr>
        <w:adjustRightInd w:val="0"/>
        <w:snapToGrid w:val="0"/>
        <w:spacing w:line="360" w:lineRule="auto"/>
        <w:rPr>
          <w:rFonts w:ascii="宋体" w:hAnsi="宋体" w:cs="宋体"/>
          <w:bCs w:val="0"/>
          <w:szCs w:val="21"/>
          <w:highlight w:val="none"/>
        </w:rPr>
      </w:pPr>
      <w:r>
        <w:rPr>
          <w:rFonts w:hint="eastAsia" w:ascii="宋体" w:hAnsi="宋体" w:cs="宋体"/>
          <w:bCs/>
          <w:szCs w:val="21"/>
          <w:highlight w:val="none"/>
          <w:lang w:val="en-US" w:eastAsia="zh-CN"/>
        </w:rPr>
        <w:t>原厂</w:t>
      </w:r>
      <w:r>
        <w:rPr>
          <w:rFonts w:hint="eastAsia" w:ascii="宋体" w:hAnsi="宋体" w:cs="宋体"/>
          <w:bCs/>
          <w:szCs w:val="21"/>
          <w:highlight w:val="none"/>
        </w:rPr>
        <w:t>样品瓶（2mL）：≥500个。</w:t>
      </w:r>
    </w:p>
    <w:p w14:paraId="33B8819F">
      <w:pPr>
        <w:numPr>
          <w:ilvl w:val="0"/>
          <w:numId w:val="4"/>
        </w:numPr>
        <w:adjustRightInd w:val="0"/>
        <w:snapToGrid w:val="0"/>
        <w:spacing w:line="360" w:lineRule="auto"/>
        <w:rPr>
          <w:rFonts w:ascii="宋体" w:hAnsi="宋体" w:cs="宋体"/>
          <w:bCs w:val="0"/>
          <w:szCs w:val="21"/>
          <w:highlight w:val="none"/>
        </w:rPr>
      </w:pPr>
      <w:r>
        <w:rPr>
          <w:rFonts w:hint="eastAsia" w:ascii="宋体" w:hAnsi="宋体" w:cs="宋体"/>
          <w:szCs w:val="21"/>
          <w:highlight w:val="none"/>
        </w:rPr>
        <w:t>安全密封废液收集系统（含废液瓶、防溢、过滤）1 套</w:t>
      </w:r>
    </w:p>
    <w:p w14:paraId="7104C66D">
      <w:pPr>
        <w:numPr>
          <w:ilvl w:val="0"/>
          <w:numId w:val="4"/>
        </w:num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val="en-US" w:eastAsia="zh-CN"/>
        </w:rPr>
        <w:t>其它常用易损耗材：</w:t>
      </w:r>
    </w:p>
    <w:p w14:paraId="4D34A0F9">
      <w:pPr>
        <w:numPr>
          <w:ilvl w:val="0"/>
          <w:numId w:val="5"/>
        </w:numPr>
        <w:adjustRightInd w:val="0"/>
        <w:snapToGrid w:val="0"/>
        <w:spacing w:line="360" w:lineRule="auto"/>
        <w:ind w:left="425" w:firstLine="413" w:firstLineChars="197"/>
        <w:rPr>
          <w:rFonts w:hint="eastAsia" w:ascii="宋体" w:hAnsi="宋体" w:cs="宋体"/>
          <w:szCs w:val="21"/>
          <w:highlight w:val="none"/>
        </w:rPr>
      </w:pPr>
      <w:r>
        <w:rPr>
          <w:rFonts w:hint="eastAsia" w:ascii="宋体" w:hAnsi="宋体" w:cs="宋体"/>
          <w:szCs w:val="21"/>
          <w:highlight w:val="none"/>
        </w:rPr>
        <w:t>泵柱塞杆密封垫（成对）：3 套</w:t>
      </w:r>
    </w:p>
    <w:p w14:paraId="02041E46">
      <w:pPr>
        <w:numPr>
          <w:ilvl w:val="0"/>
          <w:numId w:val="5"/>
        </w:numPr>
        <w:adjustRightInd w:val="0"/>
        <w:snapToGrid w:val="0"/>
        <w:spacing w:line="360" w:lineRule="auto"/>
        <w:ind w:left="425" w:firstLine="413" w:firstLineChars="197"/>
        <w:rPr>
          <w:rFonts w:hint="eastAsia" w:ascii="宋体" w:hAnsi="宋体" w:cs="宋体"/>
          <w:szCs w:val="21"/>
          <w:highlight w:val="none"/>
        </w:rPr>
      </w:pPr>
      <w:r>
        <w:rPr>
          <w:rFonts w:hint="eastAsia" w:ascii="宋体" w:hAnsi="宋体" w:cs="宋体"/>
          <w:szCs w:val="21"/>
          <w:highlight w:val="none"/>
        </w:rPr>
        <w:t>泵冲洗密封组件：3 套</w:t>
      </w:r>
    </w:p>
    <w:p w14:paraId="19020EF0">
      <w:pPr>
        <w:numPr>
          <w:ilvl w:val="0"/>
          <w:numId w:val="5"/>
        </w:numPr>
        <w:adjustRightInd w:val="0"/>
        <w:snapToGrid w:val="0"/>
        <w:spacing w:line="360" w:lineRule="auto"/>
        <w:ind w:left="425" w:firstLine="413" w:firstLineChars="197"/>
        <w:rPr>
          <w:rFonts w:hint="eastAsia" w:ascii="宋体" w:hAnsi="宋体" w:cs="宋体"/>
          <w:szCs w:val="21"/>
          <w:highlight w:val="none"/>
        </w:rPr>
      </w:pPr>
      <w:r>
        <w:rPr>
          <w:rFonts w:hint="eastAsia" w:ascii="宋体" w:hAnsi="宋体" w:cs="宋体"/>
          <w:szCs w:val="21"/>
          <w:highlight w:val="none"/>
        </w:rPr>
        <w:t>泵入口 / 出口单向阀密封垫：各 3 个</w:t>
      </w:r>
    </w:p>
    <w:p w14:paraId="3EE70F6F">
      <w:pPr>
        <w:numPr>
          <w:ilvl w:val="0"/>
          <w:numId w:val="5"/>
        </w:numPr>
        <w:adjustRightInd w:val="0"/>
        <w:snapToGrid w:val="0"/>
        <w:spacing w:line="360" w:lineRule="auto"/>
        <w:ind w:left="425" w:firstLine="413" w:firstLineChars="197"/>
        <w:rPr>
          <w:rFonts w:hint="eastAsia" w:ascii="宋体" w:hAnsi="宋体" w:cs="宋体"/>
          <w:szCs w:val="21"/>
          <w:highlight w:val="none"/>
        </w:rPr>
      </w:pPr>
      <w:r>
        <w:rPr>
          <w:rFonts w:hint="eastAsia" w:ascii="宋体" w:hAnsi="宋体" w:cs="宋体"/>
          <w:szCs w:val="21"/>
          <w:highlight w:val="none"/>
        </w:rPr>
        <w:t>自动进样器转子密封垫：3 个</w:t>
      </w:r>
    </w:p>
    <w:p w14:paraId="47F16126">
      <w:pPr>
        <w:numPr>
          <w:ilvl w:val="0"/>
          <w:numId w:val="5"/>
        </w:numPr>
        <w:adjustRightInd w:val="0"/>
        <w:snapToGrid w:val="0"/>
        <w:spacing w:line="360" w:lineRule="auto"/>
        <w:ind w:left="425" w:firstLine="413" w:firstLineChars="197"/>
        <w:rPr>
          <w:rFonts w:hint="eastAsia" w:ascii="宋体" w:hAnsi="宋体" w:cs="宋体"/>
          <w:szCs w:val="21"/>
          <w:highlight w:val="none"/>
        </w:rPr>
      </w:pPr>
      <w:r>
        <w:rPr>
          <w:rFonts w:hint="eastAsia" w:ascii="宋体" w:hAnsi="宋体" w:cs="宋体"/>
          <w:szCs w:val="21"/>
          <w:highlight w:val="none"/>
        </w:rPr>
        <w:t>进样针密封 / 针座密封：3 套</w:t>
      </w:r>
    </w:p>
    <w:p w14:paraId="3180F192">
      <w:pPr>
        <w:numPr>
          <w:ilvl w:val="0"/>
          <w:numId w:val="5"/>
        </w:numPr>
        <w:adjustRightInd w:val="0"/>
        <w:snapToGrid w:val="0"/>
        <w:spacing w:line="360" w:lineRule="auto"/>
        <w:ind w:left="425" w:firstLine="413" w:firstLineChars="197"/>
        <w:rPr>
          <w:rFonts w:hint="eastAsia" w:ascii="宋体" w:hAnsi="宋体" w:cs="宋体"/>
          <w:szCs w:val="21"/>
          <w:highlight w:val="none"/>
        </w:rPr>
      </w:pPr>
      <w:r>
        <w:rPr>
          <w:rFonts w:hint="eastAsia" w:ascii="宋体" w:hAnsi="宋体" w:cs="宋体"/>
          <w:szCs w:val="21"/>
          <w:highlight w:val="none"/>
        </w:rPr>
        <w:t>高压接头密封垫：10 个</w:t>
      </w:r>
    </w:p>
    <w:p w14:paraId="1349A44A">
      <w:pPr>
        <w:numPr>
          <w:ilvl w:val="0"/>
          <w:numId w:val="5"/>
        </w:numPr>
        <w:adjustRightInd w:val="0"/>
        <w:snapToGrid w:val="0"/>
        <w:spacing w:line="360" w:lineRule="auto"/>
        <w:ind w:left="425" w:firstLine="413" w:firstLineChars="197"/>
        <w:rPr>
          <w:rFonts w:hint="eastAsia" w:ascii="宋体" w:hAnsi="宋体" w:cs="宋体"/>
          <w:szCs w:val="21"/>
          <w:highlight w:val="none"/>
        </w:rPr>
      </w:pPr>
      <w:r>
        <w:rPr>
          <w:rFonts w:hint="eastAsia" w:ascii="宋体" w:hAnsi="宋体" w:cs="宋体"/>
          <w:szCs w:val="21"/>
          <w:highlight w:val="none"/>
        </w:rPr>
        <w:t>在线脱气机真空腔密封 / 膜：2 套</w:t>
      </w:r>
    </w:p>
    <w:p w14:paraId="1A72CBDA">
      <w:pPr>
        <w:numPr>
          <w:ilvl w:val="0"/>
          <w:numId w:val="5"/>
        </w:numPr>
        <w:adjustRightInd w:val="0"/>
        <w:snapToGrid w:val="0"/>
        <w:spacing w:line="360" w:lineRule="auto"/>
        <w:ind w:left="425" w:firstLine="413" w:firstLineChars="197"/>
        <w:rPr>
          <w:rFonts w:hint="eastAsia" w:ascii="宋体" w:hAnsi="宋体" w:cs="宋体"/>
          <w:szCs w:val="21"/>
          <w:highlight w:val="none"/>
        </w:rPr>
      </w:pPr>
      <w:r>
        <w:rPr>
          <w:rFonts w:hint="eastAsia" w:ascii="宋体" w:hAnsi="宋体" w:cs="宋体"/>
          <w:szCs w:val="21"/>
          <w:highlight w:val="none"/>
        </w:rPr>
        <w:t>柱塞杆：2 根</w:t>
      </w:r>
    </w:p>
    <w:p w14:paraId="0F0AE70F">
      <w:pPr>
        <w:numPr>
          <w:ilvl w:val="0"/>
          <w:numId w:val="5"/>
        </w:numPr>
        <w:adjustRightInd w:val="0"/>
        <w:snapToGrid w:val="0"/>
        <w:spacing w:line="360" w:lineRule="auto"/>
        <w:ind w:left="425" w:firstLine="413" w:firstLineChars="197"/>
        <w:rPr>
          <w:rFonts w:ascii="宋体" w:hAnsi="宋体" w:cs="宋体"/>
          <w:szCs w:val="21"/>
          <w:highlight w:val="none"/>
        </w:rPr>
      </w:pPr>
      <w:r>
        <w:rPr>
          <w:rFonts w:hint="eastAsia" w:ascii="宋体" w:hAnsi="宋体" w:cs="宋体"/>
          <w:szCs w:val="21"/>
          <w:highlight w:val="none"/>
        </w:rPr>
        <w:t>自动进样针：2 根</w:t>
      </w:r>
    </w:p>
    <w:p w14:paraId="4351AFDC">
      <w:pPr>
        <w:numPr>
          <w:ilvl w:val="0"/>
          <w:numId w:val="5"/>
        </w:numPr>
        <w:adjustRightInd w:val="0"/>
        <w:snapToGrid w:val="0"/>
        <w:spacing w:line="360" w:lineRule="auto"/>
        <w:ind w:left="425" w:leftChars="0" w:firstLine="413" w:firstLineChars="197"/>
        <w:rPr>
          <w:rFonts w:ascii="宋体" w:hAnsi="宋体" w:cs="宋体"/>
          <w:szCs w:val="21"/>
          <w:highlight w:val="none"/>
        </w:rPr>
      </w:pPr>
      <w:r>
        <w:rPr>
          <w:rFonts w:hint="eastAsia" w:ascii="宋体" w:hAnsi="宋体" w:cs="宋体"/>
          <w:szCs w:val="21"/>
          <w:highlight w:val="none"/>
          <w:lang w:val="en-US" w:eastAsia="zh-CN"/>
        </w:rPr>
        <w:t>吸滤头：20个。</w:t>
      </w:r>
    </w:p>
    <w:p w14:paraId="01373CFB">
      <w:pPr>
        <w:tabs>
          <w:tab w:val="left" w:pos="900"/>
        </w:tabs>
        <w:adjustRightInd w:val="0"/>
        <w:snapToGrid w:val="0"/>
        <w:spacing w:line="360" w:lineRule="auto"/>
        <w:rPr>
          <w:rFonts w:hAnsi="宋体"/>
          <w:b/>
          <w:szCs w:val="21"/>
          <w:highlight w:val="none"/>
        </w:rPr>
      </w:pPr>
    </w:p>
    <w:p w14:paraId="0E502799">
      <w:pPr>
        <w:tabs>
          <w:tab w:val="left" w:pos="900"/>
        </w:tabs>
        <w:adjustRightInd w:val="0"/>
        <w:snapToGrid w:val="0"/>
        <w:spacing w:line="360" w:lineRule="auto"/>
        <w:ind w:firstLine="422" w:firstLineChars="200"/>
        <w:rPr>
          <w:rFonts w:hAnsi="宋体"/>
          <w:b/>
          <w:szCs w:val="21"/>
          <w:highlight w:val="none"/>
        </w:rPr>
      </w:pPr>
      <w:r>
        <w:rPr>
          <w:rFonts w:hint="eastAsia" w:hAnsi="宋体"/>
          <w:b/>
          <w:szCs w:val="21"/>
          <w:highlight w:val="none"/>
        </w:rPr>
        <w:t>五、采购标的需满足的服务标准、期限、效率等要求</w:t>
      </w:r>
    </w:p>
    <w:p w14:paraId="1D8DFDC5">
      <w:pPr>
        <w:tabs>
          <w:tab w:val="left" w:pos="420"/>
          <w:tab w:val="left" w:pos="900"/>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（一）质保期： 不少于</w:t>
      </w:r>
      <w:r>
        <w:rPr>
          <w:rFonts w:ascii="宋体" w:hAnsi="宋体"/>
          <w:szCs w:val="21"/>
          <w:highlight w:val="none"/>
          <w:u w:val="single"/>
        </w:rPr>
        <w:t xml:space="preserve">  </w:t>
      </w:r>
      <w:r>
        <w:rPr>
          <w:rFonts w:hint="eastAsia" w:ascii="宋体" w:hAnsi="宋体"/>
          <w:szCs w:val="21"/>
          <w:highlight w:val="none"/>
          <w:u w:val="single"/>
        </w:rPr>
        <w:t>3</w:t>
      </w:r>
      <w:r>
        <w:rPr>
          <w:rFonts w:ascii="宋体" w:hAnsi="宋体"/>
          <w:szCs w:val="21"/>
          <w:highlight w:val="none"/>
          <w:u w:val="single"/>
        </w:rPr>
        <w:t xml:space="preserve">    </w:t>
      </w:r>
      <w:r>
        <w:rPr>
          <w:rFonts w:hint="eastAsia" w:ascii="宋体" w:hAnsi="宋体"/>
          <w:szCs w:val="21"/>
          <w:highlight w:val="none"/>
        </w:rPr>
        <w:t>年，</w:t>
      </w:r>
      <w:r>
        <w:rPr>
          <w:rFonts w:ascii="宋体" w:hAnsi="宋体" w:cs="宋体"/>
          <w:highlight w:val="none"/>
        </w:rPr>
        <w:t>质保期内免费维保</w:t>
      </w:r>
      <w:r>
        <w:rPr>
          <w:rFonts w:hint="eastAsia" w:ascii="宋体" w:hAnsi="宋体" w:cs="宋体"/>
          <w:highlight w:val="none"/>
        </w:rPr>
        <w:t>不少于</w:t>
      </w:r>
      <w:r>
        <w:rPr>
          <w:rFonts w:ascii="宋体" w:hAnsi="宋体"/>
          <w:szCs w:val="21"/>
          <w:highlight w:val="none"/>
          <w:u w:val="single"/>
        </w:rPr>
        <w:t xml:space="preserve">   </w:t>
      </w:r>
      <w:r>
        <w:rPr>
          <w:rFonts w:hint="eastAsia" w:ascii="宋体" w:hAnsi="宋体"/>
          <w:szCs w:val="21"/>
          <w:highlight w:val="none"/>
          <w:u w:val="single"/>
        </w:rPr>
        <w:t>2</w:t>
      </w:r>
      <w:r>
        <w:rPr>
          <w:rFonts w:ascii="宋体" w:hAnsi="宋体"/>
          <w:szCs w:val="21"/>
          <w:highlight w:val="none"/>
          <w:u w:val="single"/>
        </w:rPr>
        <w:t xml:space="preserve">   </w:t>
      </w:r>
      <w:r>
        <w:rPr>
          <w:rFonts w:ascii="宋体" w:hAnsi="宋体" w:cs="宋体"/>
          <w:highlight w:val="none"/>
        </w:rPr>
        <w:t xml:space="preserve"> 次/年，免人工服务费。</w:t>
      </w:r>
      <w:r>
        <w:rPr>
          <w:rFonts w:hint="eastAsia" w:ascii="宋体" w:hAnsi="宋体"/>
          <w:szCs w:val="21"/>
          <w:highlight w:val="none"/>
        </w:rPr>
        <w:t>质保期满后，仍需提供专业维修服务，投标人在投标文件中需注明维修服务单项报价。</w:t>
      </w:r>
    </w:p>
    <w:p w14:paraId="446C43F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highlight w:val="none"/>
        </w:rPr>
        <w:t>（二）服务响应时间：接到维修电话后</w:t>
      </w:r>
      <w:r>
        <w:rPr>
          <w:rFonts w:hint="eastAsia" w:ascii="宋体" w:hAnsi="宋体"/>
          <w:szCs w:val="21"/>
        </w:rPr>
        <w:t>4小时内给予明确答复，8小时内到达现场维修。维修人员到现场后若问题特殊无法现场修复的，中标人需在24小时内给出合理解决方案。</w:t>
      </w:r>
    </w:p>
    <w:p w14:paraId="79F6240D">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hint="eastAsia" w:ascii="宋体" w:hAnsi="宋体"/>
          <w:szCs w:val="21"/>
          <w:u w:val="single"/>
        </w:rPr>
        <w:t>3</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hint="eastAsia" w:ascii="宋体" w:hAnsi="宋体"/>
          <w:szCs w:val="21"/>
        </w:rPr>
        <w:t>；免费</w:t>
      </w:r>
      <w:r>
        <w:rPr>
          <w:rFonts w:hint="eastAsia" w:ascii="宋体" w:hAnsi="宋体" w:cs="宋体"/>
        </w:rPr>
        <w:t>提供至少2人次到厂家技术中心参加高级培训班，</w:t>
      </w:r>
      <w:r>
        <w:rPr>
          <w:rFonts w:hint="eastAsia" w:ascii="宋体" w:hAnsi="宋体"/>
          <w:szCs w:val="21"/>
        </w:rPr>
        <w:t>同时提供</w:t>
      </w:r>
      <w:r>
        <w:rPr>
          <w:rFonts w:ascii="宋体" w:hAnsi="宋体"/>
          <w:szCs w:val="21"/>
        </w:rPr>
        <w:t>不定期的免费提供相关设备应用方面的技术咨询等。</w:t>
      </w:r>
    </w:p>
    <w:p w14:paraId="087735E4">
      <w:pPr>
        <w:tabs>
          <w:tab w:val="left" w:pos="420"/>
          <w:tab w:val="left" w:pos="900"/>
        </w:tabs>
        <w:adjustRightInd w:val="0"/>
        <w:snapToGrid w:val="0"/>
        <w:spacing w:line="360" w:lineRule="auto"/>
        <w:ind w:firstLine="422" w:firstLineChars="200"/>
        <w:rPr>
          <w:rFonts w:ascii="宋体" w:hAnsi="宋体"/>
          <w:b/>
          <w:bCs/>
          <w:szCs w:val="21"/>
        </w:rPr>
      </w:pPr>
      <w:r>
        <w:rPr>
          <w:rFonts w:hint="eastAsia" w:ascii="宋体" w:hAnsi="宋体"/>
          <w:b/>
          <w:bCs/>
          <w:szCs w:val="21"/>
        </w:rPr>
        <w:t>（四）供应商提供进口设备的，须在投标（响应）文件中明确外贸合同卖方信息。</w:t>
      </w:r>
    </w:p>
    <w:p w14:paraId="250BAB25">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786"/>
        <w:gridCol w:w="4716"/>
      </w:tblGrid>
      <w:tr w14:paraId="7EC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vAlign w:val="center"/>
          </w:tcPr>
          <w:p w14:paraId="7541F7C7">
            <w:pPr>
              <w:widowControl/>
              <w:adjustRightInd w:val="0"/>
              <w:snapToGrid w:val="0"/>
              <w:jc w:val="left"/>
              <w:textAlignment w:val="baseline"/>
              <w:rPr>
                <w:rFonts w:ascii="宋体" w:hAnsi="宋体"/>
                <w:b/>
                <w:bCs/>
                <w:color w:val="000000"/>
                <w:kern w:val="0"/>
                <w:szCs w:val="21"/>
              </w:rPr>
            </w:pPr>
            <w:bookmarkStart w:id="5" w:name="OLE_LINK3"/>
            <w:r>
              <w:rPr>
                <w:rFonts w:hint="eastAsia" w:ascii="宋体" w:hAnsi="宋体"/>
                <w:b/>
                <w:bCs/>
                <w:color w:val="000000"/>
                <w:kern w:val="0"/>
                <w:szCs w:val="21"/>
              </w:rPr>
              <w:t>一、货物类项目验收要求</w:t>
            </w:r>
          </w:p>
        </w:tc>
      </w:tr>
      <w:tr w14:paraId="1BB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5E00C0EC">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786" w:type="dxa"/>
            <w:vAlign w:val="center"/>
          </w:tcPr>
          <w:p w14:paraId="5DF60775">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716" w:type="dxa"/>
            <w:vAlign w:val="center"/>
          </w:tcPr>
          <w:p w14:paraId="4288F8A8">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4DD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vAlign w:val="center"/>
          </w:tcPr>
          <w:p w14:paraId="02C15476">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5919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097B844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786" w:type="dxa"/>
            <w:vAlign w:val="center"/>
          </w:tcPr>
          <w:p w14:paraId="628DDD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716" w:type="dxa"/>
            <w:vAlign w:val="center"/>
          </w:tcPr>
          <w:p w14:paraId="7771857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366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4D5202A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786" w:type="dxa"/>
            <w:vAlign w:val="center"/>
          </w:tcPr>
          <w:p w14:paraId="5E3C1A7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716" w:type="dxa"/>
            <w:vAlign w:val="center"/>
          </w:tcPr>
          <w:p w14:paraId="42CFBBE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515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72C4659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786" w:type="dxa"/>
            <w:vAlign w:val="center"/>
          </w:tcPr>
          <w:p w14:paraId="737AFF37">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716" w:type="dxa"/>
            <w:vAlign w:val="center"/>
          </w:tcPr>
          <w:p w14:paraId="509DD066">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1AF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20814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786" w:type="dxa"/>
            <w:vAlign w:val="center"/>
          </w:tcPr>
          <w:p w14:paraId="1A6C95F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716" w:type="dxa"/>
            <w:vAlign w:val="center"/>
          </w:tcPr>
          <w:p w14:paraId="52C2EC9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083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59DD5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786" w:type="dxa"/>
            <w:vAlign w:val="center"/>
          </w:tcPr>
          <w:p w14:paraId="1B3E98A5">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716" w:type="dxa"/>
            <w:vAlign w:val="center"/>
          </w:tcPr>
          <w:p w14:paraId="4B72A531">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660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6DFA2F36">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502" w:type="dxa"/>
            <w:gridSpan w:val="2"/>
            <w:vAlign w:val="center"/>
          </w:tcPr>
          <w:p w14:paraId="31F21E1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3078E20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883C437">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620B491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6" w:name="OLE_LINK4"/>
            <w:r>
              <w:rPr>
                <w:rFonts w:hint="eastAsia" w:ascii="宋体" w:hAnsi="宋体"/>
                <w:color w:val="000000"/>
                <w:kern w:val="0"/>
                <w:szCs w:val="21"/>
              </w:rPr>
              <w:t>《技术协议》</w:t>
            </w:r>
            <w:bookmarkEnd w:id="6"/>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2F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vAlign w:val="center"/>
          </w:tcPr>
          <w:p w14:paraId="51743AB1">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5D4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70" w:type="dxa"/>
            <w:gridSpan w:val="2"/>
            <w:vAlign w:val="center"/>
          </w:tcPr>
          <w:p w14:paraId="14AE30AD">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716" w:type="dxa"/>
            <w:vAlign w:val="center"/>
          </w:tcPr>
          <w:p w14:paraId="798E259A">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rPr>
              <w:t>□</w:t>
            </w:r>
            <w:r>
              <w:rPr>
                <w:rFonts w:hint="eastAsia" w:ascii="宋体" w:hAnsi="宋体"/>
                <w:color w:val="000000"/>
                <w:kern w:val="0"/>
                <w:szCs w:val="21"/>
              </w:rPr>
              <w:t>否</w:t>
            </w:r>
          </w:p>
        </w:tc>
      </w:tr>
      <w:tr w14:paraId="38B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70" w:type="dxa"/>
            <w:gridSpan w:val="2"/>
            <w:vAlign w:val="center"/>
          </w:tcPr>
          <w:p w14:paraId="4B771E2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716" w:type="dxa"/>
            <w:vAlign w:val="center"/>
          </w:tcPr>
          <w:p w14:paraId="33CC1E8D">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2F5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vAlign w:val="center"/>
          </w:tcPr>
          <w:p w14:paraId="3D52DFAE">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53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vAlign w:val="center"/>
          </w:tcPr>
          <w:p w14:paraId="74517D30">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7" w:name="OLE_LINK35"/>
            <w:r>
              <w:rPr>
                <w:rFonts w:hint="eastAsia" w:ascii="宋体" w:hAnsi="宋体"/>
                <w:szCs w:val="21"/>
              </w:rPr>
              <w:t>根据项目特点对服务期内的服务履约实施情况进行考核，结合考核情况和服务效果进行验收。验收报告须经国资处备案。</w:t>
            </w:r>
            <w:bookmarkEnd w:id="7"/>
          </w:p>
        </w:tc>
      </w:tr>
      <w:tr w14:paraId="456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vAlign w:val="center"/>
          </w:tcPr>
          <w:p w14:paraId="2CF4C624">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51A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vAlign w:val="center"/>
          </w:tcPr>
          <w:p w14:paraId="62B84129">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431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70" w:type="dxa"/>
            <w:gridSpan w:val="2"/>
            <w:vAlign w:val="center"/>
          </w:tcPr>
          <w:p w14:paraId="50D21A4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716" w:type="dxa"/>
            <w:vAlign w:val="center"/>
          </w:tcPr>
          <w:p w14:paraId="2746C4A0">
            <w:pPr>
              <w:widowControl/>
              <w:adjustRightInd w:val="0"/>
              <w:snapToGrid w:val="0"/>
              <w:textAlignment w:val="baseline"/>
              <w:rPr>
                <w:rFonts w:ascii="宋体" w:hAnsi="宋体" w:cs="宋体"/>
                <w:color w:val="000000"/>
                <w:kern w:val="0"/>
                <w:szCs w:val="21"/>
              </w:rPr>
            </w:pPr>
          </w:p>
          <w:p w14:paraId="60F1F5C1">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p w14:paraId="3D6DDFD4">
            <w:pPr>
              <w:widowControl/>
              <w:adjustRightInd w:val="0"/>
              <w:snapToGrid w:val="0"/>
              <w:textAlignment w:val="baseline"/>
              <w:rPr>
                <w:rFonts w:ascii="宋体" w:hAnsi="宋体"/>
                <w:color w:val="000000"/>
                <w:kern w:val="0"/>
                <w:szCs w:val="21"/>
              </w:rPr>
            </w:pPr>
          </w:p>
          <w:p w14:paraId="3B30A56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54453A27">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5"/>
    </w:tbl>
    <w:p w14:paraId="1D0AB4E2">
      <w:pPr>
        <w:adjustRightInd w:val="0"/>
        <w:snapToGrid w:val="0"/>
        <w:spacing w:line="360" w:lineRule="auto"/>
        <w:rPr>
          <w:rFonts w:ascii="楷体" w:hAnsi="楷体" w:eastAsia="楷体"/>
          <w:color w:val="FF0000"/>
          <w:sz w:val="22"/>
          <w:szCs w:val="22"/>
        </w:rPr>
      </w:pPr>
    </w:p>
    <w:p w14:paraId="45475BAD">
      <w:pPr>
        <w:adjustRightInd w:val="0"/>
        <w:snapToGrid w:val="0"/>
        <w:spacing w:line="360" w:lineRule="auto"/>
        <w:ind w:firstLine="440" w:firstLineChars="200"/>
        <w:rPr>
          <w:rFonts w:ascii="楷体" w:hAnsi="楷体" w:eastAsia="楷体"/>
          <w:color w:val="FF0000"/>
          <w:sz w:val="22"/>
          <w:szCs w:val="22"/>
        </w:rPr>
      </w:pPr>
    </w:p>
    <w:p w14:paraId="38F80FC0">
      <w:pPr>
        <w:adjustRightInd w:val="0"/>
        <w:snapToGrid w:val="0"/>
        <w:spacing w:line="360" w:lineRule="auto"/>
        <w:ind w:firstLine="440" w:firstLineChars="200"/>
        <w:rPr>
          <w:rFonts w:ascii="楷体" w:hAnsi="楷体" w:eastAsia="楷体"/>
          <w:color w:val="FF0000"/>
          <w:sz w:val="22"/>
          <w:szCs w:val="22"/>
        </w:rPr>
      </w:pPr>
    </w:p>
    <w:p w14:paraId="35F239AF">
      <w:pPr>
        <w:adjustRightInd w:val="0"/>
        <w:snapToGrid w:val="0"/>
        <w:spacing w:line="360" w:lineRule="auto"/>
        <w:ind w:firstLine="440" w:firstLineChars="200"/>
        <w:rPr>
          <w:rFonts w:ascii="楷体" w:hAnsi="楷体" w:eastAsia="楷体"/>
          <w:color w:val="FF0000"/>
          <w:sz w:val="22"/>
          <w:szCs w:val="22"/>
        </w:rPr>
      </w:pPr>
    </w:p>
    <w:p w14:paraId="793C7502">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1" w:fontKey="{FC7EE463-2DF4-4B8C-8DC4-358C144796E7}"/>
  </w:font>
  <w:font w:name="楷体">
    <w:panose1 w:val="02010609060101010101"/>
    <w:charset w:val="86"/>
    <w:family w:val="modern"/>
    <w:pitch w:val="default"/>
    <w:sig w:usb0="800002BF" w:usb1="38CF7CFA" w:usb2="00000016" w:usb3="00000000" w:csb0="00040001" w:csb1="00000000"/>
    <w:embedRegular r:id="rId2" w:fontKey="{C1FCD4F1-E0D1-4A9D-AE79-46FF850FDE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A28B">
    <w:pPr>
      <w:pStyle w:val="5"/>
      <w:jc w:val="center"/>
    </w:pPr>
    <w:r>
      <w:fldChar w:fldCharType="begin"/>
    </w:r>
    <w:r>
      <w:instrText xml:space="preserve">PAGE   \* MERGEFORMAT</w:instrText>
    </w:r>
    <w:r>
      <w:fldChar w:fldCharType="separate"/>
    </w:r>
    <w:r>
      <w:rPr>
        <w:lang w:val="zh-CN"/>
      </w:rPr>
      <w:t>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FBD80"/>
    <w:multiLevelType w:val="singleLevel"/>
    <w:tmpl w:val="85DFBD80"/>
    <w:lvl w:ilvl="0" w:tentative="0">
      <w:start w:val="5"/>
      <w:numFmt w:val="chineseCounting"/>
      <w:suff w:val="nothing"/>
      <w:lvlText w:val="（%1）"/>
      <w:lvlJc w:val="left"/>
      <w:rPr>
        <w:rFonts w:hint="eastAsia"/>
      </w:rPr>
    </w:lvl>
  </w:abstractNum>
  <w:abstractNum w:abstractNumId="1">
    <w:nsid w:val="D7512638"/>
    <w:multiLevelType w:val="singleLevel"/>
    <w:tmpl w:val="D7512638"/>
    <w:lvl w:ilvl="0" w:tentative="0">
      <w:start w:val="1"/>
      <w:numFmt w:val="decimal"/>
      <w:lvlText w:val="(%1)"/>
      <w:lvlJc w:val="left"/>
      <w:pPr>
        <w:ind w:left="425" w:hanging="425"/>
      </w:pPr>
      <w:rPr>
        <w:rFonts w:hint="default"/>
      </w:rPr>
    </w:lvl>
  </w:abstractNum>
  <w:abstractNum w:abstractNumId="2">
    <w:nsid w:val="F75F1212"/>
    <w:multiLevelType w:val="singleLevel"/>
    <w:tmpl w:val="F75F1212"/>
    <w:lvl w:ilvl="0" w:tentative="0">
      <w:start w:val="1"/>
      <w:numFmt w:val="decimal"/>
      <w:lvlText w:val="%1."/>
      <w:lvlJc w:val="left"/>
      <w:pPr>
        <w:tabs>
          <w:tab w:val="left" w:pos="312"/>
        </w:tabs>
        <w:ind w:left="420" w:firstLine="0"/>
      </w:pPr>
    </w:lvl>
  </w:abstractNum>
  <w:abstractNum w:abstractNumId="3">
    <w:nsid w:val="55DF4266"/>
    <w:multiLevelType w:val="singleLevel"/>
    <w:tmpl w:val="55DF4266"/>
    <w:lvl w:ilvl="0" w:tentative="0">
      <w:start w:val="2"/>
      <w:numFmt w:val="decimal"/>
      <w:lvlText w:val="%1."/>
      <w:lvlJc w:val="left"/>
      <w:pPr>
        <w:tabs>
          <w:tab w:val="left" w:pos="312"/>
        </w:tabs>
      </w:pPr>
    </w:lvl>
  </w:abstractNum>
  <w:abstractNum w:abstractNumId="4">
    <w:nsid w:val="5E3191E8"/>
    <w:multiLevelType w:val="singleLevel"/>
    <w:tmpl w:val="5E3191E8"/>
    <w:lvl w:ilvl="0" w:tentative="0">
      <w:start w:val="4"/>
      <w:numFmt w:val="chineseCounting"/>
      <w:suff w:val="nothing"/>
      <w:lvlText w:val="%1、"/>
      <w:lvlJc w:val="left"/>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74E5A"/>
    <w:rsid w:val="000816A4"/>
    <w:rsid w:val="00090056"/>
    <w:rsid w:val="00092B2E"/>
    <w:rsid w:val="00094C16"/>
    <w:rsid w:val="000A209A"/>
    <w:rsid w:val="000A21C5"/>
    <w:rsid w:val="000A57A8"/>
    <w:rsid w:val="000B5F74"/>
    <w:rsid w:val="000C588B"/>
    <w:rsid w:val="000C5FD7"/>
    <w:rsid w:val="000D1438"/>
    <w:rsid w:val="000E50F5"/>
    <w:rsid w:val="000F1FA8"/>
    <w:rsid w:val="000F2A29"/>
    <w:rsid w:val="000F6FAA"/>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59D3"/>
    <w:rsid w:val="001B712C"/>
    <w:rsid w:val="001C0880"/>
    <w:rsid w:val="001C19BA"/>
    <w:rsid w:val="001C1F52"/>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2566"/>
    <w:rsid w:val="00233C66"/>
    <w:rsid w:val="00237253"/>
    <w:rsid w:val="002440C5"/>
    <w:rsid w:val="00244594"/>
    <w:rsid w:val="00244A77"/>
    <w:rsid w:val="00245208"/>
    <w:rsid w:val="002501FD"/>
    <w:rsid w:val="002529C7"/>
    <w:rsid w:val="00253E2C"/>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0BA"/>
    <w:rsid w:val="002C7863"/>
    <w:rsid w:val="002D06B9"/>
    <w:rsid w:val="002D40B7"/>
    <w:rsid w:val="002D68DE"/>
    <w:rsid w:val="002D7991"/>
    <w:rsid w:val="002D7EBC"/>
    <w:rsid w:val="002E1EFE"/>
    <w:rsid w:val="002F0BEB"/>
    <w:rsid w:val="002F1DB1"/>
    <w:rsid w:val="00300CA8"/>
    <w:rsid w:val="003027D7"/>
    <w:rsid w:val="00303423"/>
    <w:rsid w:val="00305D95"/>
    <w:rsid w:val="00306DA8"/>
    <w:rsid w:val="003078A0"/>
    <w:rsid w:val="00310E17"/>
    <w:rsid w:val="003113D4"/>
    <w:rsid w:val="00311594"/>
    <w:rsid w:val="0031502A"/>
    <w:rsid w:val="00321211"/>
    <w:rsid w:val="00323357"/>
    <w:rsid w:val="003243F0"/>
    <w:rsid w:val="00327213"/>
    <w:rsid w:val="0033313D"/>
    <w:rsid w:val="003458D7"/>
    <w:rsid w:val="00345D8D"/>
    <w:rsid w:val="00351AB0"/>
    <w:rsid w:val="00353168"/>
    <w:rsid w:val="00353C03"/>
    <w:rsid w:val="00353EC3"/>
    <w:rsid w:val="00361390"/>
    <w:rsid w:val="00361DF2"/>
    <w:rsid w:val="0036352F"/>
    <w:rsid w:val="003649AF"/>
    <w:rsid w:val="00365116"/>
    <w:rsid w:val="00371949"/>
    <w:rsid w:val="00375975"/>
    <w:rsid w:val="0037638F"/>
    <w:rsid w:val="00381C4A"/>
    <w:rsid w:val="00390F4C"/>
    <w:rsid w:val="003A243E"/>
    <w:rsid w:val="003B1B61"/>
    <w:rsid w:val="003B4712"/>
    <w:rsid w:val="003C207F"/>
    <w:rsid w:val="003C277F"/>
    <w:rsid w:val="003C37F5"/>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C71CD"/>
    <w:rsid w:val="004D47EE"/>
    <w:rsid w:val="004D7FAC"/>
    <w:rsid w:val="004E36C2"/>
    <w:rsid w:val="004E4B14"/>
    <w:rsid w:val="004F27FB"/>
    <w:rsid w:val="004F29A2"/>
    <w:rsid w:val="00501176"/>
    <w:rsid w:val="00501E8E"/>
    <w:rsid w:val="0051081D"/>
    <w:rsid w:val="00510891"/>
    <w:rsid w:val="00510F00"/>
    <w:rsid w:val="0051141F"/>
    <w:rsid w:val="00524AB7"/>
    <w:rsid w:val="0052535A"/>
    <w:rsid w:val="005307ED"/>
    <w:rsid w:val="0053111A"/>
    <w:rsid w:val="00536AC4"/>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091F"/>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2DFD"/>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5224"/>
    <w:rsid w:val="0080610F"/>
    <w:rsid w:val="00810968"/>
    <w:rsid w:val="00811918"/>
    <w:rsid w:val="008153D5"/>
    <w:rsid w:val="00823CA9"/>
    <w:rsid w:val="00824038"/>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5CD3"/>
    <w:rsid w:val="008C7368"/>
    <w:rsid w:val="008D094B"/>
    <w:rsid w:val="008D11A7"/>
    <w:rsid w:val="008D17DD"/>
    <w:rsid w:val="008D4186"/>
    <w:rsid w:val="008D54B6"/>
    <w:rsid w:val="008D5F08"/>
    <w:rsid w:val="008E111B"/>
    <w:rsid w:val="008E38CF"/>
    <w:rsid w:val="008E5DAA"/>
    <w:rsid w:val="008E5F1D"/>
    <w:rsid w:val="008E6FAC"/>
    <w:rsid w:val="008F2ED3"/>
    <w:rsid w:val="008F3C13"/>
    <w:rsid w:val="008F6AEC"/>
    <w:rsid w:val="00902581"/>
    <w:rsid w:val="00912013"/>
    <w:rsid w:val="00915D65"/>
    <w:rsid w:val="009211F7"/>
    <w:rsid w:val="00925E61"/>
    <w:rsid w:val="0092649F"/>
    <w:rsid w:val="00926F3A"/>
    <w:rsid w:val="0093065C"/>
    <w:rsid w:val="0093090F"/>
    <w:rsid w:val="00946EF5"/>
    <w:rsid w:val="0095685D"/>
    <w:rsid w:val="0095718B"/>
    <w:rsid w:val="009604BB"/>
    <w:rsid w:val="009618B7"/>
    <w:rsid w:val="00961A9B"/>
    <w:rsid w:val="00962CDE"/>
    <w:rsid w:val="0097534F"/>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5691"/>
    <w:rsid w:val="00A161FC"/>
    <w:rsid w:val="00A2430D"/>
    <w:rsid w:val="00A30C68"/>
    <w:rsid w:val="00A4094F"/>
    <w:rsid w:val="00A500A4"/>
    <w:rsid w:val="00A61746"/>
    <w:rsid w:val="00A63300"/>
    <w:rsid w:val="00A67D58"/>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4A2C"/>
    <w:rsid w:val="00AF7468"/>
    <w:rsid w:val="00B015CE"/>
    <w:rsid w:val="00B01FBC"/>
    <w:rsid w:val="00B03658"/>
    <w:rsid w:val="00B04427"/>
    <w:rsid w:val="00B04EFC"/>
    <w:rsid w:val="00B0779B"/>
    <w:rsid w:val="00B14164"/>
    <w:rsid w:val="00B149B5"/>
    <w:rsid w:val="00B151BE"/>
    <w:rsid w:val="00B209E9"/>
    <w:rsid w:val="00B2300F"/>
    <w:rsid w:val="00B236CB"/>
    <w:rsid w:val="00B30D51"/>
    <w:rsid w:val="00B3145B"/>
    <w:rsid w:val="00B33451"/>
    <w:rsid w:val="00B33F63"/>
    <w:rsid w:val="00B35632"/>
    <w:rsid w:val="00B43698"/>
    <w:rsid w:val="00B4481B"/>
    <w:rsid w:val="00B4710C"/>
    <w:rsid w:val="00B47D50"/>
    <w:rsid w:val="00B5434F"/>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05A9"/>
    <w:rsid w:val="00BB2053"/>
    <w:rsid w:val="00BB3290"/>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404"/>
    <w:rsid w:val="00C56D21"/>
    <w:rsid w:val="00C63818"/>
    <w:rsid w:val="00C643DA"/>
    <w:rsid w:val="00C74982"/>
    <w:rsid w:val="00C82348"/>
    <w:rsid w:val="00C92D3F"/>
    <w:rsid w:val="00C950B9"/>
    <w:rsid w:val="00C95481"/>
    <w:rsid w:val="00CA1559"/>
    <w:rsid w:val="00CA1D32"/>
    <w:rsid w:val="00CC0A3A"/>
    <w:rsid w:val="00CC3C0A"/>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673F9"/>
    <w:rsid w:val="00D7490B"/>
    <w:rsid w:val="00D76AA8"/>
    <w:rsid w:val="00D8060D"/>
    <w:rsid w:val="00D81319"/>
    <w:rsid w:val="00D8247A"/>
    <w:rsid w:val="00D82B79"/>
    <w:rsid w:val="00D87F17"/>
    <w:rsid w:val="00D94396"/>
    <w:rsid w:val="00D97FEA"/>
    <w:rsid w:val="00DA1B3C"/>
    <w:rsid w:val="00DA2BF3"/>
    <w:rsid w:val="00DA2C16"/>
    <w:rsid w:val="00DA57C1"/>
    <w:rsid w:val="00DB1D64"/>
    <w:rsid w:val="00DB6ED1"/>
    <w:rsid w:val="00DC138D"/>
    <w:rsid w:val="00DC1928"/>
    <w:rsid w:val="00DD0587"/>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3FB9"/>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4E71"/>
    <w:rsid w:val="00E75230"/>
    <w:rsid w:val="00E7573D"/>
    <w:rsid w:val="00E77384"/>
    <w:rsid w:val="00E821CF"/>
    <w:rsid w:val="00E822B6"/>
    <w:rsid w:val="00E83E2F"/>
    <w:rsid w:val="00E85911"/>
    <w:rsid w:val="00E85E97"/>
    <w:rsid w:val="00E8749A"/>
    <w:rsid w:val="00E90A5E"/>
    <w:rsid w:val="00E92029"/>
    <w:rsid w:val="00E93031"/>
    <w:rsid w:val="00E931F1"/>
    <w:rsid w:val="00E972E0"/>
    <w:rsid w:val="00EA4358"/>
    <w:rsid w:val="00EA4482"/>
    <w:rsid w:val="00EA5BB2"/>
    <w:rsid w:val="00EA67C5"/>
    <w:rsid w:val="00EA7524"/>
    <w:rsid w:val="00EB42C3"/>
    <w:rsid w:val="00EB5304"/>
    <w:rsid w:val="00ED27A4"/>
    <w:rsid w:val="00ED5154"/>
    <w:rsid w:val="00ED7D40"/>
    <w:rsid w:val="00EE2CE9"/>
    <w:rsid w:val="00EE39D9"/>
    <w:rsid w:val="00EF2087"/>
    <w:rsid w:val="00EF40FD"/>
    <w:rsid w:val="00EF460A"/>
    <w:rsid w:val="00EF4FBA"/>
    <w:rsid w:val="00F02423"/>
    <w:rsid w:val="00F072C1"/>
    <w:rsid w:val="00F07693"/>
    <w:rsid w:val="00F10369"/>
    <w:rsid w:val="00F13265"/>
    <w:rsid w:val="00F14B96"/>
    <w:rsid w:val="00F1681C"/>
    <w:rsid w:val="00F17DEA"/>
    <w:rsid w:val="00F223B3"/>
    <w:rsid w:val="00F33F13"/>
    <w:rsid w:val="00F35137"/>
    <w:rsid w:val="00F358F2"/>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E2E8A"/>
    <w:rsid w:val="00FF21F2"/>
    <w:rsid w:val="00FF339E"/>
    <w:rsid w:val="00FF37EF"/>
    <w:rsid w:val="00FF40F9"/>
    <w:rsid w:val="00FF47AD"/>
    <w:rsid w:val="00FF6875"/>
    <w:rsid w:val="00FF698C"/>
    <w:rsid w:val="01C0753F"/>
    <w:rsid w:val="01DF3BCD"/>
    <w:rsid w:val="02DC7E6F"/>
    <w:rsid w:val="036363D4"/>
    <w:rsid w:val="046B46E9"/>
    <w:rsid w:val="065D35AE"/>
    <w:rsid w:val="0DD63D0F"/>
    <w:rsid w:val="0E9D6C3E"/>
    <w:rsid w:val="11A43849"/>
    <w:rsid w:val="13E32048"/>
    <w:rsid w:val="14DE1D5E"/>
    <w:rsid w:val="15194B44"/>
    <w:rsid w:val="1562473D"/>
    <w:rsid w:val="168B172F"/>
    <w:rsid w:val="18041ADC"/>
    <w:rsid w:val="1831797E"/>
    <w:rsid w:val="193A5194"/>
    <w:rsid w:val="1A674BDF"/>
    <w:rsid w:val="1A9428EF"/>
    <w:rsid w:val="1B78507E"/>
    <w:rsid w:val="1BC72B84"/>
    <w:rsid w:val="1BE560E6"/>
    <w:rsid w:val="1BF34341"/>
    <w:rsid w:val="1CFA4C43"/>
    <w:rsid w:val="1DE1641B"/>
    <w:rsid w:val="1EC64038"/>
    <w:rsid w:val="1FD44EAF"/>
    <w:rsid w:val="226A312B"/>
    <w:rsid w:val="237E7350"/>
    <w:rsid w:val="23E6212B"/>
    <w:rsid w:val="249B7324"/>
    <w:rsid w:val="27554102"/>
    <w:rsid w:val="2AAB228B"/>
    <w:rsid w:val="2EAC6B31"/>
    <w:rsid w:val="2FB120F1"/>
    <w:rsid w:val="3010416A"/>
    <w:rsid w:val="306727B0"/>
    <w:rsid w:val="33941B0E"/>
    <w:rsid w:val="341366EE"/>
    <w:rsid w:val="344E0885"/>
    <w:rsid w:val="346536E2"/>
    <w:rsid w:val="346D235F"/>
    <w:rsid w:val="350902DA"/>
    <w:rsid w:val="36084C56"/>
    <w:rsid w:val="371B60A2"/>
    <w:rsid w:val="3DDA15F6"/>
    <w:rsid w:val="42BB4E40"/>
    <w:rsid w:val="42C302C0"/>
    <w:rsid w:val="469220DA"/>
    <w:rsid w:val="46DF0E9A"/>
    <w:rsid w:val="473431F0"/>
    <w:rsid w:val="479946A0"/>
    <w:rsid w:val="4ABA5EA6"/>
    <w:rsid w:val="4B6225A1"/>
    <w:rsid w:val="4EC62B4D"/>
    <w:rsid w:val="4F480D71"/>
    <w:rsid w:val="4FAF6015"/>
    <w:rsid w:val="5068107F"/>
    <w:rsid w:val="53530C46"/>
    <w:rsid w:val="57322F93"/>
    <w:rsid w:val="57E97DCB"/>
    <w:rsid w:val="59955A5E"/>
    <w:rsid w:val="5C4F0418"/>
    <w:rsid w:val="5D7F6ADB"/>
    <w:rsid w:val="5D90649A"/>
    <w:rsid w:val="60BF126D"/>
    <w:rsid w:val="60E92BEA"/>
    <w:rsid w:val="61130B95"/>
    <w:rsid w:val="61B054B5"/>
    <w:rsid w:val="6202665D"/>
    <w:rsid w:val="6267026A"/>
    <w:rsid w:val="634E7545"/>
    <w:rsid w:val="65E939E0"/>
    <w:rsid w:val="6AB46016"/>
    <w:rsid w:val="6B1250E8"/>
    <w:rsid w:val="6B7B638D"/>
    <w:rsid w:val="6C2C7E2E"/>
    <w:rsid w:val="6CB735FA"/>
    <w:rsid w:val="6D334430"/>
    <w:rsid w:val="6DC25990"/>
    <w:rsid w:val="6E0914B1"/>
    <w:rsid w:val="6E804994"/>
    <w:rsid w:val="6FBD11E4"/>
    <w:rsid w:val="6FD56C68"/>
    <w:rsid w:val="6FE07AD8"/>
    <w:rsid w:val="71BB5EDC"/>
    <w:rsid w:val="71F50183"/>
    <w:rsid w:val="73487C44"/>
    <w:rsid w:val="75470D27"/>
    <w:rsid w:val="76200A04"/>
    <w:rsid w:val="76775D2C"/>
    <w:rsid w:val="76D703E9"/>
    <w:rsid w:val="78B61821"/>
    <w:rsid w:val="7B3233E2"/>
    <w:rsid w:val="7DB33A33"/>
    <w:rsid w:val="7E1E0F06"/>
    <w:rsid w:val="7E296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99"/>
    <w:pPr>
      <w:jc w:val="left"/>
    </w:pPr>
  </w:style>
  <w:style w:type="paragraph" w:styleId="3">
    <w:name w:val="Plain Text"/>
    <w:basedOn w:val="1"/>
    <w:link w:val="16"/>
    <w:qFormat/>
    <w:uiPriority w:val="0"/>
    <w:rPr>
      <w:rFonts w:ascii="宋体" w:hAnsi="Courier New" w:cstheme="minorBidi"/>
      <w:szCs w:val="22"/>
    </w:rPr>
  </w:style>
  <w:style w:type="paragraph" w:styleId="4">
    <w:name w:val="Balloon Text"/>
    <w:basedOn w:val="1"/>
    <w:link w:val="24"/>
    <w:semiHidden/>
    <w:unhideWhenUsed/>
    <w:qFormat/>
    <w:uiPriority w:val="99"/>
    <w:rPr>
      <w:sz w:val="18"/>
      <w:szCs w:val="18"/>
    </w:rPr>
  </w:style>
  <w:style w:type="paragraph" w:styleId="5">
    <w:name w:val="footer"/>
    <w:basedOn w:val="1"/>
    <w:link w:val="17"/>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8"/>
    <w:qFormat/>
    <w:uiPriority w:val="0"/>
    <w:pPr>
      <w:spacing w:before="240" w:after="60"/>
      <w:jc w:val="center"/>
      <w:outlineLvl w:val="0"/>
    </w:pPr>
    <w:rPr>
      <w:rFonts w:ascii="Arial" w:hAnsi="Arial" w:cs="Arial"/>
      <w:b/>
      <w:bCs/>
      <w:sz w:val="32"/>
      <w:szCs w:val="32"/>
    </w:rPr>
  </w:style>
  <w:style w:type="paragraph" w:styleId="8">
    <w:name w:val="annotation subject"/>
    <w:basedOn w:val="2"/>
    <w:next w:val="2"/>
    <w:link w:val="27"/>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Emphasis"/>
    <w:basedOn w:val="11"/>
    <w:qFormat/>
    <w:uiPriority w:val="20"/>
    <w:rPr>
      <w:i/>
      <w:iCs/>
    </w:rPr>
  </w:style>
  <w:style w:type="character" w:styleId="14">
    <w:name w:val="Hyperlink"/>
    <w:basedOn w:val="11"/>
    <w:semiHidden/>
    <w:unhideWhenUsed/>
    <w:qFormat/>
    <w:uiPriority w:val="99"/>
    <w:rPr>
      <w:color w:val="0000FF"/>
      <w:u w:val="single"/>
    </w:rPr>
  </w:style>
  <w:style w:type="character" w:styleId="15">
    <w:name w:val="annotation reference"/>
    <w:basedOn w:val="11"/>
    <w:semiHidden/>
    <w:unhideWhenUsed/>
    <w:qFormat/>
    <w:uiPriority w:val="99"/>
    <w:rPr>
      <w:sz w:val="21"/>
      <w:szCs w:val="21"/>
    </w:rPr>
  </w:style>
  <w:style w:type="character" w:customStyle="1" w:styleId="16">
    <w:name w:val="纯文本 字符"/>
    <w:link w:val="3"/>
    <w:qFormat/>
    <w:uiPriority w:val="0"/>
    <w:rPr>
      <w:rFonts w:ascii="宋体" w:hAnsi="Courier New" w:eastAsia="宋体"/>
    </w:rPr>
  </w:style>
  <w:style w:type="character" w:customStyle="1" w:styleId="17">
    <w:name w:val="页脚 字符"/>
    <w:link w:val="5"/>
    <w:qFormat/>
    <w:uiPriority w:val="0"/>
    <w:rPr>
      <w:sz w:val="18"/>
    </w:rPr>
  </w:style>
  <w:style w:type="character" w:customStyle="1" w:styleId="18">
    <w:name w:val="标题 字符"/>
    <w:link w:val="7"/>
    <w:qFormat/>
    <w:uiPriority w:val="0"/>
    <w:rPr>
      <w:rFonts w:ascii="Arial" w:hAnsi="Arial" w:eastAsia="宋体" w:cs="Arial"/>
      <w:b/>
      <w:bCs/>
      <w:sz w:val="32"/>
      <w:szCs w:val="32"/>
    </w:rPr>
  </w:style>
  <w:style w:type="character" w:customStyle="1" w:styleId="19">
    <w:name w:val="页脚 Char"/>
    <w:basedOn w:val="11"/>
    <w:semiHidden/>
    <w:qFormat/>
    <w:uiPriority w:val="99"/>
    <w:rPr>
      <w:rFonts w:ascii="Times New Roman" w:hAnsi="Times New Roman" w:eastAsia="宋体" w:cs="Times New Roman"/>
      <w:sz w:val="18"/>
      <w:szCs w:val="18"/>
    </w:rPr>
  </w:style>
  <w:style w:type="character" w:customStyle="1" w:styleId="20">
    <w:name w:val="标题 Char"/>
    <w:basedOn w:val="11"/>
    <w:qFormat/>
    <w:uiPriority w:val="10"/>
    <w:rPr>
      <w:rFonts w:eastAsia="宋体" w:asciiTheme="majorHAnsi" w:hAnsiTheme="majorHAnsi" w:cstheme="majorBidi"/>
      <w:b/>
      <w:bCs/>
      <w:sz w:val="32"/>
      <w:szCs w:val="32"/>
    </w:rPr>
  </w:style>
  <w:style w:type="character" w:customStyle="1" w:styleId="21">
    <w:name w:val="纯文本 Char"/>
    <w:basedOn w:val="11"/>
    <w:semiHidden/>
    <w:qFormat/>
    <w:uiPriority w:val="99"/>
    <w:rPr>
      <w:rFonts w:ascii="宋体" w:hAnsi="Courier New" w:eastAsia="宋体" w:cs="Courier New"/>
      <w:szCs w:val="21"/>
    </w:rPr>
  </w:style>
  <w:style w:type="character" w:customStyle="1" w:styleId="22">
    <w:name w:val="页眉 字符"/>
    <w:basedOn w:val="11"/>
    <w:link w:val="6"/>
    <w:qFormat/>
    <w:uiPriority w:val="99"/>
    <w:rPr>
      <w:rFonts w:ascii="Times New Roman" w:hAnsi="Times New Roman" w:eastAsia="宋体" w:cs="Times New Roman"/>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1"/>
    <w:link w:val="4"/>
    <w:semiHidden/>
    <w:qFormat/>
    <w:uiPriority w:val="99"/>
    <w:rPr>
      <w:rFonts w:ascii="Times New Roman" w:hAnsi="Times New Roman" w:eastAsia="宋体" w:cs="Times New Roman"/>
      <w:sz w:val="18"/>
      <w:szCs w:val="18"/>
    </w:rPr>
  </w:style>
  <w:style w:type="paragraph" w:customStyle="1" w:styleId="25">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6">
    <w:name w:val="批注文字 字符"/>
    <w:basedOn w:val="11"/>
    <w:link w:val="2"/>
    <w:semiHidden/>
    <w:qFormat/>
    <w:uiPriority w:val="99"/>
    <w:rPr>
      <w:rFonts w:ascii="Times New Roman" w:hAnsi="Times New Roman" w:eastAsia="宋体" w:cs="Times New Roman"/>
      <w:kern w:val="2"/>
      <w:sz w:val="21"/>
    </w:rPr>
  </w:style>
  <w:style w:type="character" w:customStyle="1" w:styleId="27">
    <w:name w:val="批注主题 字符"/>
    <w:basedOn w:val="26"/>
    <w:link w:val="8"/>
    <w:semiHidden/>
    <w:qFormat/>
    <w:uiPriority w:val="99"/>
    <w:rPr>
      <w:rFonts w:ascii="Times New Roman" w:hAnsi="Times New Roman" w:eastAsia="宋体" w:cs="Times New Roman"/>
      <w:b/>
      <w:bCs/>
      <w:kern w:val="2"/>
      <w:sz w:val="21"/>
    </w:rPr>
  </w:style>
  <w:style w:type="paragraph" w:customStyle="1" w:styleId="28">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4816</Words>
  <Characters>5550</Characters>
  <Lines>40</Lines>
  <Paragraphs>11</Paragraphs>
  <TotalTime>51</TotalTime>
  <ScaleCrop>false</ScaleCrop>
  <LinksUpToDate>false</LinksUpToDate>
  <CharactersWithSpaces>6028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侯媚</cp:lastModifiedBy>
  <dcterms:modified xsi:type="dcterms:W3CDTF">2026-05-28T07:45:28Z</dcterms:modified>
  <cp:revision>753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FD47254428C546C79753499200788EBF</vt:lpwstr>
  </property>
  <property fmtid="{D5CDD505-2E9C-101B-9397-08002B2CF9AE}" pid="4" name="KSOTemplateDocerSaveRecord">
    <vt:lpwstr>eyJoZGlkIjoiMmViMjU5Y2FlYTM0YWM0MDY1Nzg3ODU4MmYzN2IzMjUiLCJ1c2VySWQiOiI1MDk1NzgwNzkifQ==</vt:lpwstr>
  </property>
</Properties>
</file>