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sz w:val="36"/>
        </w:rPr>
      </w:pPr>
      <w:bookmarkStart w:id="0" w:name="_Toc38367762"/>
      <w:r>
        <w:rPr>
          <w:rFonts w:hint="eastAsia" w:ascii="宋体" w:hAnsi="宋体"/>
          <w:sz w:val="36"/>
        </w:rPr>
        <w:t>【多模态融合与分析处理芯片后端物理设计】</w:t>
      </w:r>
      <w:r>
        <w:rPr>
          <w:rFonts w:ascii="宋体" w:hAnsi="宋体"/>
          <w:sz w:val="36"/>
        </w:rPr>
        <w:t>采购需求</w:t>
      </w:r>
      <w:bookmarkEnd w:id="0"/>
    </w:p>
    <w:p>
      <w:pPr>
        <w:tabs>
          <w:tab w:val="left" w:pos="900"/>
        </w:tabs>
        <w:spacing w:before="156" w:beforeLines="50" w:line="360" w:lineRule="auto"/>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pPr>
        <w:widowControl/>
        <w:spacing w:line="450" w:lineRule="atLeast"/>
        <w:ind w:firstLine="585"/>
        <w:jc w:val="left"/>
        <w:textAlignment w:val="baseline"/>
        <w:rPr>
          <w:rFonts w:hAnsi="宋体"/>
          <w:szCs w:val="21"/>
        </w:rPr>
      </w:pPr>
      <w:r>
        <w:rPr>
          <w:rFonts w:hint="eastAsia" w:hAnsi="宋体"/>
          <w:szCs w:val="21"/>
        </w:rPr>
        <w:t>本外协服务主要完成面向目标识别和态势感知的多模态融合与分析可编程高端处理器的后端服务。处理器内部集成SNN处理器、矩阵处理器、特征提取与融合处理器、通用DNN</w:t>
      </w:r>
      <w:r>
        <w:rPr>
          <w:rFonts w:hint="eastAsia"/>
          <w:szCs w:val="21"/>
        </w:rPr>
        <w:t>加速器、</w:t>
      </w:r>
      <w:r>
        <w:rPr>
          <w:rFonts w:hint="eastAsia" w:hAnsi="宋体"/>
          <w:szCs w:val="21"/>
        </w:rPr>
        <w:t>多核DSP、LEON</w:t>
      </w:r>
      <w:r>
        <w:rPr>
          <w:rFonts w:hAnsi="宋体"/>
          <w:szCs w:val="21"/>
        </w:rPr>
        <w:t>3</w:t>
      </w:r>
      <w:r>
        <w:rPr>
          <w:rFonts w:hint="eastAsia" w:hAnsi="宋体"/>
          <w:szCs w:val="21"/>
        </w:rPr>
        <w:t>等处理器。芯片支持以图像为主的多源异构信息融合处理，支持Tensor Flow及Caffe数据模型，能完成多目标/小目标的快速准确识别和基于多视图的环境危险态势感知。芯片包含处理器种类多且功能复杂。为了确保芯片的质量，需要在芯片研制阶段进行充分的模块级和系统级功能验证工作。</w:t>
      </w:r>
    </w:p>
    <w:p>
      <w:pPr>
        <w:autoSpaceDE w:val="0"/>
        <w:autoSpaceDN w:val="0"/>
        <w:adjustRightInd w:val="0"/>
        <w:spacing w:before="50" w:line="360" w:lineRule="auto"/>
        <w:ind w:firstLine="420" w:firstLineChars="200"/>
        <w:rPr>
          <w:rFonts w:hAnsi="宋体"/>
          <w:color w:val="E46C0A" w:themeColor="accent6" w:themeShade="BF"/>
          <w:szCs w:val="21"/>
        </w:rPr>
      </w:pPr>
    </w:p>
    <w:p>
      <w:pPr>
        <w:tabs>
          <w:tab w:val="left" w:pos="900"/>
        </w:tabs>
        <w:spacing w:before="156" w:beforeLines="50" w:line="360" w:lineRule="auto"/>
        <w:rPr>
          <w:b/>
          <w:szCs w:val="21"/>
        </w:rPr>
      </w:pPr>
      <w:r>
        <w:rPr>
          <w:rFonts w:hAnsi="宋体"/>
          <w:b/>
          <w:szCs w:val="21"/>
        </w:rPr>
        <w:t>（二）为落实政府采购政策需满足的要求</w:t>
      </w:r>
    </w:p>
    <w:p>
      <w:pPr>
        <w:tabs>
          <w:tab w:val="left" w:pos="900"/>
        </w:tabs>
        <w:spacing w:before="156" w:beforeLines="50" w:line="360" w:lineRule="auto"/>
        <w:ind w:firstLine="420" w:firstLineChars="200"/>
        <w:rPr>
          <w:szCs w:val="21"/>
        </w:rPr>
      </w:pPr>
      <w:r>
        <w:rPr>
          <w:szCs w:val="21"/>
        </w:rPr>
        <w:t>根据《政府采购促进中小企业发展管理办法》</w:t>
      </w:r>
      <w:r>
        <w:rPr>
          <w:rFonts w:hint="eastAsia"/>
          <w:szCs w:val="21"/>
        </w:rPr>
        <w:t>（财库【2</w:t>
      </w:r>
      <w:r>
        <w:rPr>
          <w:szCs w:val="21"/>
        </w:rPr>
        <w:t>020</w:t>
      </w:r>
      <w:r>
        <w:rPr>
          <w:rFonts w:hint="eastAsia"/>
          <w:szCs w:val="21"/>
        </w:rPr>
        <w:t>】4</w:t>
      </w:r>
      <w:r>
        <w:rPr>
          <w:szCs w:val="21"/>
        </w:rPr>
        <w:t>6</w:t>
      </w:r>
      <w:r>
        <w:rPr>
          <w:rFonts w:hint="eastAsia"/>
          <w:szCs w:val="21"/>
        </w:rPr>
        <w:t>号）</w:t>
      </w:r>
      <w:r>
        <w:rPr>
          <w:szCs w:val="21"/>
        </w:rPr>
        <w:t>规定，本项目</w:t>
      </w:r>
      <w:r>
        <w:rPr>
          <w:rFonts w:hint="eastAsia"/>
          <w:szCs w:val="21"/>
        </w:rPr>
        <w:t>采购标的</w:t>
      </w:r>
      <w:r>
        <w:rPr>
          <w:szCs w:val="21"/>
        </w:rPr>
        <w:t>为</w:t>
      </w:r>
      <w:r>
        <w:rPr>
          <w:rFonts w:hint="eastAsia"/>
          <w:szCs w:val="21"/>
        </w:rPr>
        <w:t>中小</w:t>
      </w:r>
      <w:r>
        <w:rPr>
          <w:szCs w:val="21"/>
        </w:rPr>
        <w:t>型企业</w:t>
      </w:r>
      <w:r>
        <w:rPr>
          <w:rFonts w:hint="eastAsia"/>
          <w:szCs w:val="21"/>
        </w:rPr>
        <w:t>制造、承建或承接</w:t>
      </w:r>
      <w:r>
        <w:rPr>
          <w:szCs w:val="21"/>
        </w:rPr>
        <w:t>的，投标人应</w:t>
      </w:r>
      <w:r>
        <w:rPr>
          <w:rFonts w:hint="eastAsia"/>
          <w:szCs w:val="21"/>
        </w:rPr>
        <w:t>提供办法规定的</w:t>
      </w:r>
      <w:r>
        <w:rPr>
          <w:szCs w:val="21"/>
        </w:rPr>
        <w:t>《中小企业声明函》</w:t>
      </w:r>
      <w:r>
        <w:rPr>
          <w:rFonts w:hint="eastAsia"/>
          <w:szCs w:val="21"/>
        </w:rPr>
        <w:t>，否则不得享受相关中小企业扶持政策</w:t>
      </w:r>
      <w:r>
        <w:rPr>
          <w:szCs w:val="21"/>
        </w:rPr>
        <w:t>。投标人应对提交的中小企业声明函的真实性负责，提交的中小企业声明函不真实的，应承担相应的法律责任。</w:t>
      </w:r>
    </w:p>
    <w:p>
      <w:pPr>
        <w:tabs>
          <w:tab w:val="left" w:pos="900"/>
        </w:tabs>
        <w:spacing w:before="156" w:beforeLines="50" w:line="360" w:lineRule="auto"/>
        <w:ind w:firstLine="420" w:firstLineChars="200"/>
        <w:rPr>
          <w:szCs w:val="21"/>
        </w:rPr>
      </w:pPr>
      <w:r>
        <w:rPr>
          <w:rFonts w:hint="eastAsia"/>
          <w:szCs w:val="21"/>
        </w:rPr>
        <w:t>本项目采购标的对应的《中小企业划型标准规定》所属行业为：</w:t>
      </w:r>
      <w:r>
        <w:rPr>
          <w:rFonts w:hint="eastAsia"/>
          <w:szCs w:val="21"/>
          <w:u w:val="single"/>
        </w:rPr>
        <w:t xml:space="preserve"> </w:t>
      </w:r>
      <w:r>
        <w:rPr>
          <w:szCs w:val="21"/>
          <w:u w:val="single"/>
        </w:rPr>
        <w:t xml:space="preserve">软件和信息技术服务业   </w:t>
      </w:r>
      <w:r>
        <w:rPr>
          <w:rFonts w:hint="eastAsia"/>
          <w:szCs w:val="21"/>
        </w:rPr>
        <w:t>。</w:t>
      </w:r>
    </w:p>
    <w:p>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spacing w:before="156" w:beforeLines="50" w:line="360" w:lineRule="auto"/>
        <w:ind w:firstLine="420" w:firstLineChars="200"/>
        <w:rPr>
          <w:szCs w:val="21"/>
        </w:rPr>
      </w:pPr>
    </w:p>
    <w:p>
      <w:pPr>
        <w:tabs>
          <w:tab w:val="left" w:pos="900"/>
        </w:tabs>
        <w:spacing w:before="156" w:beforeLines="50" w:line="360" w:lineRule="auto"/>
        <w:rPr>
          <w:rFonts w:hAnsi="宋体"/>
          <w:b/>
          <w:szCs w:val="21"/>
        </w:rPr>
      </w:pPr>
      <w:r>
        <w:rPr>
          <w:rFonts w:hint="eastAsia" w:hAnsi="宋体"/>
          <w:b/>
          <w:szCs w:val="21"/>
        </w:rPr>
        <w:t>三、采购标的概况</w:t>
      </w:r>
    </w:p>
    <w:p>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多模态融合与分析处理芯片后端物理设计</w:t>
      </w:r>
      <w:r>
        <w:rPr>
          <w:rFonts w:ascii="宋体" w:hAnsi="宋体"/>
          <w:szCs w:val="21"/>
          <w:u w:val="single"/>
        </w:rPr>
        <w:t xml:space="preserve">                    </w:t>
      </w:r>
    </w:p>
    <w:p>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套</w:t>
      </w:r>
      <w:r>
        <w:rPr>
          <w:rFonts w:hAnsi="宋体"/>
          <w:szCs w:val="21"/>
          <w:u w:val="single"/>
        </w:rPr>
        <w:t xml:space="preserve">       </w:t>
      </w:r>
    </w:p>
    <w:p>
      <w:pPr>
        <w:spacing w:before="156" w:beforeLines="50" w:line="360" w:lineRule="auto"/>
        <w:rPr>
          <w:rFonts w:hAnsi="宋体"/>
          <w:szCs w:val="21"/>
        </w:rPr>
      </w:pPr>
      <w:r>
        <w:rPr>
          <w:rFonts w:hint="eastAsia" w:hAnsi="宋体"/>
          <w:szCs w:val="21"/>
        </w:rPr>
        <w:t>（三）最高限价：人民币</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250</w:t>
      </w:r>
      <w:r>
        <w:rPr>
          <w:rFonts w:hint="eastAsia" w:hAnsi="宋体"/>
          <w:color w:val="000000" w:themeColor="text1"/>
          <w:szCs w:val="21"/>
          <w:u w:val="single"/>
          <w14:textFill>
            <w14:solidFill>
              <w14:schemeClr w14:val="tx1"/>
            </w14:solidFill>
          </w14:textFill>
        </w:rPr>
        <w:t>万</w:t>
      </w:r>
      <w:r>
        <w:rPr>
          <w:rFonts w:hAnsi="宋体"/>
          <w:color w:val="000000" w:themeColor="text1"/>
          <w:szCs w:val="21"/>
          <w:u w:val="single"/>
          <w14:textFill>
            <w14:solidFill>
              <w14:schemeClr w14:val="tx1"/>
            </w14:solidFill>
          </w14:textFill>
        </w:rPr>
        <w:t xml:space="preserve">   </w:t>
      </w:r>
      <w:r>
        <w:rPr>
          <w:rFonts w:hAnsi="宋体"/>
          <w:szCs w:val="21"/>
        </w:rPr>
        <w:t xml:space="preserve"> </w:t>
      </w:r>
      <w:r>
        <w:rPr>
          <w:rFonts w:hint="eastAsia" w:hAnsi="宋体"/>
          <w:szCs w:val="21"/>
        </w:rPr>
        <w:t>元。</w:t>
      </w:r>
    </w:p>
    <w:p>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180  </w:t>
      </w:r>
      <w:r>
        <w:rPr>
          <w:rFonts w:hint="eastAsia" w:hAnsi="宋体"/>
        </w:rPr>
        <w:t>天内。</w:t>
      </w:r>
    </w:p>
    <w:p>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曲江校区西四楼指定地点</w:t>
      </w:r>
      <w:r>
        <w:rPr>
          <w:rFonts w:hAnsi="宋体"/>
          <w:szCs w:val="21"/>
          <w:u w:val="single"/>
        </w:rPr>
        <w:t xml:space="preserve">          </w:t>
      </w:r>
      <w:r>
        <w:rPr>
          <w:rFonts w:hint="eastAsia" w:hAnsi="宋体"/>
          <w:szCs w:val="21"/>
        </w:rPr>
        <w:t>。</w:t>
      </w:r>
    </w:p>
    <w:p>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w:t>
      </w:r>
      <w:r>
        <w:rPr>
          <w:rFonts w:hAnsi="宋体"/>
          <w:szCs w:val="21"/>
          <w:u w:val="single"/>
        </w:rPr>
        <w:t>合同签订后</w:t>
      </w:r>
      <w:r>
        <w:rPr>
          <w:rFonts w:hint="eastAsia" w:hAnsi="宋体"/>
          <w:szCs w:val="21"/>
          <w:u w:val="single"/>
        </w:rPr>
        <w:t>5个工作日内支付3</w:t>
      </w:r>
      <w:r>
        <w:rPr>
          <w:rFonts w:hAnsi="宋体"/>
          <w:szCs w:val="21"/>
          <w:u w:val="single"/>
        </w:rPr>
        <w:t>0</w:t>
      </w:r>
      <w:r>
        <w:rPr>
          <w:rFonts w:hint="eastAsia" w:hAnsi="宋体"/>
          <w:szCs w:val="21"/>
          <w:u w:val="single"/>
        </w:rPr>
        <w:t>%；货到验收合格后支付6</w:t>
      </w:r>
      <w:r>
        <w:rPr>
          <w:rFonts w:hAnsi="宋体"/>
          <w:szCs w:val="21"/>
          <w:u w:val="single"/>
        </w:rPr>
        <w:t>0</w:t>
      </w:r>
      <w:r>
        <w:rPr>
          <w:rFonts w:hint="eastAsia" w:hAnsi="宋体"/>
          <w:szCs w:val="21"/>
          <w:u w:val="single"/>
        </w:rPr>
        <w:t>%；质保期满后十个工作日内支付1</w:t>
      </w:r>
      <w:r>
        <w:rPr>
          <w:rFonts w:hAnsi="宋体"/>
          <w:szCs w:val="21"/>
          <w:u w:val="single"/>
        </w:rPr>
        <w:t>0</w:t>
      </w:r>
      <w:r>
        <w:rPr>
          <w:rFonts w:hint="eastAsia" w:hAnsi="宋体"/>
          <w:szCs w:val="21"/>
          <w:u w:val="single"/>
        </w:rPr>
        <w:t>%。</w:t>
      </w:r>
      <w:r>
        <w:rPr>
          <w:rFonts w:hAnsi="宋体"/>
          <w:szCs w:val="21"/>
          <w:u w:val="single"/>
        </w:rPr>
        <w:t xml:space="preserve">                   </w:t>
      </w:r>
      <w:r>
        <w:rPr>
          <w:rFonts w:hint="eastAsia" w:hAnsi="宋体"/>
          <w:szCs w:val="21"/>
        </w:rPr>
        <w:t>。</w:t>
      </w:r>
    </w:p>
    <w:p>
      <w:pPr>
        <w:tabs>
          <w:tab w:val="left" w:pos="900"/>
        </w:tabs>
        <w:spacing w:before="156" w:beforeLines="50" w:line="360" w:lineRule="auto"/>
        <w:rPr>
          <w:rFonts w:hAnsi="宋体"/>
          <w:color w:val="E46C0A" w:themeColor="accent6" w:themeShade="BF"/>
          <w:szCs w:val="21"/>
        </w:rPr>
      </w:pPr>
    </w:p>
    <w:p>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pPr>
        <w:tabs>
          <w:tab w:val="left" w:pos="900"/>
        </w:tabs>
        <w:spacing w:before="156" w:beforeLines="50" w:line="360" w:lineRule="auto"/>
        <w:ind w:firstLine="420" w:firstLineChars="200"/>
        <w:rPr>
          <w:szCs w:val="21"/>
        </w:rPr>
      </w:pPr>
      <w:r>
        <w:rPr>
          <w:rFonts w:hint="eastAsia"/>
          <w:szCs w:val="21"/>
        </w:rPr>
        <w:t>（带*指标为关键指标，必须</w:t>
      </w:r>
      <w:r>
        <w:rPr>
          <w:szCs w:val="21"/>
        </w:rPr>
        <w:t>满足</w:t>
      </w:r>
      <w:r>
        <w:rPr>
          <w:rFonts w:hint="eastAsia"/>
          <w:szCs w:val="21"/>
        </w:rPr>
        <w:t>，如若不满足将导致无效投标）</w:t>
      </w:r>
    </w:p>
    <w:p>
      <w:pPr>
        <w:tabs>
          <w:tab w:val="left" w:pos="900"/>
        </w:tabs>
        <w:spacing w:before="156" w:beforeLines="50" w:line="360" w:lineRule="auto"/>
        <w:ind w:firstLine="420" w:firstLineChars="200"/>
        <w:rPr>
          <w:szCs w:val="21"/>
        </w:rPr>
      </w:pPr>
      <w:r>
        <w:rPr>
          <w:szCs w:val="21"/>
        </w:rPr>
        <w:t>1.功能性需求：</w:t>
      </w:r>
    </w:p>
    <w:p>
      <w:pPr>
        <w:tabs>
          <w:tab w:val="left" w:pos="900"/>
        </w:tabs>
        <w:spacing w:before="156" w:beforeLines="50" w:line="360" w:lineRule="auto"/>
        <w:ind w:firstLine="420" w:firstLineChars="200"/>
        <w:rPr>
          <w:szCs w:val="21"/>
        </w:rPr>
      </w:pPr>
      <w:r>
        <w:rPr>
          <w:rFonts w:hint="eastAsia"/>
          <w:szCs w:val="21"/>
        </w:rPr>
        <w:t>*（1）完整的模块级后端设计：</w:t>
      </w:r>
      <w:r>
        <w:rPr>
          <w:rFonts w:hint="eastAsia" w:hAnsi="宋体"/>
          <w:szCs w:val="21"/>
        </w:rPr>
        <w:t>SNN处理器、矩阵处理器、特征提取与融合处理器、通用DNN</w:t>
      </w:r>
      <w:r>
        <w:rPr>
          <w:rFonts w:hint="eastAsia"/>
          <w:szCs w:val="21"/>
        </w:rPr>
        <w:t>加速器、</w:t>
      </w:r>
      <w:r>
        <w:rPr>
          <w:rFonts w:hint="eastAsia" w:hAnsi="宋体"/>
          <w:szCs w:val="21"/>
        </w:rPr>
        <w:t>多核DSP、LEON</w:t>
      </w:r>
      <w:r>
        <w:rPr>
          <w:rFonts w:hAnsi="宋体"/>
          <w:szCs w:val="21"/>
        </w:rPr>
        <w:t>3</w:t>
      </w:r>
      <w:r>
        <w:rPr>
          <w:rFonts w:hint="eastAsia"/>
          <w:szCs w:val="21"/>
        </w:rPr>
        <w:t>、2个ISP的后端工作；</w:t>
      </w:r>
    </w:p>
    <w:p>
      <w:pPr>
        <w:tabs>
          <w:tab w:val="left" w:pos="900"/>
        </w:tabs>
        <w:spacing w:before="156" w:beforeLines="50" w:line="360" w:lineRule="auto"/>
        <w:ind w:firstLine="420" w:firstLineChars="200"/>
        <w:rPr>
          <w:szCs w:val="21"/>
        </w:rPr>
      </w:pPr>
      <w:r>
        <w:rPr>
          <w:rFonts w:hint="eastAsia"/>
          <w:szCs w:val="21"/>
        </w:rPr>
        <w:t>*（2）辅助设计：配合前端、综合和DFT的相关设计和工作；</w:t>
      </w:r>
    </w:p>
    <w:p>
      <w:pPr>
        <w:tabs>
          <w:tab w:val="left" w:pos="900"/>
        </w:tabs>
        <w:spacing w:before="156" w:beforeLines="50" w:line="360" w:lineRule="auto"/>
        <w:ind w:firstLine="420" w:firstLineChars="200"/>
        <w:rPr>
          <w:szCs w:val="21"/>
        </w:rPr>
      </w:pPr>
      <w:r>
        <w:rPr>
          <w:rFonts w:hint="eastAsia"/>
          <w:szCs w:val="21"/>
        </w:rPr>
        <w:t>*（3）完整的后端设计：布局布线、寄生参数提取、静态时序分析及其收敛、物理验证及其收敛、形式验证；</w:t>
      </w:r>
    </w:p>
    <w:p>
      <w:pPr>
        <w:tabs>
          <w:tab w:val="left" w:pos="900"/>
        </w:tabs>
        <w:spacing w:before="156" w:beforeLines="50" w:line="360" w:lineRule="auto"/>
        <w:ind w:firstLine="420" w:firstLineChars="200"/>
        <w:rPr>
          <w:szCs w:val="21"/>
        </w:rPr>
      </w:pPr>
      <w:r>
        <w:rPr>
          <w:szCs w:val="21"/>
        </w:rPr>
        <w:t>2.</w:t>
      </w:r>
      <w:r>
        <w:rPr>
          <w:rFonts w:hint="eastAsia"/>
          <w:szCs w:val="21"/>
        </w:rPr>
        <w:t>技术指标</w:t>
      </w:r>
      <w:r>
        <w:rPr>
          <w:szCs w:val="21"/>
        </w:rPr>
        <w:t>：</w:t>
      </w:r>
    </w:p>
    <w:p>
      <w:pPr>
        <w:tabs>
          <w:tab w:val="left" w:pos="900"/>
        </w:tabs>
        <w:spacing w:before="156" w:beforeLines="50" w:line="360" w:lineRule="auto"/>
        <w:ind w:firstLine="420" w:firstLineChars="200"/>
        <w:rPr>
          <w:szCs w:val="21"/>
        </w:rPr>
      </w:pPr>
      <w:r>
        <w:rPr>
          <w:rFonts w:hint="eastAsia"/>
          <w:szCs w:val="21"/>
        </w:rPr>
        <w:t>（1）基于UMC</w:t>
      </w:r>
      <w:r>
        <w:rPr>
          <w:szCs w:val="21"/>
        </w:rPr>
        <w:t xml:space="preserve"> 28</w:t>
      </w:r>
      <w:r>
        <w:rPr>
          <w:rFonts w:hint="eastAsia"/>
          <w:szCs w:val="21"/>
        </w:rPr>
        <w:t>nm工艺；</w:t>
      </w:r>
    </w:p>
    <w:p>
      <w:pPr>
        <w:tabs>
          <w:tab w:val="left" w:pos="900"/>
        </w:tabs>
        <w:spacing w:before="156" w:beforeLines="50" w:line="360" w:lineRule="auto"/>
        <w:ind w:firstLine="420" w:firstLineChars="200"/>
        <w:rPr>
          <w:szCs w:val="21"/>
        </w:rPr>
      </w:pPr>
      <w:r>
        <w:rPr>
          <w:rFonts w:hint="eastAsia"/>
          <w:szCs w:val="21"/>
        </w:rPr>
        <w:t>（2）完成工作主频不小于</w:t>
      </w:r>
      <w:r>
        <w:rPr>
          <w:szCs w:val="21"/>
        </w:rPr>
        <w:t>4</w:t>
      </w:r>
      <w:r>
        <w:rPr>
          <w:rFonts w:hint="eastAsia"/>
          <w:szCs w:val="21"/>
        </w:rPr>
        <w:t>00MHz；</w:t>
      </w:r>
    </w:p>
    <w:p>
      <w:pPr>
        <w:tabs>
          <w:tab w:val="left" w:pos="900"/>
        </w:tabs>
        <w:spacing w:before="156" w:beforeLines="50" w:line="360" w:lineRule="auto"/>
        <w:ind w:firstLine="420" w:firstLineChars="200"/>
        <w:rPr>
          <w:szCs w:val="21"/>
        </w:rPr>
      </w:pPr>
      <w:r>
        <w:rPr>
          <w:rFonts w:hint="eastAsia"/>
          <w:szCs w:val="21"/>
        </w:rPr>
        <w:t>（3）多次的网表迭代的后端物理设计，确保后端网表为最终版设计网表。</w:t>
      </w:r>
    </w:p>
    <w:p>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pPr>
        <w:numPr>
          <w:ilvl w:val="0"/>
          <w:numId w:val="1"/>
        </w:numPr>
        <w:tabs>
          <w:tab w:val="left" w:pos="900"/>
        </w:tabs>
        <w:spacing w:before="156" w:beforeLines="50" w:line="360" w:lineRule="auto"/>
        <w:rPr>
          <w:rFonts w:hAnsi="宋体"/>
          <w:szCs w:val="21"/>
        </w:rPr>
      </w:pPr>
      <w:r>
        <w:rPr>
          <w:rFonts w:hint="eastAsia" w:hAnsi="宋体"/>
          <w:szCs w:val="21"/>
        </w:rPr>
        <w:t xml:space="preserve">质保期： </w:t>
      </w:r>
      <w:r>
        <w:rPr>
          <w:rFonts w:hAnsi="宋体"/>
          <w:szCs w:val="21"/>
          <w:u w:val="single"/>
        </w:rPr>
        <w:t xml:space="preserve">  </w:t>
      </w:r>
      <w:r>
        <w:rPr>
          <w:rFonts w:hint="eastAsia" w:hAnsi="宋体"/>
          <w:szCs w:val="21"/>
          <w:u w:val="single"/>
        </w:rPr>
        <w:t>≥3年</w:t>
      </w:r>
      <w:r>
        <w:rPr>
          <w:rFonts w:hAnsi="宋体"/>
          <w:szCs w:val="21"/>
          <w:u w:val="single"/>
        </w:rPr>
        <w:t xml:space="preserve">   </w:t>
      </w:r>
      <w:r>
        <w:rPr>
          <w:rFonts w:hint="eastAsia" w:hAnsi="宋体"/>
          <w:szCs w:val="21"/>
        </w:rPr>
        <w:t>年。质保期满后，仍需提供专业维修服务，投标人在投标文件中需注明维修服务单项报价。</w:t>
      </w:r>
    </w:p>
    <w:p>
      <w:pPr>
        <w:numPr>
          <w:ilvl w:val="0"/>
          <w:numId w:val="1"/>
        </w:numPr>
        <w:tabs>
          <w:tab w:val="left" w:pos="900"/>
        </w:tabs>
        <w:spacing w:before="156" w:beforeLines="50" w:line="360" w:lineRule="auto"/>
        <w:rPr>
          <w:rFonts w:hAnsi="宋体"/>
          <w:szCs w:val="21"/>
        </w:rPr>
      </w:pPr>
      <w:r>
        <w:rPr>
          <w:rFonts w:hint="eastAsia" w:hAnsi="宋体"/>
          <w:szCs w:val="21"/>
        </w:rPr>
        <w:t>服务响应时间：</w:t>
      </w:r>
      <w:r>
        <w:rPr>
          <w:rFonts w:hint="eastAsia"/>
          <w:szCs w:val="21"/>
        </w:rPr>
        <w:t>中标人</w:t>
      </w:r>
      <w:r>
        <w:rPr>
          <w:szCs w:val="21"/>
        </w:rPr>
        <w:t>免费提供技术支持热线电话。</w:t>
      </w:r>
      <w:r>
        <w:rPr>
          <w:rFonts w:hint="eastAsia"/>
          <w:szCs w:val="21"/>
        </w:rPr>
        <w:t>中标人</w:t>
      </w:r>
      <w:r>
        <w:rPr>
          <w:szCs w:val="21"/>
        </w:rPr>
        <w:t>免费提供email技术支持，并且在24小时内回复。</w:t>
      </w:r>
      <w:r>
        <w:rPr>
          <w:rFonts w:hint="eastAsia"/>
          <w:szCs w:val="21"/>
        </w:rPr>
        <w:t>中标人</w:t>
      </w:r>
      <w:r>
        <w:rPr>
          <w:szCs w:val="21"/>
        </w:rPr>
        <w:t>提供</w:t>
      </w:r>
      <w:r>
        <w:rPr>
          <w:rFonts w:hint="eastAsia"/>
          <w:szCs w:val="21"/>
        </w:rPr>
        <w:t>验证服务期限为：从交付日期起至流片回片后半年</w:t>
      </w:r>
      <w:r>
        <w:rPr>
          <w:szCs w:val="21"/>
        </w:rPr>
        <w:t>（</w:t>
      </w:r>
      <w:r>
        <w:rPr>
          <w:rFonts w:hint="eastAsia"/>
          <w:szCs w:val="21"/>
        </w:rPr>
        <w:t>技术服务</w:t>
      </w:r>
      <w:r>
        <w:rPr>
          <w:szCs w:val="21"/>
        </w:rPr>
        <w:t>人员的路费、食宿</w:t>
      </w:r>
      <w:r>
        <w:rPr>
          <w:rFonts w:hint="eastAsia"/>
          <w:szCs w:val="21"/>
        </w:rPr>
        <w:t>、通讯费</w:t>
      </w:r>
      <w:r>
        <w:rPr>
          <w:szCs w:val="21"/>
        </w:rPr>
        <w:t>等自理）。</w:t>
      </w:r>
      <w:r>
        <w:rPr>
          <w:rFonts w:hint="eastAsia"/>
          <w:szCs w:val="21"/>
        </w:rPr>
        <w:t>中标人</w:t>
      </w:r>
      <w:r>
        <w:rPr>
          <w:szCs w:val="21"/>
        </w:rPr>
        <w:t>提供</w:t>
      </w:r>
      <w:r>
        <w:rPr>
          <w:rFonts w:hint="eastAsia"/>
          <w:szCs w:val="21"/>
        </w:rPr>
        <w:t>验证环境和工具的</w:t>
      </w:r>
      <w:r>
        <w:rPr>
          <w:szCs w:val="21"/>
        </w:rPr>
        <w:t>使用说明书，并指导在使用该</w:t>
      </w:r>
      <w:r>
        <w:rPr>
          <w:rFonts w:hint="eastAsia"/>
          <w:szCs w:val="21"/>
        </w:rPr>
        <w:t>环境和工具</w:t>
      </w:r>
      <w:r>
        <w:rPr>
          <w:szCs w:val="21"/>
        </w:rPr>
        <w:t>时的注意</w:t>
      </w:r>
      <w:r>
        <w:rPr>
          <w:rFonts w:hint="eastAsia"/>
          <w:szCs w:val="21"/>
        </w:rPr>
        <w:t>事项。</w:t>
      </w:r>
    </w:p>
    <w:p>
      <w:pPr>
        <w:numPr>
          <w:ilvl w:val="0"/>
          <w:numId w:val="1"/>
        </w:numPr>
        <w:tabs>
          <w:tab w:val="left" w:pos="900"/>
        </w:tabs>
        <w:spacing w:before="156" w:beforeLines="50" w:line="360" w:lineRule="auto"/>
        <w:rPr>
          <w:rFonts w:ascii="宋体" w:hAnsi="宋体"/>
          <w:b/>
          <w:szCs w:val="21"/>
        </w:rPr>
      </w:pPr>
      <w:r>
        <w:rPr>
          <w:rFonts w:hAnsi="宋体"/>
          <w:szCs w:val="21"/>
        </w:rPr>
        <w:t>培训</w:t>
      </w:r>
      <w:r>
        <w:rPr>
          <w:rFonts w:hint="eastAsia" w:hAnsi="宋体"/>
          <w:szCs w:val="21"/>
        </w:rPr>
        <w:t>要求：</w:t>
      </w:r>
      <w:r>
        <w:rPr>
          <w:rFonts w:hint="eastAsia"/>
          <w:szCs w:val="21"/>
        </w:rPr>
        <w:t>搭建基于UVM+C的系统级验证环境，提供系统验证环境的使用说明。提供模块验证技术支持，包括：模块验证的需求编写、环境建立、常规脚本编写和验证过程等环节的指导，中标人</w:t>
      </w:r>
      <w:r>
        <w:rPr>
          <w:szCs w:val="21"/>
        </w:rPr>
        <w:t>负责对</w:t>
      </w:r>
      <w:r>
        <w:rPr>
          <w:rFonts w:hint="eastAsia"/>
          <w:szCs w:val="21"/>
        </w:rPr>
        <w:t>采购人</w:t>
      </w:r>
      <w:r>
        <w:rPr>
          <w:szCs w:val="21"/>
        </w:rPr>
        <w:t>提供</w:t>
      </w:r>
      <w:r>
        <w:rPr>
          <w:rFonts w:hint="eastAsia"/>
          <w:szCs w:val="21"/>
        </w:rPr>
        <w:t>不少于</w:t>
      </w:r>
      <w:r>
        <w:rPr>
          <w:szCs w:val="21"/>
        </w:rPr>
        <w:t>60</w:t>
      </w:r>
      <w:r>
        <w:rPr>
          <w:rFonts w:hint="eastAsia"/>
          <w:szCs w:val="21"/>
        </w:rPr>
        <w:t>小时的验证培训，</w:t>
      </w:r>
      <w:r>
        <w:rPr>
          <w:szCs w:val="21"/>
        </w:rPr>
        <w:t>以便工作人员在培训后能熟练地掌握系统的</w:t>
      </w:r>
      <w:r>
        <w:rPr>
          <w:rFonts w:hint="eastAsia"/>
          <w:szCs w:val="21"/>
        </w:rPr>
        <w:t>验证环境使用和</w:t>
      </w:r>
      <w:r>
        <w:rPr>
          <w:szCs w:val="21"/>
        </w:rPr>
        <w:t>维护工作，</w:t>
      </w:r>
      <w:r>
        <w:rPr>
          <w:rFonts w:hint="eastAsia"/>
          <w:szCs w:val="21"/>
        </w:rPr>
        <w:t>更好的推进项目。</w:t>
      </w:r>
    </w:p>
    <w:p>
      <w:pPr>
        <w:numPr>
          <w:ilvl w:val="0"/>
          <w:numId w:val="1"/>
        </w:numPr>
        <w:tabs>
          <w:tab w:val="left" w:pos="900"/>
        </w:tabs>
        <w:spacing w:before="156" w:beforeLines="50" w:line="360" w:lineRule="auto"/>
        <w:rPr>
          <w:rFonts w:ascii="宋体" w:hAnsi="宋体"/>
          <w:b/>
          <w:szCs w:val="21"/>
        </w:rPr>
      </w:pPr>
      <w:r>
        <w:rPr>
          <w:rFonts w:hint="eastAsia"/>
          <w:szCs w:val="21"/>
        </w:rPr>
        <w:t>其他服务要求：中标人具备自有的芯片设计研发平台，支持设计、验证、后端、版图等芯片研发全流程工作需要。</w:t>
      </w:r>
    </w:p>
    <w:p>
      <w:pPr>
        <w:tabs>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履约验收方案</w:t>
      </w:r>
      <w:bookmarkStart w:id="4" w:name="_GoBack"/>
      <w:bookmarkEnd w:id="4"/>
    </w:p>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242"/>
        <w:gridCol w:w="4207"/>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widowControl/>
              <w:spacing w:line="450" w:lineRule="atLeas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验收主体</w:t>
            </w:r>
          </w:p>
        </w:tc>
        <w:tc>
          <w:tcPr>
            <w:tcW w:w="7542" w:type="dxa"/>
            <w:gridSpan w:val="3"/>
          </w:tcPr>
          <w:p>
            <w:pPr>
              <w:widowControl/>
              <w:spacing w:line="450" w:lineRule="atLeas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西安交通大学人工智能学院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pPr>
              <w:widowControl/>
              <w:spacing w:line="450" w:lineRule="atLeast"/>
              <w:jc w:val="center"/>
              <w:textAlignment w:val="baseline"/>
              <w:rPr>
                <w:rFonts w:cs="宋体" w:asciiTheme="minorEastAsia" w:hAnsiTheme="minorEastAsia" w:eastAsiaTheme="minorEastAsia"/>
                <w:kern w:val="0"/>
                <w:szCs w:val="21"/>
              </w:rPr>
            </w:pPr>
            <w:r>
              <w:rPr>
                <w:rFonts w:cs="宋体" w:asciiTheme="minorEastAsia" w:hAnsiTheme="minorEastAsia" w:eastAsiaTheme="minorEastAsia"/>
                <w:kern w:val="0"/>
                <w:szCs w:val="21"/>
              </w:rPr>
              <w:t>现场</w:t>
            </w:r>
            <w:r>
              <w:rPr>
                <w:rFonts w:hint="eastAsia" w:cs="宋体" w:asciiTheme="minorEastAsia" w:hAnsiTheme="minorEastAsia" w:eastAsiaTheme="minorEastAsia"/>
                <w:kern w:val="0"/>
                <w:szCs w:val="21"/>
              </w:rPr>
              <w:t>验收的内容及方法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2242"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功能</w:t>
            </w:r>
            <w:r>
              <w:rPr>
                <w:rFonts w:cs="宋体" w:asciiTheme="minorEastAsia" w:hAnsiTheme="minorEastAsia" w:eastAsiaTheme="minorEastAsia"/>
                <w:kern w:val="0"/>
                <w:szCs w:val="21"/>
              </w:rPr>
              <w:t>或指标</w:t>
            </w:r>
          </w:p>
        </w:tc>
        <w:tc>
          <w:tcPr>
            <w:tcW w:w="4207"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验收方式或测试方法</w:t>
            </w:r>
          </w:p>
        </w:tc>
        <w:tc>
          <w:tcPr>
            <w:tcW w:w="1093" w:type="dxa"/>
          </w:tcPr>
          <w:p>
            <w:pPr>
              <w:widowControl/>
              <w:adjustRightInd w:val="0"/>
              <w:snapToGrid w:val="0"/>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履约情况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2242" w:type="dxa"/>
          </w:tcPr>
          <w:p>
            <w:pPr>
              <w:widowControl/>
              <w:adjustRightInd w:val="0"/>
              <w:snapToGrid w:val="0"/>
              <w:spacing w:line="288" w:lineRule="auto"/>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完整的芯片后端设计：</w:t>
            </w:r>
            <w:r>
              <w:rPr>
                <w:rFonts w:hint="eastAsia" w:hAnsi="宋体"/>
                <w:szCs w:val="21"/>
              </w:rPr>
              <w:t>SNN处理器、矩阵处理器、特征提取与融合处理器、通用DNN</w:t>
            </w:r>
            <w:r>
              <w:rPr>
                <w:rFonts w:hint="eastAsia"/>
                <w:szCs w:val="21"/>
              </w:rPr>
              <w:t>加速器、</w:t>
            </w:r>
            <w:r>
              <w:rPr>
                <w:rFonts w:hint="eastAsia" w:hAnsi="宋体"/>
                <w:szCs w:val="21"/>
              </w:rPr>
              <w:t>多核DSP、LEON</w:t>
            </w:r>
            <w:r>
              <w:rPr>
                <w:rFonts w:hAnsi="宋体"/>
                <w:szCs w:val="21"/>
              </w:rPr>
              <w:t>3</w:t>
            </w:r>
            <w:r>
              <w:rPr>
                <w:rFonts w:hint="eastAsia" w:hAnsi="宋体"/>
                <w:szCs w:val="21"/>
              </w:rPr>
              <w:t>等处理器</w:t>
            </w:r>
            <w:r>
              <w:rPr>
                <w:rFonts w:hint="eastAsia" w:cs="宋体" w:asciiTheme="minorEastAsia" w:hAnsiTheme="minorEastAsia" w:eastAsiaTheme="minorEastAsia"/>
                <w:kern w:val="0"/>
                <w:szCs w:val="21"/>
              </w:rPr>
              <w:t>。</w:t>
            </w:r>
          </w:p>
        </w:tc>
        <w:tc>
          <w:tcPr>
            <w:tcW w:w="4207" w:type="dxa"/>
          </w:tcPr>
          <w:p>
            <w:pPr>
              <w:widowControl/>
              <w:adjustRightInd w:val="0"/>
              <w:snapToGrid w:val="0"/>
              <w:spacing w:line="288" w:lineRule="auto"/>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a、中标人按照合同规定提供了全部产品及完整的技术资料；</w:t>
            </w:r>
          </w:p>
          <w:p>
            <w:pPr>
              <w:widowControl/>
              <w:adjustRightInd w:val="0"/>
              <w:snapToGrid w:val="0"/>
              <w:spacing w:line="288" w:lineRule="auto"/>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b、中标人应提出后端设计的内容、指标和方法，完成现场验收，结果符合技术性要求；</w:t>
            </w:r>
          </w:p>
          <w:p>
            <w:pPr>
              <w:widowControl/>
              <w:adjustRightInd w:val="0"/>
              <w:snapToGrid w:val="0"/>
              <w:spacing w:line="288" w:lineRule="auto"/>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c、中标人需要协助采购人完成验收报告，提供必要的技术支持和验证报告等。</w:t>
            </w:r>
          </w:p>
        </w:tc>
        <w:tc>
          <w:tcPr>
            <w:tcW w:w="1093" w:type="dxa"/>
          </w:tcPr>
          <w:p>
            <w:pPr>
              <w:widowControl/>
              <w:spacing w:line="450" w:lineRule="atLeast"/>
              <w:jc w:val="left"/>
              <w:textAlignment w:val="baseline"/>
              <w:rPr>
                <w:rFonts w:cs="宋体" w:asciiTheme="minorEastAsia" w:hAnsiTheme="minorEastAsia" w:eastAsiaTheme="minorEastAsia"/>
                <w:color w:val="E46C0A" w:themeColor="accent6" w:themeShade="B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2242" w:type="dxa"/>
          </w:tcPr>
          <w:p>
            <w:pPr>
              <w:widowControl/>
              <w:adjustRightInd w:val="0"/>
              <w:snapToGrid w:val="0"/>
              <w:spacing w:line="288" w:lineRule="auto"/>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辅助工作：配合</w:t>
            </w:r>
            <w:r>
              <w:rPr>
                <w:rFonts w:hint="eastAsia" w:hAnsi="宋体"/>
                <w:szCs w:val="21"/>
              </w:rPr>
              <w:t>SNN处理器、矩阵处理器、特征提取与融合处理器、通用DNN</w:t>
            </w:r>
            <w:r>
              <w:rPr>
                <w:rFonts w:hint="eastAsia"/>
                <w:szCs w:val="21"/>
              </w:rPr>
              <w:t>加速器、</w:t>
            </w:r>
            <w:r>
              <w:rPr>
                <w:rFonts w:hint="eastAsia" w:hAnsi="宋体"/>
                <w:szCs w:val="21"/>
              </w:rPr>
              <w:t>多核DSP、LEON</w:t>
            </w:r>
            <w:r>
              <w:rPr>
                <w:rFonts w:hAnsi="宋体"/>
                <w:szCs w:val="21"/>
              </w:rPr>
              <w:t>3</w:t>
            </w:r>
            <w:r>
              <w:rPr>
                <w:rFonts w:hint="eastAsia" w:hAnsi="宋体"/>
                <w:szCs w:val="21"/>
              </w:rPr>
              <w:t>等处理器</w:t>
            </w:r>
            <w:r>
              <w:rPr>
                <w:rFonts w:hint="eastAsia" w:cs="宋体" w:asciiTheme="minorEastAsia" w:hAnsiTheme="minorEastAsia" w:eastAsiaTheme="minorEastAsia"/>
                <w:kern w:val="0"/>
                <w:szCs w:val="21"/>
              </w:rPr>
              <w:t>的功能验证。</w:t>
            </w:r>
          </w:p>
        </w:tc>
        <w:tc>
          <w:tcPr>
            <w:tcW w:w="4207" w:type="dxa"/>
          </w:tcPr>
          <w:p>
            <w:pPr>
              <w:widowControl/>
              <w:adjustRightInd w:val="0"/>
              <w:snapToGrid w:val="0"/>
              <w:spacing w:line="288" w:lineRule="auto"/>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a、中标人根据前端设计完成现场验收，验证结果符合技术性要求。</w:t>
            </w:r>
          </w:p>
        </w:tc>
        <w:tc>
          <w:tcPr>
            <w:tcW w:w="1093" w:type="dxa"/>
          </w:tcPr>
          <w:p>
            <w:pPr>
              <w:widowControl/>
              <w:spacing w:line="450" w:lineRule="atLeast"/>
              <w:jc w:val="left"/>
              <w:textAlignment w:val="baseline"/>
              <w:rPr>
                <w:rFonts w:cs="宋体" w:asciiTheme="minorEastAsia" w:hAnsiTheme="minorEastAsia" w:eastAsiaTheme="minorEastAsia"/>
                <w:color w:val="E46C0A" w:themeColor="accent6" w:themeShade="B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2242" w:type="dxa"/>
          </w:tcPr>
          <w:p>
            <w:pPr>
              <w:widowControl/>
              <w:spacing w:line="450" w:lineRule="atLeast"/>
              <w:textAlignment w:val="baseline"/>
              <w:rPr>
                <w:rFonts w:cs="宋体" w:asciiTheme="minorEastAsia" w:hAnsiTheme="minorEastAsia"/>
                <w:kern w:val="0"/>
                <w:szCs w:val="21"/>
              </w:rPr>
            </w:pPr>
            <w:r>
              <w:rPr>
                <w:rFonts w:hint="eastAsia"/>
                <w:szCs w:val="21"/>
              </w:rPr>
              <w:t>系统集成和验证：基于AXI总线的系统集成和仿真验证。</w:t>
            </w:r>
          </w:p>
        </w:tc>
        <w:tc>
          <w:tcPr>
            <w:tcW w:w="4207" w:type="dxa"/>
          </w:tcPr>
          <w:p>
            <w:pPr>
              <w:widowControl/>
              <w:adjustRightInd w:val="0"/>
              <w:snapToGrid w:val="0"/>
              <w:spacing w:line="288" w:lineRule="auto"/>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a、完成系统集成后的完整后端工作，完成现场验收，验证结果符合技术性要求。</w:t>
            </w:r>
          </w:p>
        </w:tc>
        <w:tc>
          <w:tcPr>
            <w:tcW w:w="1093" w:type="dxa"/>
          </w:tcPr>
          <w:p>
            <w:pPr>
              <w:widowControl/>
              <w:spacing w:line="450" w:lineRule="atLeast"/>
              <w:jc w:val="left"/>
              <w:textAlignment w:val="baseline"/>
              <w:rPr>
                <w:rFonts w:cs="宋体" w:asciiTheme="minorEastAsia" w:hAnsiTheme="minorEastAsia" w:eastAsiaTheme="minorEastAsia"/>
                <w:color w:val="E46C0A" w:themeColor="accent6" w:themeShade="B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widowControl/>
              <w:spacing w:line="450" w:lineRule="atLeast"/>
              <w:jc w:val="left"/>
              <w:textAlignment w:val="baseline"/>
              <w:rPr>
                <w:rFonts w:cs="宋体" w:asciiTheme="minorEastAsia" w:hAnsiTheme="minorEastAsia" w:eastAsiaTheme="minorEastAsia"/>
                <w:kern w:val="0"/>
                <w:szCs w:val="21"/>
              </w:rPr>
            </w:pPr>
            <w:r>
              <w:rPr>
                <w:rFonts w:cs="宋体" w:asciiTheme="minorEastAsia" w:hAnsiTheme="minorEastAsia" w:eastAsiaTheme="minorEastAsia"/>
                <w:kern w:val="0"/>
                <w:szCs w:val="21"/>
              </w:rPr>
              <w:t>4</w:t>
            </w:r>
          </w:p>
        </w:tc>
        <w:tc>
          <w:tcPr>
            <w:tcW w:w="2242" w:type="dxa"/>
          </w:tcPr>
          <w:p>
            <w:pPr>
              <w:widowControl/>
              <w:spacing w:line="450" w:lineRule="atLeas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辅助工作：配合完成系统级ASIC仿真验证。</w:t>
            </w:r>
          </w:p>
        </w:tc>
        <w:tc>
          <w:tcPr>
            <w:tcW w:w="4207" w:type="dxa"/>
          </w:tcPr>
          <w:p>
            <w:pPr>
              <w:widowControl/>
              <w:adjustRightInd w:val="0"/>
              <w:snapToGrid w:val="0"/>
              <w:spacing w:line="288" w:lineRule="auto"/>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a、根据验证向量完成现场验收，验证结果符合技术性要求。</w:t>
            </w:r>
          </w:p>
        </w:tc>
        <w:tc>
          <w:tcPr>
            <w:tcW w:w="1093" w:type="dxa"/>
          </w:tcPr>
          <w:p>
            <w:pPr>
              <w:widowControl/>
              <w:spacing w:line="450" w:lineRule="atLeast"/>
              <w:jc w:val="left"/>
              <w:textAlignment w:val="baseline"/>
              <w:rPr>
                <w:rFonts w:cs="宋体" w:asciiTheme="minorEastAsia" w:hAnsiTheme="minorEastAsia" w:eastAsiaTheme="minorEastAsia"/>
                <w:color w:val="E46C0A" w:themeColor="accent6" w:themeShade="B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gridSpan w:val="2"/>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验收时是否需要</w:t>
            </w:r>
            <w:r>
              <w:rPr>
                <w:rFonts w:cs="宋体" w:asciiTheme="minorEastAsia" w:hAnsiTheme="minorEastAsia" w:eastAsiaTheme="minorEastAsia"/>
                <w:kern w:val="0"/>
                <w:szCs w:val="21"/>
              </w:rPr>
              <w:t>供应商提供样品</w:t>
            </w:r>
          </w:p>
        </w:tc>
        <w:tc>
          <w:tcPr>
            <w:tcW w:w="4207"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是□</w:t>
            </w:r>
          </w:p>
        </w:tc>
        <w:tc>
          <w:tcPr>
            <w:tcW w:w="1093"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gridSpan w:val="2"/>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验收时是否需</w:t>
            </w:r>
            <w:r>
              <w:rPr>
                <w:rFonts w:cs="宋体" w:asciiTheme="minorEastAsia" w:hAnsiTheme="minorEastAsia" w:eastAsiaTheme="minorEastAsia"/>
                <w:kern w:val="0"/>
                <w:szCs w:val="21"/>
              </w:rPr>
              <w:t>供应商提供必要的其他设备</w:t>
            </w:r>
          </w:p>
        </w:tc>
        <w:tc>
          <w:tcPr>
            <w:tcW w:w="4207"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是□</w:t>
            </w:r>
          </w:p>
        </w:tc>
        <w:tc>
          <w:tcPr>
            <w:tcW w:w="1093" w:type="dxa"/>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pPr>
              <w:widowControl/>
              <w:spacing w:line="450" w:lineRule="atLeas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除现场</w:t>
            </w:r>
            <w:r>
              <w:rPr>
                <w:rFonts w:cs="宋体" w:asciiTheme="minorEastAsia" w:hAnsiTheme="minorEastAsia" w:eastAsiaTheme="minorEastAsia"/>
                <w:kern w:val="0"/>
                <w:szCs w:val="21"/>
              </w:rPr>
              <w:t>验收外，需提供的其他验收</w:t>
            </w:r>
            <w:r>
              <w:rPr>
                <w:rFonts w:hint="eastAsia" w:cs="宋体" w:asciiTheme="minorEastAsia" w:hAnsiTheme="minorEastAsia" w:eastAsiaTheme="minorEastAsia"/>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301" w:type="dxa"/>
            <w:gridSpan w:val="2"/>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除现场验收外，是□否■需提供</w:t>
            </w:r>
            <w:r>
              <w:rPr>
                <w:rFonts w:cs="宋体" w:asciiTheme="minorEastAsia" w:hAnsiTheme="minorEastAsia" w:eastAsiaTheme="minorEastAsia"/>
                <w:kern w:val="0"/>
                <w:szCs w:val="21"/>
              </w:rPr>
              <w:t>第三方检测报告</w:t>
            </w:r>
          </w:p>
          <w:p>
            <w:pPr>
              <w:widowControl/>
              <w:spacing w:line="450" w:lineRule="atLeast"/>
              <w:jc w:val="left"/>
              <w:textAlignment w:val="baseline"/>
              <w:rPr>
                <w:rFonts w:cs="宋体" w:asciiTheme="minorEastAsia" w:hAnsiTheme="minorEastAsia" w:eastAsiaTheme="minorEastAsia"/>
                <w:kern w:val="0"/>
                <w:szCs w:val="21"/>
              </w:rPr>
            </w:pPr>
          </w:p>
        </w:tc>
        <w:tc>
          <w:tcPr>
            <w:tcW w:w="5300" w:type="dxa"/>
            <w:gridSpan w:val="2"/>
          </w:tcPr>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对于检测机构的要求：国家正规检测机构，出具的检测报告由验收复核专家认可之后作为验收复核通过的主要依据。</w:t>
            </w:r>
          </w:p>
          <w:p>
            <w:pPr>
              <w:widowControl/>
              <w:spacing w:line="450" w:lineRule="atLeast"/>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对于检测执行标准的要求：各项检测项目标准以检测机构按照行业相关要求最新适用并执行的标准为准。</w:t>
            </w:r>
          </w:p>
        </w:tc>
      </w:tr>
    </w:tbl>
    <w:p>
      <w:pPr>
        <w:tabs>
          <w:tab w:val="left" w:pos="900"/>
        </w:tabs>
        <w:spacing w:before="156" w:beforeLines="50" w:line="360" w:lineRule="auto"/>
        <w:rPr>
          <w:rFonts w:ascii="宋体" w:hAnsi="宋体"/>
          <w:b/>
          <w:color w:val="E46C0A" w:themeColor="accent6" w:themeShade="BF"/>
          <w:szCs w:val="21"/>
        </w:rPr>
      </w:pPr>
    </w:p>
    <w:bookmarkEnd w:id="1"/>
    <w:bookmarkEnd w:id="2"/>
    <w:bookmarkEnd w:id="3"/>
    <w:p>
      <w:pPr>
        <w:tabs>
          <w:tab w:val="left" w:pos="900"/>
        </w:tabs>
        <w:spacing w:before="156" w:beforeLines="50"/>
        <w:jc w:val="center"/>
        <w:rPr>
          <w:color w:val="E46C0A" w:themeColor="accent6" w:themeShade="BF"/>
          <w:szCs w:val="21"/>
        </w:rPr>
      </w:pPr>
    </w:p>
    <w:p>
      <w:pPr>
        <w:rPr>
          <w:color w:val="E46C0A" w:themeColor="accent6" w:themeShade="BF"/>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TM0N2FmNzdiMjU3ZmEwOTM0ZTY4MDI3ZTUxMTgifQ=="/>
  </w:docVars>
  <w:rsids>
    <w:rsidRoot w:val="00A161FC"/>
    <w:rsid w:val="00024762"/>
    <w:rsid w:val="000536F4"/>
    <w:rsid w:val="000F4ECF"/>
    <w:rsid w:val="00105428"/>
    <w:rsid w:val="00140AF0"/>
    <w:rsid w:val="001507CE"/>
    <w:rsid w:val="00157667"/>
    <w:rsid w:val="001609FC"/>
    <w:rsid w:val="0018461B"/>
    <w:rsid w:val="001B712C"/>
    <w:rsid w:val="001C41C3"/>
    <w:rsid w:val="00223B99"/>
    <w:rsid w:val="00237253"/>
    <w:rsid w:val="002A7228"/>
    <w:rsid w:val="002B3A1B"/>
    <w:rsid w:val="002D42CD"/>
    <w:rsid w:val="002E1CAA"/>
    <w:rsid w:val="003113D4"/>
    <w:rsid w:val="00325424"/>
    <w:rsid w:val="00344F0F"/>
    <w:rsid w:val="00345D8D"/>
    <w:rsid w:val="0036352F"/>
    <w:rsid w:val="003649AF"/>
    <w:rsid w:val="0036778A"/>
    <w:rsid w:val="003E6956"/>
    <w:rsid w:val="00453832"/>
    <w:rsid w:val="0048279D"/>
    <w:rsid w:val="004951D7"/>
    <w:rsid w:val="004A111E"/>
    <w:rsid w:val="004A43F0"/>
    <w:rsid w:val="004A61E4"/>
    <w:rsid w:val="004B7ACA"/>
    <w:rsid w:val="004D05F6"/>
    <w:rsid w:val="004E0EED"/>
    <w:rsid w:val="004E4B14"/>
    <w:rsid w:val="00501176"/>
    <w:rsid w:val="00510891"/>
    <w:rsid w:val="0053111A"/>
    <w:rsid w:val="00562C62"/>
    <w:rsid w:val="005633CE"/>
    <w:rsid w:val="00571ADE"/>
    <w:rsid w:val="00582B48"/>
    <w:rsid w:val="0059147A"/>
    <w:rsid w:val="005951EF"/>
    <w:rsid w:val="005F1571"/>
    <w:rsid w:val="005F1D8E"/>
    <w:rsid w:val="005F401F"/>
    <w:rsid w:val="00611202"/>
    <w:rsid w:val="006B5AA7"/>
    <w:rsid w:val="006C2918"/>
    <w:rsid w:val="006C782C"/>
    <w:rsid w:val="006F7004"/>
    <w:rsid w:val="007329FB"/>
    <w:rsid w:val="007554BB"/>
    <w:rsid w:val="007823A6"/>
    <w:rsid w:val="007839AE"/>
    <w:rsid w:val="007B3419"/>
    <w:rsid w:val="007F4BD9"/>
    <w:rsid w:val="00800E12"/>
    <w:rsid w:val="008153D5"/>
    <w:rsid w:val="00823CA9"/>
    <w:rsid w:val="008350B1"/>
    <w:rsid w:val="008403A0"/>
    <w:rsid w:val="0084652E"/>
    <w:rsid w:val="00883D59"/>
    <w:rsid w:val="0089621F"/>
    <w:rsid w:val="008E3550"/>
    <w:rsid w:val="008F23F3"/>
    <w:rsid w:val="009041D8"/>
    <w:rsid w:val="00925E61"/>
    <w:rsid w:val="00987C3F"/>
    <w:rsid w:val="00990125"/>
    <w:rsid w:val="0099177F"/>
    <w:rsid w:val="00995789"/>
    <w:rsid w:val="009A4F0F"/>
    <w:rsid w:val="009F149C"/>
    <w:rsid w:val="009F6CAB"/>
    <w:rsid w:val="009F7A2C"/>
    <w:rsid w:val="00A047F0"/>
    <w:rsid w:val="00A161FC"/>
    <w:rsid w:val="00A765E9"/>
    <w:rsid w:val="00AC005D"/>
    <w:rsid w:val="00AF0D93"/>
    <w:rsid w:val="00AF7468"/>
    <w:rsid w:val="00B4481B"/>
    <w:rsid w:val="00B72BD6"/>
    <w:rsid w:val="00B91989"/>
    <w:rsid w:val="00BC3D86"/>
    <w:rsid w:val="00BE5444"/>
    <w:rsid w:val="00C15054"/>
    <w:rsid w:val="00C63818"/>
    <w:rsid w:val="00C82348"/>
    <w:rsid w:val="00CD153F"/>
    <w:rsid w:val="00CD2230"/>
    <w:rsid w:val="00CD2CD5"/>
    <w:rsid w:val="00D9691C"/>
    <w:rsid w:val="00DC1928"/>
    <w:rsid w:val="00DF5062"/>
    <w:rsid w:val="00E0581E"/>
    <w:rsid w:val="00E1130A"/>
    <w:rsid w:val="00E278DC"/>
    <w:rsid w:val="00E4264C"/>
    <w:rsid w:val="00E73399"/>
    <w:rsid w:val="00E7573D"/>
    <w:rsid w:val="00E805BF"/>
    <w:rsid w:val="00E821CF"/>
    <w:rsid w:val="00E931F1"/>
    <w:rsid w:val="00F1332B"/>
    <w:rsid w:val="00F56E2E"/>
    <w:rsid w:val="00F67329"/>
    <w:rsid w:val="00F9789E"/>
    <w:rsid w:val="00FB00E1"/>
    <w:rsid w:val="00FC1111"/>
    <w:rsid w:val="00FC3BB8"/>
    <w:rsid w:val="00FE1B41"/>
    <w:rsid w:val="00FF21F2"/>
    <w:rsid w:val="00FF47AD"/>
    <w:rsid w:val="0286082F"/>
    <w:rsid w:val="054C48B1"/>
    <w:rsid w:val="0EF16956"/>
    <w:rsid w:val="102248CD"/>
    <w:rsid w:val="138B5AB7"/>
    <w:rsid w:val="1BC72B84"/>
    <w:rsid w:val="1C181028"/>
    <w:rsid w:val="2673092B"/>
    <w:rsid w:val="37F731B1"/>
    <w:rsid w:val="4303571F"/>
    <w:rsid w:val="4FAF6015"/>
    <w:rsid w:val="58FE1720"/>
    <w:rsid w:val="5F6B5D8A"/>
    <w:rsid w:val="623B574A"/>
    <w:rsid w:val="6F223CBA"/>
    <w:rsid w:val="6FB41B8A"/>
    <w:rsid w:val="7A3175C3"/>
    <w:rsid w:val="7D324E19"/>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346</Words>
  <Characters>1974</Characters>
  <Lines>16</Lines>
  <Paragraphs>4</Paragraphs>
  <TotalTime>275</TotalTime>
  <ScaleCrop>false</ScaleCrop>
  <LinksUpToDate>false</LinksUpToDate>
  <CharactersWithSpaces>2316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张玉龙</cp:lastModifiedBy>
  <dcterms:modified xsi:type="dcterms:W3CDTF">2022-11-21T02:18:22Z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FD47254428C546C79753499200788EBF</vt:lpwstr>
  </property>
</Properties>
</file>