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46" w:rsidRDefault="00873F09">
      <w:pPr>
        <w:pStyle w:val="ab"/>
        <w:rPr>
          <w:rFonts w:ascii="宋体" w:hAnsi="宋体"/>
          <w:sz w:val="36"/>
        </w:rPr>
      </w:pPr>
      <w:bookmarkStart w:id="0" w:name="_Toc38367762"/>
      <w:r>
        <w:rPr>
          <w:rFonts w:ascii="宋体" w:hAnsi="宋体" w:hint="eastAsia"/>
          <w:sz w:val="36"/>
        </w:rPr>
        <w:t>【</w:t>
      </w:r>
      <w:r w:rsidR="00A64D21">
        <w:rPr>
          <w:rFonts w:ascii="宋体" w:hAnsi="宋体" w:hint="eastAsia"/>
          <w:sz w:val="36"/>
        </w:rPr>
        <w:t>运营商网络</w:t>
      </w:r>
      <w:r w:rsidR="00A64D21" w:rsidRPr="007727D9">
        <w:rPr>
          <w:rFonts w:ascii="宋体" w:hAnsi="宋体" w:hint="eastAsia"/>
          <w:sz w:val="36"/>
        </w:rPr>
        <w:t>带宽</w:t>
      </w:r>
      <w:r>
        <w:rPr>
          <w:rFonts w:ascii="宋体" w:hAnsi="宋体" w:hint="eastAsia"/>
          <w:sz w:val="36"/>
        </w:rPr>
        <w:t>】</w:t>
      </w:r>
      <w:r>
        <w:rPr>
          <w:rFonts w:ascii="宋体" w:hAnsi="宋体"/>
          <w:sz w:val="36"/>
        </w:rPr>
        <w:t>采购需求</w:t>
      </w:r>
      <w:bookmarkEnd w:id="0"/>
    </w:p>
    <w:p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A865ED" w:rsidRPr="00A64D21" w:rsidRDefault="00A64D21" w:rsidP="00A64D21">
      <w:pPr>
        <w:spacing w:line="360" w:lineRule="auto"/>
        <w:ind w:firstLineChars="200" w:firstLine="420"/>
        <w:rPr>
          <w:szCs w:val="21"/>
        </w:rPr>
      </w:pPr>
      <w:r>
        <w:rPr>
          <w:rFonts w:hint="eastAsia"/>
          <w:szCs w:val="21"/>
        </w:rPr>
        <w:t>本次采购运营商带宽服务</w:t>
      </w:r>
      <w:r>
        <w:rPr>
          <w:rFonts w:hint="eastAsia"/>
          <w:szCs w:val="21"/>
        </w:rPr>
        <w:t>1</w:t>
      </w:r>
      <w:r>
        <w:rPr>
          <w:rFonts w:hint="eastAsia"/>
          <w:szCs w:val="21"/>
        </w:rPr>
        <w:t>年</w:t>
      </w:r>
      <w:r w:rsidRPr="007727D9">
        <w:rPr>
          <w:rFonts w:hint="eastAsia"/>
          <w:szCs w:val="21"/>
        </w:rPr>
        <w:t>，满足</w:t>
      </w:r>
      <w:r>
        <w:rPr>
          <w:rFonts w:hint="eastAsia"/>
          <w:szCs w:val="21"/>
        </w:rPr>
        <w:t>四校区</w:t>
      </w:r>
      <w:r>
        <w:rPr>
          <w:rFonts w:hint="eastAsia"/>
          <w:szCs w:val="21"/>
        </w:rPr>
        <w:t>1</w:t>
      </w:r>
      <w:r>
        <w:rPr>
          <w:szCs w:val="21"/>
        </w:rPr>
        <w:t>0</w:t>
      </w:r>
      <w:r>
        <w:rPr>
          <w:rFonts w:hint="eastAsia"/>
          <w:szCs w:val="21"/>
        </w:rPr>
        <w:t>万</w:t>
      </w:r>
      <w:r w:rsidRPr="007727D9">
        <w:rPr>
          <w:rFonts w:hint="eastAsia"/>
          <w:szCs w:val="21"/>
        </w:rPr>
        <w:t>用户访问</w:t>
      </w:r>
      <w:r w:rsidRPr="007727D9">
        <w:rPr>
          <w:rFonts w:hint="eastAsia"/>
          <w:szCs w:val="21"/>
        </w:rPr>
        <w:t>Internet</w:t>
      </w:r>
      <w:r>
        <w:rPr>
          <w:rFonts w:hint="eastAsia"/>
          <w:szCs w:val="21"/>
        </w:rPr>
        <w:t>需求。</w:t>
      </w:r>
    </w:p>
    <w:p w:rsidR="00785146" w:rsidRDefault="00873F09">
      <w:pPr>
        <w:tabs>
          <w:tab w:val="left" w:pos="900"/>
        </w:tabs>
        <w:spacing w:beforeLines="50" w:before="156" w:line="360" w:lineRule="auto"/>
        <w:rPr>
          <w:b/>
          <w:szCs w:val="21"/>
        </w:rPr>
      </w:pPr>
      <w:r>
        <w:rPr>
          <w:rFonts w:hAnsi="宋体"/>
          <w:b/>
          <w:szCs w:val="21"/>
        </w:rPr>
        <w:t>（二）为落实政府采购政策需满足的要求</w:t>
      </w:r>
    </w:p>
    <w:p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A64D21" w:rsidRPr="00E01B0B">
        <w:rPr>
          <w:rFonts w:hAnsi="宋体" w:hint="eastAsia"/>
          <w:szCs w:val="24"/>
          <w:u w:val="single"/>
        </w:rPr>
        <w:t>信息传输业</w:t>
      </w:r>
      <w:r>
        <w:rPr>
          <w:rFonts w:hAnsi="宋体"/>
          <w:szCs w:val="24"/>
          <w:u w:val="single"/>
        </w:rPr>
        <w:t xml:space="preserve">   </w:t>
      </w:r>
      <w:r>
        <w:rPr>
          <w:rFonts w:hAnsi="宋体" w:hint="eastAsia"/>
          <w:szCs w:val="24"/>
        </w:rPr>
        <w:t>。</w:t>
      </w:r>
    </w:p>
    <w:p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A64D21">
        <w:rPr>
          <w:rFonts w:hAnsi="宋体" w:hint="eastAsia"/>
          <w:szCs w:val="24"/>
        </w:rPr>
        <w:t>2</w:t>
      </w:r>
      <w:r w:rsidRPr="00A64D21">
        <w:rPr>
          <w:rFonts w:hAnsi="宋体"/>
          <w:szCs w:val="24"/>
        </w:rPr>
        <w:t>.</w:t>
      </w:r>
      <w:r w:rsidRPr="00BB7A38">
        <w:rPr>
          <w:rFonts w:asciiTheme="minorEastAsia" w:hAnsiTheme="minorEastAsia" w:cs="宋体" w:hint="eastAsia"/>
          <w:color w:val="000000"/>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rsidR="00A64D21" w:rsidRDefault="00A64D21" w:rsidP="00A64D21">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Pr="005A4DDD">
        <w:rPr>
          <w:rFonts w:ascii="宋体" w:hAnsi="宋体" w:hint="eastAsia"/>
          <w:szCs w:val="21"/>
          <w:u w:val="single"/>
        </w:rPr>
        <w:t>运营商网络带宽</w:t>
      </w:r>
      <w:r>
        <w:rPr>
          <w:rFonts w:ascii="宋体" w:hAnsi="宋体"/>
          <w:szCs w:val="21"/>
          <w:u w:val="single"/>
        </w:rPr>
        <w:t xml:space="preserve">         </w:t>
      </w:r>
      <w:r>
        <w:rPr>
          <w:rFonts w:hAnsi="宋体"/>
          <w:szCs w:val="21"/>
        </w:rPr>
        <w:t xml:space="preserve">   </w:t>
      </w:r>
    </w:p>
    <w:p w:rsidR="00A64D21" w:rsidRDefault="00A64D21" w:rsidP="00A64D21">
      <w:pPr>
        <w:spacing w:beforeLines="50" w:before="156" w:line="360" w:lineRule="auto"/>
        <w:rPr>
          <w:rFonts w:hAnsi="宋体"/>
          <w:szCs w:val="21"/>
        </w:rPr>
      </w:pPr>
      <w:r>
        <w:rPr>
          <w:rFonts w:hAnsi="宋体" w:hint="eastAsia"/>
          <w:szCs w:val="21"/>
        </w:rPr>
        <w:t>（二）采购数量及计量单位：</w:t>
      </w:r>
      <w:r>
        <w:rPr>
          <w:rFonts w:hAnsi="宋体"/>
          <w:szCs w:val="21"/>
          <w:u w:val="single"/>
        </w:rPr>
        <w:t xml:space="preserve"> </w:t>
      </w:r>
      <w:r>
        <w:rPr>
          <w:rFonts w:hAnsi="宋体" w:hint="eastAsia"/>
          <w:szCs w:val="21"/>
          <w:u w:val="single"/>
        </w:rPr>
        <w:t>1</w:t>
      </w:r>
      <w:r>
        <w:rPr>
          <w:rFonts w:hAnsi="宋体" w:hint="eastAsia"/>
          <w:szCs w:val="21"/>
          <w:u w:val="single"/>
        </w:rPr>
        <w:t>年</w:t>
      </w:r>
      <w:r>
        <w:rPr>
          <w:rFonts w:hAnsi="宋体"/>
          <w:szCs w:val="21"/>
          <w:u w:val="single"/>
        </w:rPr>
        <w:t xml:space="preserve">  </w:t>
      </w:r>
      <w:r>
        <w:rPr>
          <w:rFonts w:hAnsi="宋体"/>
          <w:szCs w:val="21"/>
        </w:rPr>
        <w:t xml:space="preserve">  </w:t>
      </w:r>
    </w:p>
    <w:p w:rsidR="00A64D21" w:rsidRDefault="00A64D21" w:rsidP="00A64D21">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450</w:t>
      </w:r>
      <w:r w:rsidR="0078412A">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rsidR="00A64D21" w:rsidRDefault="00A64D21" w:rsidP="00A64D21">
      <w:pPr>
        <w:spacing w:beforeLines="50" w:before="156" w:line="360" w:lineRule="auto"/>
        <w:rPr>
          <w:szCs w:val="21"/>
        </w:rPr>
      </w:pPr>
      <w:r w:rsidRPr="002745AA">
        <w:rPr>
          <w:rFonts w:hAnsi="宋体" w:hint="eastAsia"/>
          <w:szCs w:val="21"/>
        </w:rPr>
        <w:t>（四）</w:t>
      </w:r>
      <w:r w:rsidRPr="002745AA">
        <w:rPr>
          <w:rFonts w:hAnsi="宋体"/>
          <w:szCs w:val="21"/>
        </w:rPr>
        <w:t>交付时间：</w:t>
      </w:r>
      <w:r w:rsidRPr="002745AA">
        <w:rPr>
          <w:rFonts w:hAnsi="宋体"/>
        </w:rPr>
        <w:t>合同签订后</w:t>
      </w:r>
      <w:r w:rsidRPr="002745AA">
        <w:rPr>
          <w:rFonts w:hAnsi="宋体"/>
          <w:u w:val="single"/>
        </w:rPr>
        <w:t xml:space="preserve">   </w:t>
      </w:r>
      <w:r>
        <w:rPr>
          <w:rFonts w:hAnsi="宋体"/>
          <w:u w:val="single"/>
        </w:rPr>
        <w:t xml:space="preserve">10  </w:t>
      </w:r>
      <w:r w:rsidRPr="002745AA">
        <w:rPr>
          <w:rFonts w:hAnsi="宋体"/>
          <w:u w:val="single"/>
        </w:rPr>
        <w:t xml:space="preserve">  </w:t>
      </w:r>
      <w:r w:rsidRPr="002745AA">
        <w:rPr>
          <w:rFonts w:hAnsi="宋体" w:hint="eastAsia"/>
        </w:rPr>
        <w:t>天内。</w:t>
      </w:r>
    </w:p>
    <w:p w:rsidR="00A64D21" w:rsidRDefault="00A64D21" w:rsidP="00A64D21">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西安交通大学兴庆校区、创新港校区</w:t>
      </w:r>
      <w:r>
        <w:rPr>
          <w:rFonts w:hAnsi="宋体"/>
          <w:szCs w:val="21"/>
          <w:u w:val="single"/>
        </w:rPr>
        <w:t xml:space="preserve">   </w:t>
      </w:r>
      <w:r>
        <w:rPr>
          <w:rFonts w:hAnsi="宋体" w:hint="eastAsia"/>
          <w:szCs w:val="21"/>
        </w:rPr>
        <w:t>。</w:t>
      </w:r>
    </w:p>
    <w:p w:rsidR="00785146" w:rsidRDefault="00A64D21" w:rsidP="00A64D21">
      <w:pPr>
        <w:tabs>
          <w:tab w:val="left" w:pos="900"/>
        </w:tabs>
        <w:spacing w:beforeLines="50" w:before="156" w:line="360" w:lineRule="auto"/>
        <w:rPr>
          <w:rFonts w:hAnsi="宋体"/>
          <w:szCs w:val="21"/>
        </w:rPr>
      </w:pPr>
      <w:r w:rsidRPr="002745AA">
        <w:rPr>
          <w:rFonts w:hAnsi="宋体" w:hint="eastAsia"/>
          <w:szCs w:val="21"/>
        </w:rPr>
        <w:t>（六）付款进度安排：</w:t>
      </w:r>
      <w:r w:rsidRPr="002745AA">
        <w:rPr>
          <w:rFonts w:hAnsi="宋体" w:hint="eastAsia"/>
          <w:szCs w:val="21"/>
          <w:u w:val="single"/>
        </w:rPr>
        <w:t xml:space="preserve"> </w:t>
      </w:r>
      <w:r>
        <w:rPr>
          <w:rFonts w:hAnsi="宋体" w:hint="eastAsia"/>
          <w:szCs w:val="21"/>
          <w:u w:val="single"/>
        </w:rPr>
        <w:t>合同签订前中标人缴纳中标金额</w:t>
      </w:r>
      <w:r>
        <w:rPr>
          <w:rFonts w:hAnsi="宋体" w:hint="eastAsia"/>
          <w:szCs w:val="21"/>
          <w:u w:val="single"/>
        </w:rPr>
        <w:t>1</w:t>
      </w:r>
      <w:r>
        <w:rPr>
          <w:rFonts w:hAnsi="宋体"/>
          <w:szCs w:val="21"/>
          <w:u w:val="single"/>
        </w:rPr>
        <w:t>0%</w:t>
      </w:r>
      <w:r>
        <w:rPr>
          <w:rFonts w:hAnsi="宋体" w:hint="eastAsia"/>
          <w:szCs w:val="21"/>
          <w:u w:val="single"/>
        </w:rPr>
        <w:t>的履约保证金；合同签订后，</w:t>
      </w:r>
      <w:r w:rsidRPr="002745AA">
        <w:rPr>
          <w:rFonts w:hAnsi="宋体" w:hint="eastAsia"/>
          <w:szCs w:val="21"/>
          <w:u w:val="single"/>
        </w:rPr>
        <w:t xml:space="preserve"> </w:t>
      </w:r>
      <w:r>
        <w:rPr>
          <w:rFonts w:hAnsi="宋体" w:hint="eastAsia"/>
          <w:szCs w:val="21"/>
          <w:u w:val="single"/>
        </w:rPr>
        <w:t>服务期开始前</w:t>
      </w:r>
      <w:r w:rsidRPr="007727D9">
        <w:rPr>
          <w:rFonts w:hAnsi="宋体" w:hint="eastAsia"/>
          <w:szCs w:val="21"/>
          <w:u w:val="single"/>
        </w:rPr>
        <w:t>支付合同额</w:t>
      </w:r>
      <w:r>
        <w:rPr>
          <w:rFonts w:hAnsi="宋体"/>
          <w:szCs w:val="21"/>
          <w:u w:val="single"/>
        </w:rPr>
        <w:t>10</w:t>
      </w:r>
      <w:r>
        <w:rPr>
          <w:rFonts w:hAnsi="宋体" w:hint="eastAsia"/>
          <w:szCs w:val="21"/>
          <w:u w:val="single"/>
        </w:rPr>
        <w:t>0</w:t>
      </w:r>
      <w:r>
        <w:rPr>
          <w:rFonts w:hAnsi="宋体"/>
          <w:szCs w:val="21"/>
          <w:u w:val="single"/>
        </w:rPr>
        <w:t>%</w:t>
      </w:r>
      <w:r>
        <w:rPr>
          <w:rFonts w:hAnsi="宋体" w:hint="eastAsia"/>
          <w:szCs w:val="21"/>
          <w:u w:val="single"/>
        </w:rPr>
        <w:t>；服务期结束后，根据服务质量情况，无息结算履约保证金</w:t>
      </w:r>
      <w:r w:rsidRPr="002745AA">
        <w:rPr>
          <w:rFonts w:hAnsi="宋体"/>
          <w:szCs w:val="21"/>
          <w:u w:val="single"/>
        </w:rPr>
        <w:t xml:space="preserve"> </w:t>
      </w:r>
      <w:r w:rsidRPr="002745AA">
        <w:rPr>
          <w:rFonts w:hAnsi="宋体" w:hint="eastAsia"/>
          <w:szCs w:val="21"/>
        </w:rPr>
        <w:t>。</w:t>
      </w:r>
    </w:p>
    <w:p w:rsidR="00785146" w:rsidRDefault="00873F09">
      <w:pPr>
        <w:tabs>
          <w:tab w:val="left" w:pos="900"/>
        </w:tabs>
        <w:spacing w:beforeLines="50" w:before="156" w:line="360" w:lineRule="auto"/>
        <w:rPr>
          <w:rFonts w:hAnsi="宋体"/>
          <w:b/>
          <w:szCs w:val="21"/>
        </w:rPr>
      </w:pPr>
      <w:r>
        <w:rPr>
          <w:rFonts w:hAnsi="宋体" w:hint="eastAsia"/>
          <w:b/>
          <w:szCs w:val="21"/>
        </w:rPr>
        <w:lastRenderedPageBreak/>
        <w:t>四、采购标的需满足的质量、安全、技术规格、物理特性等要求：</w:t>
      </w:r>
    </w:p>
    <w:p w:rsidR="00A64D21" w:rsidRPr="00E002A9" w:rsidRDefault="00A64D21" w:rsidP="00A64D21">
      <w:pPr>
        <w:tabs>
          <w:tab w:val="left" w:pos="900"/>
        </w:tabs>
        <w:spacing w:beforeLines="50" w:before="156" w:line="360" w:lineRule="auto"/>
        <w:ind w:firstLineChars="200" w:firstLine="422"/>
        <w:rPr>
          <w:b/>
          <w:szCs w:val="21"/>
        </w:rPr>
      </w:pPr>
      <w:r>
        <w:rPr>
          <w:rFonts w:hint="eastAsia"/>
          <w:b/>
          <w:szCs w:val="21"/>
        </w:rPr>
        <w:t>为</w:t>
      </w:r>
      <w:r w:rsidRPr="00EE55F3">
        <w:rPr>
          <w:rFonts w:hint="eastAsia"/>
          <w:b/>
          <w:szCs w:val="21"/>
        </w:rPr>
        <w:t>提升四校区网络的安全可靠性，</w:t>
      </w:r>
      <w:r>
        <w:rPr>
          <w:rFonts w:hint="eastAsia"/>
          <w:b/>
          <w:szCs w:val="21"/>
        </w:rPr>
        <w:t>实现校园网出口流量优化调度</w:t>
      </w:r>
      <w:r w:rsidRPr="00EE55F3">
        <w:rPr>
          <w:rFonts w:hint="eastAsia"/>
          <w:b/>
          <w:szCs w:val="21"/>
        </w:rPr>
        <w:t>，确保用户访问效果最优</w:t>
      </w:r>
      <w:r>
        <w:rPr>
          <w:rFonts w:hint="eastAsia"/>
          <w:b/>
          <w:szCs w:val="21"/>
        </w:rPr>
        <w:t>，本次运营商网络出口带宽采用</w:t>
      </w:r>
      <w:r w:rsidRPr="00EE55F3">
        <w:rPr>
          <w:rFonts w:hint="eastAsia"/>
          <w:b/>
          <w:szCs w:val="21"/>
        </w:rPr>
        <w:t>多运营商线路互为备份的方案</w:t>
      </w:r>
      <w:r>
        <w:rPr>
          <w:rFonts w:hint="eastAsia"/>
          <w:b/>
          <w:szCs w:val="21"/>
        </w:rPr>
        <w:t>，因此本次采购分为三个标段，三个标段可兼投，但同一投标人最终中标的标段数量不超过两个。</w:t>
      </w:r>
    </w:p>
    <w:p w:rsidR="00A64D21" w:rsidRPr="00E002A9" w:rsidRDefault="00A64D21" w:rsidP="00A64D21">
      <w:pPr>
        <w:tabs>
          <w:tab w:val="left" w:pos="900"/>
        </w:tabs>
        <w:spacing w:beforeLines="50" w:before="156" w:line="360" w:lineRule="auto"/>
        <w:ind w:firstLineChars="200" w:firstLine="422"/>
        <w:rPr>
          <w:b/>
          <w:szCs w:val="21"/>
        </w:rPr>
      </w:pPr>
      <w:r>
        <w:rPr>
          <w:rFonts w:hint="eastAsia"/>
          <w:b/>
          <w:szCs w:val="21"/>
        </w:rPr>
        <w:t>标段一：四校区有线</w:t>
      </w:r>
      <w:r w:rsidRPr="00A86F87">
        <w:rPr>
          <w:rFonts w:hint="eastAsia"/>
          <w:b/>
          <w:szCs w:val="21"/>
        </w:rPr>
        <w:t>运营商网络带宽</w:t>
      </w:r>
      <w:r w:rsidRPr="00E002A9">
        <w:rPr>
          <w:rFonts w:hint="eastAsia"/>
          <w:b/>
          <w:szCs w:val="21"/>
        </w:rPr>
        <w:t>（</w:t>
      </w:r>
      <w:r>
        <w:rPr>
          <w:b/>
          <w:szCs w:val="21"/>
        </w:rPr>
        <w:t>288</w:t>
      </w:r>
      <w:r w:rsidRPr="00E002A9">
        <w:rPr>
          <w:rFonts w:hint="eastAsia"/>
          <w:b/>
          <w:szCs w:val="21"/>
        </w:rPr>
        <w:t>万元）</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1</w:t>
      </w:r>
      <w:r>
        <w:rPr>
          <w:rFonts w:hint="eastAsia"/>
          <w:szCs w:val="21"/>
        </w:rPr>
        <w:t>、提供总数不少于</w:t>
      </w:r>
      <w:r>
        <w:rPr>
          <w:szCs w:val="21"/>
        </w:rPr>
        <w:t>16</w:t>
      </w:r>
      <w:r w:rsidRPr="00E002A9">
        <w:rPr>
          <w:rFonts w:hint="eastAsia"/>
          <w:szCs w:val="21"/>
        </w:rPr>
        <w:t>Gb</w:t>
      </w:r>
      <w:r>
        <w:rPr>
          <w:rFonts w:hint="eastAsia"/>
          <w:szCs w:val="21"/>
        </w:rPr>
        <w:t>/</w:t>
      </w:r>
      <w:r>
        <w:rPr>
          <w:szCs w:val="21"/>
        </w:rPr>
        <w:t>s</w:t>
      </w:r>
      <w:r>
        <w:rPr>
          <w:rFonts w:hint="eastAsia"/>
          <w:szCs w:val="21"/>
        </w:rPr>
        <w:t>的互联网出口带宽，分布于兴庆、创新港校区出口</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2</w:t>
      </w:r>
      <w:r>
        <w:rPr>
          <w:rFonts w:hint="eastAsia"/>
          <w:szCs w:val="21"/>
        </w:rPr>
        <w:t>、需为兴庆、创新港校区出口分别提供双路由光缆线路和至少</w:t>
      </w:r>
      <w:r>
        <w:rPr>
          <w:rFonts w:hint="eastAsia"/>
          <w:szCs w:val="21"/>
        </w:rPr>
        <w:t>2</w:t>
      </w:r>
      <w:r>
        <w:rPr>
          <w:rFonts w:hint="eastAsia"/>
          <w:szCs w:val="21"/>
        </w:rPr>
        <w:t>个</w:t>
      </w:r>
      <w:r>
        <w:rPr>
          <w:szCs w:val="21"/>
        </w:rPr>
        <w:t>10</w:t>
      </w:r>
      <w:r>
        <w:rPr>
          <w:rFonts w:hint="eastAsia"/>
          <w:szCs w:val="21"/>
        </w:rPr>
        <w:t>Gb</w:t>
      </w:r>
      <w:r>
        <w:rPr>
          <w:szCs w:val="21"/>
        </w:rPr>
        <w:t>/s</w:t>
      </w:r>
      <w:r>
        <w:rPr>
          <w:rFonts w:hint="eastAsia"/>
          <w:szCs w:val="21"/>
        </w:rPr>
        <w:t>以上以太网端口</w:t>
      </w:r>
      <w:r w:rsidRPr="00E002A9">
        <w:rPr>
          <w:rFonts w:hint="eastAsia"/>
          <w:szCs w:val="21"/>
        </w:rPr>
        <w:t>（以学校具体要求为准）</w:t>
      </w:r>
      <w:r>
        <w:rPr>
          <w:rFonts w:hint="eastAsia"/>
          <w:szCs w:val="21"/>
        </w:rPr>
        <w:t>。</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3</w:t>
      </w:r>
      <w:r>
        <w:rPr>
          <w:rFonts w:hint="eastAsia"/>
          <w:szCs w:val="21"/>
        </w:rPr>
        <w:t>、</w:t>
      </w:r>
      <w:r w:rsidRPr="00E002A9">
        <w:rPr>
          <w:rFonts w:hint="eastAsia"/>
          <w:szCs w:val="21"/>
        </w:rPr>
        <w:t>提供的公网</w:t>
      </w:r>
      <w:r w:rsidRPr="00E002A9">
        <w:rPr>
          <w:rFonts w:hint="eastAsia"/>
          <w:szCs w:val="21"/>
        </w:rPr>
        <w:t>IP</w:t>
      </w:r>
      <w:r>
        <w:rPr>
          <w:rFonts w:hint="eastAsia"/>
          <w:szCs w:val="21"/>
        </w:rPr>
        <w:t>不少于</w:t>
      </w:r>
      <w:r>
        <w:rPr>
          <w:szCs w:val="21"/>
        </w:rPr>
        <w:t>128</w:t>
      </w:r>
      <w:r w:rsidRPr="00E002A9">
        <w:rPr>
          <w:rFonts w:hint="eastAsia"/>
          <w:szCs w:val="21"/>
        </w:rPr>
        <w:t>个</w:t>
      </w:r>
      <w:r>
        <w:rPr>
          <w:rFonts w:hint="eastAsia"/>
          <w:szCs w:val="21"/>
        </w:rPr>
        <w:t>，需按照采购方要求进行分校区地址段划分</w:t>
      </w:r>
      <w:r w:rsidRPr="00E002A9">
        <w:rPr>
          <w:rFonts w:hint="eastAsia"/>
          <w:szCs w:val="21"/>
        </w:rPr>
        <w:t>。</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4</w:t>
      </w:r>
      <w:r>
        <w:rPr>
          <w:rFonts w:hint="eastAsia"/>
          <w:szCs w:val="21"/>
        </w:rPr>
        <w:t>、</w:t>
      </w:r>
      <w:r w:rsidRPr="00E002A9">
        <w:rPr>
          <w:rFonts w:hint="eastAsia"/>
          <w:szCs w:val="21"/>
        </w:rPr>
        <w:t>本项目须接入城域网核心节点，保证线路稳定性并纯独享带宽。</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5</w:t>
      </w:r>
      <w:r>
        <w:rPr>
          <w:rFonts w:hint="eastAsia"/>
          <w:szCs w:val="21"/>
        </w:rPr>
        <w:t>、</w:t>
      </w:r>
      <w:r w:rsidRPr="00E002A9">
        <w:rPr>
          <w:rFonts w:hint="eastAsia"/>
          <w:szCs w:val="21"/>
        </w:rPr>
        <w:t>提供网络安全防护服务，包括</w:t>
      </w:r>
      <w:r w:rsidRPr="00E002A9">
        <w:rPr>
          <w:rFonts w:hint="eastAsia"/>
          <w:szCs w:val="21"/>
        </w:rPr>
        <w:t>DDOS</w:t>
      </w:r>
      <w:r w:rsidRPr="00E002A9">
        <w:rPr>
          <w:rFonts w:hint="eastAsia"/>
          <w:szCs w:val="21"/>
        </w:rPr>
        <w:t>攻击防护和网站安全监测防护。</w:t>
      </w:r>
    </w:p>
    <w:p w:rsidR="00A64D21" w:rsidRDefault="00A64D21" w:rsidP="00A64D21">
      <w:pPr>
        <w:tabs>
          <w:tab w:val="left" w:pos="900"/>
        </w:tabs>
        <w:spacing w:beforeLines="50" w:before="156" w:line="360" w:lineRule="auto"/>
        <w:ind w:firstLineChars="200" w:firstLine="420"/>
        <w:rPr>
          <w:szCs w:val="21"/>
        </w:rPr>
      </w:pPr>
      <w:r>
        <w:rPr>
          <w:rFonts w:hint="eastAsia"/>
          <w:szCs w:val="21"/>
        </w:rPr>
        <w:t>6</w:t>
      </w:r>
      <w:r>
        <w:rPr>
          <w:rFonts w:hint="eastAsia"/>
          <w:szCs w:val="21"/>
        </w:rPr>
        <w:t>、</w:t>
      </w:r>
      <w:r w:rsidRPr="00E002A9">
        <w:rPr>
          <w:rFonts w:hint="eastAsia"/>
          <w:szCs w:val="21"/>
        </w:rPr>
        <w:t>提供本项目出口带宽拓扑示意图。</w:t>
      </w:r>
    </w:p>
    <w:p w:rsidR="00A64D21" w:rsidRDefault="00A64D21" w:rsidP="00A64D21">
      <w:pPr>
        <w:tabs>
          <w:tab w:val="left" w:pos="900"/>
        </w:tabs>
        <w:spacing w:beforeLines="50" w:before="156" w:line="360" w:lineRule="auto"/>
        <w:ind w:firstLineChars="200" w:firstLine="420"/>
        <w:rPr>
          <w:szCs w:val="21"/>
        </w:rPr>
      </w:pPr>
      <w:r>
        <w:rPr>
          <w:rFonts w:hint="eastAsia"/>
          <w:szCs w:val="21"/>
        </w:rPr>
        <w:t>7</w:t>
      </w:r>
      <w:r>
        <w:rPr>
          <w:rFonts w:hint="eastAsia"/>
          <w:szCs w:val="21"/>
        </w:rPr>
        <w:t>、</w:t>
      </w:r>
      <w:r w:rsidRPr="0037401D">
        <w:rPr>
          <w:rFonts w:hint="eastAsia"/>
          <w:szCs w:val="21"/>
        </w:rPr>
        <w:t>需为西安交通大学提供用户访问体验保障服务，确保西安交通大学购买的海外期刊图书资源的访问质量最优，须提供相应材料及承诺书。</w:t>
      </w:r>
    </w:p>
    <w:p w:rsidR="00A64D21" w:rsidRDefault="00A64D21" w:rsidP="00A64D21">
      <w:pPr>
        <w:tabs>
          <w:tab w:val="left" w:pos="900"/>
        </w:tabs>
        <w:spacing w:beforeLines="50" w:before="156" w:line="360" w:lineRule="auto"/>
        <w:ind w:firstLineChars="200" w:firstLine="420"/>
        <w:rPr>
          <w:szCs w:val="21"/>
        </w:rPr>
      </w:pPr>
      <w:r>
        <w:rPr>
          <w:szCs w:val="21"/>
        </w:rPr>
        <w:t>8</w:t>
      </w:r>
      <w:r>
        <w:rPr>
          <w:rFonts w:hint="eastAsia"/>
          <w:szCs w:val="21"/>
        </w:rPr>
        <w:t>、需确保兴庆、雁塔、曲江、创新港四校区及附属单位能够通过裸光缆使用出口带宽，保障四校区裸光缆</w:t>
      </w:r>
      <w:r>
        <w:rPr>
          <w:rFonts w:hint="eastAsia"/>
          <w:szCs w:val="21"/>
        </w:rPr>
        <w:t>7</w:t>
      </w:r>
      <w:r>
        <w:rPr>
          <w:szCs w:val="21"/>
        </w:rPr>
        <w:t>*24</w:t>
      </w:r>
      <w:r>
        <w:rPr>
          <w:rFonts w:hint="eastAsia"/>
          <w:szCs w:val="21"/>
        </w:rPr>
        <w:t>小时正常可用，要求</w:t>
      </w:r>
      <w:r w:rsidRPr="000B0FDA">
        <w:rPr>
          <w:rFonts w:hint="eastAsia"/>
          <w:szCs w:val="21"/>
        </w:rPr>
        <w:t>全程链路须为裸光纤，中间无有源设备，中继段光缆</w:t>
      </w:r>
      <w:r w:rsidRPr="000B0FDA">
        <w:rPr>
          <w:rFonts w:hint="eastAsia"/>
          <w:szCs w:val="21"/>
        </w:rPr>
        <w:t>1550</w:t>
      </w:r>
      <w:r w:rsidRPr="000B0FDA">
        <w:rPr>
          <w:rFonts w:hint="eastAsia"/>
          <w:szCs w:val="21"/>
        </w:rPr>
        <w:t>波长最长衰减≤</w:t>
      </w:r>
      <w:r w:rsidRPr="000B0FDA">
        <w:rPr>
          <w:rFonts w:hint="eastAsia"/>
          <w:szCs w:val="21"/>
        </w:rPr>
        <w:t>0.35db/km</w:t>
      </w:r>
      <w:r w:rsidRPr="000B0FDA">
        <w:rPr>
          <w:rFonts w:hint="eastAsia"/>
          <w:szCs w:val="21"/>
        </w:rPr>
        <w:t>，全程衰减均须≤</w:t>
      </w:r>
      <w:r w:rsidRPr="000B0FDA">
        <w:rPr>
          <w:rFonts w:hint="eastAsia"/>
          <w:szCs w:val="21"/>
        </w:rPr>
        <w:t>-20db</w:t>
      </w:r>
      <w:r w:rsidRPr="000B0FDA">
        <w:rPr>
          <w:rFonts w:hint="eastAsia"/>
          <w:szCs w:val="21"/>
        </w:rPr>
        <w:t>，接头损耗每个法兰≤</w:t>
      </w:r>
      <w:r w:rsidRPr="000B0FDA">
        <w:rPr>
          <w:rFonts w:hint="eastAsia"/>
          <w:szCs w:val="21"/>
        </w:rPr>
        <w:t>0.5db</w:t>
      </w:r>
      <w:r>
        <w:rPr>
          <w:rFonts w:hint="eastAsia"/>
          <w:szCs w:val="21"/>
        </w:rPr>
        <w:t>，以下为光缆走向与芯数：</w:t>
      </w:r>
    </w:p>
    <w:p w:rsidR="00A64D21" w:rsidRDefault="00A64D21" w:rsidP="00A64D21">
      <w:pPr>
        <w:tabs>
          <w:tab w:val="left" w:pos="900"/>
        </w:tabs>
        <w:spacing w:beforeLines="50" w:before="156" w:line="360" w:lineRule="auto"/>
        <w:ind w:firstLineChars="200" w:firstLine="420"/>
        <w:rPr>
          <w:szCs w:val="21"/>
        </w:rPr>
      </w:pPr>
      <w:r>
        <w:rPr>
          <w:rFonts w:hint="eastAsia"/>
          <w:szCs w:val="21"/>
        </w:rPr>
        <w:t xml:space="preserve"> </w:t>
      </w:r>
      <w:r>
        <w:rPr>
          <w:szCs w:val="21"/>
        </w:rPr>
        <w:t>1</w:t>
      </w:r>
      <w:r>
        <w:rPr>
          <w:rFonts w:hint="eastAsia"/>
          <w:szCs w:val="21"/>
        </w:rPr>
        <w:t>）</w:t>
      </w:r>
      <w:r w:rsidRPr="000B0FDA">
        <w:rPr>
          <w:rFonts w:hint="eastAsia"/>
          <w:szCs w:val="21"/>
        </w:rPr>
        <w:t>从西安交通大学兴庆校区网络信息中心机房至创新港</w:t>
      </w:r>
      <w:r w:rsidRPr="000B0FDA">
        <w:rPr>
          <w:rFonts w:hint="eastAsia"/>
          <w:szCs w:val="21"/>
        </w:rPr>
        <w:t>4</w:t>
      </w:r>
      <w:r w:rsidRPr="000B0FDA">
        <w:rPr>
          <w:rFonts w:hint="eastAsia"/>
          <w:szCs w:val="21"/>
        </w:rPr>
        <w:t>号巨构机房的</w:t>
      </w:r>
      <w:r w:rsidRPr="000B0FDA">
        <w:rPr>
          <w:rFonts w:hint="eastAsia"/>
          <w:szCs w:val="21"/>
        </w:rPr>
        <w:t>14</w:t>
      </w:r>
      <w:r w:rsidRPr="000B0FDA">
        <w:rPr>
          <w:rFonts w:hint="eastAsia"/>
          <w:szCs w:val="21"/>
        </w:rPr>
        <w:t>芯（</w:t>
      </w:r>
      <w:r w:rsidRPr="000B0FDA">
        <w:rPr>
          <w:rFonts w:hint="eastAsia"/>
          <w:szCs w:val="21"/>
        </w:rPr>
        <w:t>7</w:t>
      </w:r>
      <w:r w:rsidRPr="000B0FDA">
        <w:rPr>
          <w:rFonts w:hint="eastAsia"/>
          <w:szCs w:val="21"/>
        </w:rPr>
        <w:t>对芯）光纤通道</w:t>
      </w:r>
      <w:r>
        <w:rPr>
          <w:rFonts w:hint="eastAsia"/>
          <w:szCs w:val="21"/>
        </w:rPr>
        <w:t>。</w:t>
      </w:r>
    </w:p>
    <w:p w:rsidR="00A64D21" w:rsidRDefault="00A64D21" w:rsidP="00A64D21">
      <w:pPr>
        <w:tabs>
          <w:tab w:val="left" w:pos="900"/>
        </w:tabs>
        <w:spacing w:beforeLines="50" w:before="156" w:line="360" w:lineRule="auto"/>
        <w:ind w:firstLineChars="200" w:firstLine="420"/>
        <w:rPr>
          <w:szCs w:val="21"/>
        </w:rPr>
      </w:pPr>
      <w:r>
        <w:rPr>
          <w:szCs w:val="21"/>
        </w:rPr>
        <w:t xml:space="preserve"> 2</w:t>
      </w:r>
      <w:r>
        <w:rPr>
          <w:rFonts w:hint="eastAsia"/>
          <w:szCs w:val="21"/>
        </w:rPr>
        <w:t>）</w:t>
      </w:r>
      <w:r w:rsidRPr="000B0FDA">
        <w:rPr>
          <w:rFonts w:hint="eastAsia"/>
          <w:szCs w:val="21"/>
        </w:rPr>
        <w:t>从西安交通大学雁塔校区财经主楼机房至创新港</w:t>
      </w:r>
      <w:r w:rsidRPr="000B0FDA">
        <w:rPr>
          <w:rFonts w:hint="eastAsia"/>
          <w:szCs w:val="21"/>
        </w:rPr>
        <w:t>4</w:t>
      </w:r>
      <w:r w:rsidRPr="000B0FDA">
        <w:rPr>
          <w:rFonts w:hint="eastAsia"/>
          <w:szCs w:val="21"/>
        </w:rPr>
        <w:t>号巨构机房的</w:t>
      </w:r>
      <w:r w:rsidRPr="000B0FDA">
        <w:rPr>
          <w:rFonts w:hint="eastAsia"/>
          <w:szCs w:val="21"/>
        </w:rPr>
        <w:t>14</w:t>
      </w:r>
      <w:r w:rsidRPr="000B0FDA">
        <w:rPr>
          <w:rFonts w:hint="eastAsia"/>
          <w:szCs w:val="21"/>
        </w:rPr>
        <w:t>芯（</w:t>
      </w:r>
      <w:r w:rsidRPr="000B0FDA">
        <w:rPr>
          <w:rFonts w:hint="eastAsia"/>
          <w:szCs w:val="21"/>
        </w:rPr>
        <w:t>7</w:t>
      </w:r>
      <w:r w:rsidRPr="000B0FDA">
        <w:rPr>
          <w:rFonts w:hint="eastAsia"/>
          <w:szCs w:val="21"/>
        </w:rPr>
        <w:t>对芯）光纤通道</w:t>
      </w:r>
      <w:r>
        <w:rPr>
          <w:rFonts w:hint="eastAsia"/>
          <w:szCs w:val="21"/>
        </w:rPr>
        <w:t>。</w:t>
      </w:r>
    </w:p>
    <w:p w:rsidR="00A64D21" w:rsidRDefault="00A64D21" w:rsidP="00A64D21">
      <w:pPr>
        <w:tabs>
          <w:tab w:val="left" w:pos="900"/>
        </w:tabs>
        <w:spacing w:beforeLines="50" w:before="156" w:line="360" w:lineRule="auto"/>
        <w:ind w:firstLineChars="200" w:firstLine="420"/>
        <w:rPr>
          <w:szCs w:val="21"/>
        </w:rPr>
      </w:pPr>
      <w:r>
        <w:rPr>
          <w:rFonts w:hint="eastAsia"/>
          <w:szCs w:val="21"/>
        </w:rPr>
        <w:t xml:space="preserve"> </w:t>
      </w:r>
      <w:r>
        <w:rPr>
          <w:szCs w:val="21"/>
        </w:rPr>
        <w:t>3</w:t>
      </w:r>
      <w:r>
        <w:rPr>
          <w:rFonts w:hint="eastAsia"/>
          <w:szCs w:val="21"/>
        </w:rPr>
        <w:t>）</w:t>
      </w:r>
      <w:r w:rsidRPr="000B0FDA">
        <w:rPr>
          <w:rFonts w:hint="eastAsia"/>
          <w:szCs w:val="21"/>
        </w:rPr>
        <w:t>从西安交通大学兴庆校区网络信息中心机房至曲江校区网络主机房的</w:t>
      </w:r>
      <w:r w:rsidRPr="000B0FDA">
        <w:rPr>
          <w:rFonts w:hint="eastAsia"/>
          <w:szCs w:val="21"/>
        </w:rPr>
        <w:t>24</w:t>
      </w:r>
      <w:r w:rsidRPr="000B0FDA">
        <w:rPr>
          <w:rFonts w:hint="eastAsia"/>
          <w:szCs w:val="21"/>
        </w:rPr>
        <w:t>芯（</w:t>
      </w:r>
      <w:r w:rsidRPr="000B0FDA">
        <w:rPr>
          <w:rFonts w:hint="eastAsia"/>
          <w:szCs w:val="21"/>
        </w:rPr>
        <w:t>12</w:t>
      </w:r>
      <w:r w:rsidRPr="000B0FDA">
        <w:rPr>
          <w:rFonts w:hint="eastAsia"/>
          <w:szCs w:val="21"/>
        </w:rPr>
        <w:t>对芯）光纤通道</w:t>
      </w:r>
      <w:r>
        <w:rPr>
          <w:rFonts w:hint="eastAsia"/>
          <w:szCs w:val="21"/>
        </w:rPr>
        <w:t>。</w:t>
      </w:r>
    </w:p>
    <w:p w:rsidR="00A64D21" w:rsidRDefault="00A64D21" w:rsidP="00A64D21">
      <w:pPr>
        <w:tabs>
          <w:tab w:val="left" w:pos="900"/>
        </w:tabs>
        <w:spacing w:beforeLines="50" w:before="156" w:line="360" w:lineRule="auto"/>
        <w:ind w:firstLineChars="200" w:firstLine="420"/>
        <w:rPr>
          <w:szCs w:val="21"/>
        </w:rPr>
      </w:pPr>
      <w:r>
        <w:rPr>
          <w:rFonts w:hint="eastAsia"/>
          <w:szCs w:val="21"/>
        </w:rPr>
        <w:t>4</w:t>
      </w:r>
      <w:r>
        <w:rPr>
          <w:rFonts w:hint="eastAsia"/>
          <w:szCs w:val="21"/>
        </w:rPr>
        <w:t>）</w:t>
      </w:r>
      <w:r w:rsidRPr="000B0FDA">
        <w:rPr>
          <w:rFonts w:hint="eastAsia"/>
          <w:szCs w:val="21"/>
        </w:rPr>
        <w:t>从西安交通大学兴庆校区网络信息中心机房至雁塔校区财经主楼机房的</w:t>
      </w:r>
      <w:r w:rsidRPr="000B0FDA">
        <w:rPr>
          <w:rFonts w:hint="eastAsia"/>
          <w:szCs w:val="21"/>
        </w:rPr>
        <w:t>24</w:t>
      </w:r>
      <w:r w:rsidRPr="000B0FDA">
        <w:rPr>
          <w:rFonts w:hint="eastAsia"/>
          <w:szCs w:val="21"/>
        </w:rPr>
        <w:t>芯（</w:t>
      </w:r>
      <w:r w:rsidRPr="000B0FDA">
        <w:rPr>
          <w:rFonts w:hint="eastAsia"/>
          <w:szCs w:val="21"/>
        </w:rPr>
        <w:t>12</w:t>
      </w:r>
      <w:r w:rsidRPr="000B0FDA">
        <w:rPr>
          <w:rFonts w:hint="eastAsia"/>
          <w:szCs w:val="21"/>
        </w:rPr>
        <w:t>对芯）光纤通道</w:t>
      </w:r>
      <w:r>
        <w:rPr>
          <w:rFonts w:hint="eastAsia"/>
          <w:szCs w:val="21"/>
        </w:rPr>
        <w:t>。</w:t>
      </w:r>
    </w:p>
    <w:p w:rsidR="00A64D21" w:rsidRDefault="00A64D21" w:rsidP="00A64D21">
      <w:pPr>
        <w:tabs>
          <w:tab w:val="left" w:pos="900"/>
        </w:tabs>
        <w:spacing w:beforeLines="50" w:before="156" w:line="360" w:lineRule="auto"/>
        <w:ind w:firstLineChars="200" w:firstLine="420"/>
        <w:rPr>
          <w:szCs w:val="21"/>
        </w:rPr>
      </w:pPr>
      <w:r>
        <w:rPr>
          <w:szCs w:val="21"/>
        </w:rPr>
        <w:t>5</w:t>
      </w:r>
      <w:r>
        <w:rPr>
          <w:rFonts w:hint="eastAsia"/>
          <w:szCs w:val="21"/>
        </w:rPr>
        <w:t>）从西安交通大学兴庆校区网络信息中心机房至阳光小区</w:t>
      </w:r>
      <w:r>
        <w:rPr>
          <w:rFonts w:hint="eastAsia"/>
          <w:szCs w:val="21"/>
        </w:rPr>
        <w:t>13</w:t>
      </w:r>
      <w:r>
        <w:rPr>
          <w:rFonts w:hint="eastAsia"/>
          <w:szCs w:val="21"/>
        </w:rPr>
        <w:t>号家属楼</w:t>
      </w:r>
      <w:r>
        <w:rPr>
          <w:rFonts w:hint="eastAsia"/>
          <w:szCs w:val="21"/>
        </w:rPr>
        <w:t>4</w:t>
      </w:r>
      <w:r>
        <w:rPr>
          <w:rFonts w:hint="eastAsia"/>
          <w:szCs w:val="21"/>
        </w:rPr>
        <w:t>芯（</w:t>
      </w:r>
      <w:r>
        <w:rPr>
          <w:rFonts w:hint="eastAsia"/>
          <w:szCs w:val="21"/>
        </w:rPr>
        <w:t>2</w:t>
      </w:r>
      <w:r>
        <w:rPr>
          <w:rFonts w:hint="eastAsia"/>
          <w:szCs w:val="21"/>
        </w:rPr>
        <w:t>对）光纤通道。</w:t>
      </w:r>
    </w:p>
    <w:p w:rsidR="00A64D21" w:rsidRDefault="00A64D21" w:rsidP="00A64D21">
      <w:pPr>
        <w:tabs>
          <w:tab w:val="left" w:pos="900"/>
        </w:tabs>
        <w:spacing w:beforeLines="50" w:before="156" w:line="360" w:lineRule="auto"/>
        <w:ind w:firstLineChars="200" w:firstLine="420"/>
        <w:rPr>
          <w:szCs w:val="21"/>
        </w:rPr>
      </w:pPr>
      <w:r>
        <w:rPr>
          <w:szCs w:val="21"/>
        </w:rPr>
        <w:t>6</w:t>
      </w:r>
      <w:r>
        <w:rPr>
          <w:rFonts w:hint="eastAsia"/>
          <w:szCs w:val="21"/>
        </w:rPr>
        <w:t>）从西安交通大学雁塔校区财经主楼机房至交大一附院机房</w:t>
      </w:r>
      <w:r>
        <w:rPr>
          <w:rFonts w:hint="eastAsia"/>
          <w:szCs w:val="21"/>
        </w:rPr>
        <w:t>12</w:t>
      </w:r>
      <w:r>
        <w:rPr>
          <w:rFonts w:hint="eastAsia"/>
          <w:szCs w:val="21"/>
        </w:rPr>
        <w:t>芯（</w:t>
      </w:r>
      <w:r>
        <w:rPr>
          <w:rFonts w:hint="eastAsia"/>
          <w:szCs w:val="21"/>
        </w:rPr>
        <w:t>6</w:t>
      </w:r>
      <w:r>
        <w:rPr>
          <w:rFonts w:hint="eastAsia"/>
          <w:szCs w:val="21"/>
        </w:rPr>
        <w:t>对）、医学北院</w:t>
      </w:r>
      <w:r>
        <w:rPr>
          <w:rFonts w:hint="eastAsia"/>
          <w:szCs w:val="21"/>
        </w:rPr>
        <w:t>24</w:t>
      </w:r>
      <w:r>
        <w:rPr>
          <w:rFonts w:hint="eastAsia"/>
          <w:szCs w:val="21"/>
        </w:rPr>
        <w:t>芯（</w:t>
      </w:r>
      <w:r>
        <w:rPr>
          <w:rFonts w:hint="eastAsia"/>
          <w:szCs w:val="21"/>
        </w:rPr>
        <w:t>12</w:t>
      </w:r>
      <w:r>
        <w:rPr>
          <w:rFonts w:hint="eastAsia"/>
          <w:szCs w:val="21"/>
        </w:rPr>
        <w:t>对）、西安交通大学第二附属小学</w:t>
      </w:r>
      <w:r>
        <w:rPr>
          <w:rFonts w:hint="eastAsia"/>
          <w:szCs w:val="21"/>
        </w:rPr>
        <w:t>8</w:t>
      </w:r>
      <w:r>
        <w:rPr>
          <w:rFonts w:hint="eastAsia"/>
          <w:szCs w:val="21"/>
        </w:rPr>
        <w:t>芯（</w:t>
      </w:r>
      <w:r>
        <w:rPr>
          <w:rFonts w:hint="eastAsia"/>
          <w:szCs w:val="21"/>
        </w:rPr>
        <w:t>4</w:t>
      </w:r>
      <w:r>
        <w:rPr>
          <w:rFonts w:hint="eastAsia"/>
          <w:szCs w:val="21"/>
        </w:rPr>
        <w:t>对）、西安交通大学继续教育学院</w:t>
      </w:r>
      <w:r>
        <w:rPr>
          <w:rFonts w:hint="eastAsia"/>
          <w:szCs w:val="21"/>
        </w:rPr>
        <w:t>12</w:t>
      </w:r>
      <w:r>
        <w:rPr>
          <w:rFonts w:hint="eastAsia"/>
          <w:szCs w:val="21"/>
        </w:rPr>
        <w:t>芯（</w:t>
      </w:r>
      <w:r>
        <w:rPr>
          <w:rFonts w:hint="eastAsia"/>
          <w:szCs w:val="21"/>
        </w:rPr>
        <w:t>6</w:t>
      </w:r>
      <w:r>
        <w:rPr>
          <w:rFonts w:hint="eastAsia"/>
          <w:szCs w:val="21"/>
        </w:rPr>
        <w:t>对）、财经南院</w:t>
      </w:r>
      <w:r>
        <w:rPr>
          <w:rFonts w:hint="eastAsia"/>
          <w:szCs w:val="21"/>
        </w:rPr>
        <w:t>12</w:t>
      </w:r>
      <w:r>
        <w:rPr>
          <w:rFonts w:hint="eastAsia"/>
          <w:szCs w:val="21"/>
        </w:rPr>
        <w:t>芯（</w:t>
      </w:r>
      <w:r>
        <w:rPr>
          <w:rFonts w:hint="eastAsia"/>
          <w:szCs w:val="21"/>
        </w:rPr>
        <w:t>6</w:t>
      </w:r>
      <w:r>
        <w:rPr>
          <w:rFonts w:hint="eastAsia"/>
          <w:szCs w:val="21"/>
        </w:rPr>
        <w:t>对）、医学南院</w:t>
      </w:r>
      <w:r>
        <w:rPr>
          <w:rFonts w:hint="eastAsia"/>
          <w:szCs w:val="21"/>
        </w:rPr>
        <w:t>12</w:t>
      </w:r>
      <w:r>
        <w:rPr>
          <w:rFonts w:hint="eastAsia"/>
          <w:szCs w:val="21"/>
        </w:rPr>
        <w:t>芯（</w:t>
      </w:r>
      <w:r>
        <w:rPr>
          <w:rFonts w:hint="eastAsia"/>
          <w:szCs w:val="21"/>
        </w:rPr>
        <w:t>6</w:t>
      </w:r>
      <w:r>
        <w:rPr>
          <w:rFonts w:hint="eastAsia"/>
          <w:szCs w:val="21"/>
        </w:rPr>
        <w:t>对）光纤通道。</w:t>
      </w:r>
    </w:p>
    <w:p w:rsidR="00A64D21" w:rsidRDefault="00A64D21" w:rsidP="00A64D21">
      <w:pPr>
        <w:tabs>
          <w:tab w:val="left" w:pos="900"/>
        </w:tabs>
        <w:spacing w:beforeLines="50" w:before="156" w:line="360" w:lineRule="auto"/>
        <w:ind w:firstLineChars="200" w:firstLine="420"/>
        <w:rPr>
          <w:szCs w:val="21"/>
        </w:rPr>
      </w:pPr>
      <w:r>
        <w:rPr>
          <w:rFonts w:hint="eastAsia"/>
          <w:szCs w:val="21"/>
        </w:rPr>
        <w:t>7</w:t>
      </w:r>
      <w:r>
        <w:rPr>
          <w:rFonts w:hint="eastAsia"/>
          <w:szCs w:val="21"/>
        </w:rPr>
        <w:t>）从西安交通大学兴庆校区网络信息中心机房至二附院家属区机房的</w:t>
      </w:r>
      <w:r>
        <w:rPr>
          <w:rFonts w:hint="eastAsia"/>
          <w:szCs w:val="21"/>
        </w:rPr>
        <w:t>6</w:t>
      </w:r>
      <w:r>
        <w:rPr>
          <w:rFonts w:hint="eastAsia"/>
          <w:szCs w:val="21"/>
        </w:rPr>
        <w:t>芯（</w:t>
      </w:r>
      <w:r>
        <w:rPr>
          <w:rFonts w:hint="eastAsia"/>
          <w:szCs w:val="21"/>
        </w:rPr>
        <w:t>3</w:t>
      </w:r>
      <w:r>
        <w:rPr>
          <w:rFonts w:hint="eastAsia"/>
          <w:szCs w:val="21"/>
        </w:rPr>
        <w:t>对）光纤通道。</w:t>
      </w:r>
    </w:p>
    <w:p w:rsidR="00A64D21" w:rsidRDefault="00A64D21" w:rsidP="00A64D21">
      <w:pPr>
        <w:tabs>
          <w:tab w:val="left" w:pos="900"/>
        </w:tabs>
        <w:spacing w:beforeLines="50" w:before="156" w:line="360" w:lineRule="auto"/>
        <w:ind w:firstLineChars="200" w:firstLine="500"/>
        <w:rPr>
          <w:rFonts w:ascii="宋体" w:hAnsi="宋体" w:cs="宋体"/>
          <w:spacing w:val="20"/>
        </w:rPr>
      </w:pPr>
      <w:r>
        <w:rPr>
          <w:rFonts w:ascii="宋体" w:hAnsi="宋体" w:cs="宋体" w:hint="eastAsia"/>
          <w:spacing w:val="20"/>
        </w:rPr>
        <w:t>9、为四校区提供共享的全球一体化加速服务带宽100Mbps，具体的技术指标如下表：</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6741"/>
      </w:tblGrid>
      <w:tr w:rsidR="00A64D21" w:rsidTr="00FC2342">
        <w:trPr>
          <w:trHeight w:val="850"/>
          <w:jc w:val="center"/>
        </w:trPr>
        <w:tc>
          <w:tcPr>
            <w:tcW w:w="805" w:type="pct"/>
            <w:vAlign w:val="center"/>
          </w:tcPr>
          <w:p w:rsidR="00A64D21" w:rsidRPr="00007725" w:rsidRDefault="00A64D21" w:rsidP="005C4554">
            <w:pPr>
              <w:jc w:val="center"/>
              <w:rPr>
                <w:rFonts w:asciiTheme="minorEastAsia" w:eastAsiaTheme="minorEastAsia" w:hAnsiTheme="minorEastAsia" w:cs="宋体"/>
                <w:szCs w:val="21"/>
              </w:rPr>
            </w:pPr>
            <w:r w:rsidRPr="00007725">
              <w:rPr>
                <w:rFonts w:asciiTheme="minorEastAsia" w:eastAsiaTheme="minorEastAsia" w:hAnsiTheme="minorEastAsia" w:cs="宋体" w:hint="eastAsia"/>
                <w:b/>
                <w:bCs/>
                <w:szCs w:val="21"/>
              </w:rPr>
              <w:t>需求概述</w:t>
            </w:r>
          </w:p>
        </w:tc>
        <w:tc>
          <w:tcPr>
            <w:tcW w:w="4195" w:type="pct"/>
            <w:vAlign w:val="center"/>
          </w:tcPr>
          <w:p w:rsidR="00A64D21" w:rsidRPr="00007725" w:rsidRDefault="00A64D21" w:rsidP="005C4554">
            <w:pPr>
              <w:jc w:val="center"/>
              <w:rPr>
                <w:rFonts w:asciiTheme="minorEastAsia" w:eastAsiaTheme="minorEastAsia" w:hAnsiTheme="minorEastAsia" w:cs="宋体"/>
                <w:szCs w:val="21"/>
              </w:rPr>
            </w:pPr>
            <w:r w:rsidRPr="00007725">
              <w:rPr>
                <w:rFonts w:asciiTheme="minorEastAsia" w:eastAsiaTheme="minorEastAsia" w:hAnsiTheme="minorEastAsia" w:cs="宋体" w:hint="eastAsia"/>
                <w:b/>
                <w:bCs/>
                <w:szCs w:val="21"/>
              </w:rPr>
              <w:t>技术要求</w:t>
            </w:r>
          </w:p>
        </w:tc>
      </w:tr>
      <w:tr w:rsidR="00A64D21" w:rsidTr="00FC2342">
        <w:trPr>
          <w:trHeight w:val="850"/>
          <w:jc w:val="center"/>
        </w:trPr>
        <w:tc>
          <w:tcPr>
            <w:tcW w:w="805" w:type="pct"/>
            <w:vMerge w:val="restart"/>
            <w:vAlign w:val="center"/>
          </w:tcPr>
          <w:p w:rsidR="00A64D21" w:rsidRPr="00007725" w:rsidRDefault="00A64D21" w:rsidP="005C4554">
            <w:pPr>
              <w:wordWrap w:val="0"/>
              <w:rPr>
                <w:rFonts w:asciiTheme="minorEastAsia" w:eastAsiaTheme="minorEastAsia" w:hAnsiTheme="minorEastAsia" w:cs="宋体"/>
                <w:szCs w:val="21"/>
              </w:rPr>
            </w:pPr>
            <w:r w:rsidRPr="00007725">
              <w:rPr>
                <w:rFonts w:asciiTheme="minorEastAsia" w:eastAsiaTheme="minorEastAsia" w:hAnsiTheme="minorEastAsia" w:cs="宋体" w:hint="eastAsia"/>
                <w:szCs w:val="21"/>
              </w:rPr>
              <w:t>服务能力</w:t>
            </w: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为西安交大兴庆校区、雁塔校区、曲江校区、创新港校区提供共享的全球一体化加速服务带宽为100Mbps</w:t>
            </w:r>
          </w:p>
        </w:tc>
      </w:tr>
      <w:tr w:rsidR="00A64D21" w:rsidTr="00FC2342">
        <w:trPr>
          <w:trHeight w:val="114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highlight w:val="cyan"/>
              </w:rPr>
            </w:pPr>
            <w:r w:rsidRPr="00007725">
              <w:rPr>
                <w:rFonts w:asciiTheme="minorEastAsia" w:eastAsiaTheme="minorEastAsia" w:hAnsiTheme="minorEastAsia" w:cs="宋体" w:hint="eastAsia"/>
                <w:spacing w:val="20"/>
                <w:szCs w:val="21"/>
              </w:rPr>
              <w:t>提供加速服务的骨干网资源应覆盖全球国家的主要城市；对于我校师生有新增加速需求但该区域骨干网资源未覆盖的情况，需在</w:t>
            </w:r>
            <w:r w:rsidRPr="00007725">
              <w:rPr>
                <w:rFonts w:asciiTheme="minorEastAsia" w:eastAsiaTheme="minorEastAsia" w:hAnsiTheme="minorEastAsia" w:hint="eastAsia"/>
                <w:szCs w:val="21"/>
              </w:rPr>
              <w:t>3-5</w:t>
            </w:r>
            <w:r w:rsidRPr="00007725">
              <w:rPr>
                <w:rFonts w:asciiTheme="minorEastAsia" w:eastAsiaTheme="minorEastAsia" w:hAnsiTheme="minorEastAsia" w:cs="宋体" w:hint="eastAsia"/>
                <w:spacing w:val="20"/>
                <w:szCs w:val="21"/>
              </w:rPr>
              <w:t>个工作日内完成覆盖（提供相关截图证明）</w:t>
            </w:r>
          </w:p>
        </w:tc>
      </w:tr>
      <w:tr w:rsidR="00A64D21" w:rsidTr="00FC2342">
        <w:trPr>
          <w:trHeight w:val="2266"/>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kern w:val="0"/>
                <w:szCs w:val="21"/>
              </w:rPr>
              <w:t>全球一体化加速效果。全球一体化智能加速网络通过部署全球区域的节点，采用动态最优路径算法实现实时路由优化。基于访问请求的源地址与目的地址，自动选择距离最近的加速节点建立专属传输通道，实现路由级智能调度，确保数据传输始终遵循延时最小路径最优原则。（注：该网络架构采用全局骨干网覆盖设计，所有流量均通过就近区域节点直接连通目标资源，不存在以香港作为流量中转（国内专线到香港，香港到国际走互联网）的链路方案）支持海外视频业务加速（zoom，skype，teams等）（提供相关截图证明）</w:t>
            </w:r>
          </w:p>
        </w:tc>
      </w:tr>
      <w:tr w:rsidR="00A64D21" w:rsidTr="00FC2342">
        <w:trPr>
          <w:trHeight w:val="1045"/>
          <w:jc w:val="center"/>
        </w:trPr>
        <w:tc>
          <w:tcPr>
            <w:tcW w:w="805" w:type="pct"/>
            <w:vMerge w:val="restart"/>
            <w:vAlign w:val="center"/>
          </w:tcPr>
          <w:p w:rsidR="00A64D21" w:rsidRPr="00007725" w:rsidRDefault="00A64D21" w:rsidP="005C4554">
            <w:pPr>
              <w:wordWrap w:val="0"/>
              <w:rPr>
                <w:rFonts w:asciiTheme="minorEastAsia" w:eastAsiaTheme="minorEastAsia" w:hAnsiTheme="minorEastAsia" w:cs="宋体"/>
                <w:szCs w:val="21"/>
              </w:rPr>
            </w:pPr>
            <w:r w:rsidRPr="00007725">
              <w:rPr>
                <w:rFonts w:asciiTheme="minorEastAsia" w:eastAsiaTheme="minorEastAsia" w:hAnsiTheme="minorEastAsia" w:cs="宋体" w:hint="eastAsia"/>
                <w:szCs w:val="21"/>
              </w:rPr>
              <w:t>网络可靠性</w:t>
            </w: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骨干网需提供冗余可靠的加速服务，支持基于丢包、延时、抖动为基础的SLA自动选路技术，选路切换中丢包敏感类业务（例如：视频会议）传输正常，无卡顿、马赛克及中断现象（提供相关截图证明）</w:t>
            </w:r>
          </w:p>
        </w:tc>
      </w:tr>
      <w:tr w:rsidR="00A64D21" w:rsidTr="00FC2342">
        <w:trPr>
          <w:trHeight w:val="49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网络可用率不低于99.9%</w:t>
            </w:r>
          </w:p>
        </w:tc>
      </w:tr>
      <w:tr w:rsidR="00A64D21" w:rsidTr="00FC2342">
        <w:trPr>
          <w:trHeight w:val="1470"/>
          <w:jc w:val="center"/>
        </w:trPr>
        <w:tc>
          <w:tcPr>
            <w:tcW w:w="805" w:type="pct"/>
            <w:vMerge w:val="restart"/>
            <w:vAlign w:val="center"/>
          </w:tcPr>
          <w:p w:rsidR="00A64D21" w:rsidRPr="00007725" w:rsidRDefault="00A64D21" w:rsidP="005C4554">
            <w:pPr>
              <w:wordWrap w:val="0"/>
              <w:rPr>
                <w:rFonts w:asciiTheme="minorEastAsia" w:eastAsiaTheme="minorEastAsia" w:hAnsiTheme="minorEastAsia" w:cs="宋体"/>
                <w:szCs w:val="21"/>
              </w:rPr>
            </w:pPr>
            <w:r w:rsidRPr="00007725">
              <w:rPr>
                <w:rFonts w:asciiTheme="minorEastAsia" w:eastAsiaTheme="minorEastAsia" w:hAnsiTheme="minorEastAsia" w:cs="宋体" w:hint="eastAsia"/>
                <w:szCs w:val="21"/>
              </w:rPr>
              <w:t>网络传输性能</w:t>
            </w: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加速链路所采用的软硬件具备智能QoS功能，能够在出口满负载的情况，优先保障关键业务的国际资源访问带宽，确保关键业务的全球一体化加速服务的效率和体验。同时可以依据优先级策略保障不同国际业务的访问效率和体验（提供相关截图证明）</w:t>
            </w:r>
          </w:p>
        </w:tc>
      </w:tr>
      <w:tr w:rsidR="00A64D21" w:rsidTr="00FC2342">
        <w:trPr>
          <w:trHeight w:val="1172"/>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对于丢包敏感类业务（例如：国际视频会议）要求在访问对端标准延时内、30%丢包以下的网络质量情况下，依然可保障业务流畅性（提供相关截图证明）</w:t>
            </w:r>
          </w:p>
        </w:tc>
      </w:tr>
      <w:tr w:rsidR="00A64D21" w:rsidTr="00FC2342">
        <w:trPr>
          <w:trHeight w:val="85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服务商提供的国际访问加速服务骨干网质量应达到或优于</w:t>
            </w:r>
            <w:r w:rsidRPr="00007725">
              <w:rPr>
                <w:rFonts w:asciiTheme="minorEastAsia" w:eastAsiaTheme="minorEastAsia" w:hAnsiTheme="minorEastAsia" w:cs="宋体" w:hint="eastAsia"/>
                <w:b/>
                <w:bCs/>
                <w:spacing w:val="20"/>
                <w:szCs w:val="21"/>
              </w:rPr>
              <w:t>下表1《国际核心节点网络访问质量要求》</w:t>
            </w:r>
            <w:r w:rsidRPr="00007725">
              <w:rPr>
                <w:rFonts w:asciiTheme="minorEastAsia" w:eastAsiaTheme="minorEastAsia" w:hAnsiTheme="minorEastAsia" w:cs="宋体" w:hint="eastAsia"/>
                <w:spacing w:val="20"/>
                <w:szCs w:val="21"/>
              </w:rPr>
              <w:t>中提出的参数要求（提供相关截图证明）</w:t>
            </w:r>
          </w:p>
        </w:tc>
      </w:tr>
      <w:tr w:rsidR="00A64D21" w:rsidTr="00FC2342">
        <w:trPr>
          <w:trHeight w:val="56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具备广域网加速能力，单线程传输带宽利用率≥90%，保障传输效率</w:t>
            </w:r>
          </w:p>
        </w:tc>
      </w:tr>
      <w:tr w:rsidR="00A64D21" w:rsidTr="00FC2342">
        <w:trPr>
          <w:trHeight w:val="58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加速服务硬件接入设备需支持多链路接入，链路故障自动切换</w:t>
            </w:r>
          </w:p>
        </w:tc>
      </w:tr>
      <w:tr w:rsidR="00A64D21" w:rsidTr="00FC2342">
        <w:trPr>
          <w:trHeight w:val="740"/>
          <w:jc w:val="center"/>
        </w:trPr>
        <w:tc>
          <w:tcPr>
            <w:tcW w:w="805" w:type="pct"/>
            <w:vMerge w:val="restart"/>
            <w:vAlign w:val="center"/>
          </w:tcPr>
          <w:p w:rsidR="00A64D21" w:rsidRPr="00007725" w:rsidRDefault="00A64D21" w:rsidP="005C4554">
            <w:pPr>
              <w:wordWrap w:val="0"/>
              <w:rPr>
                <w:rFonts w:asciiTheme="minorEastAsia" w:eastAsiaTheme="minorEastAsia" w:hAnsiTheme="minorEastAsia" w:cs="宋体"/>
                <w:szCs w:val="21"/>
              </w:rPr>
            </w:pPr>
            <w:r w:rsidRPr="00007725">
              <w:rPr>
                <w:rFonts w:asciiTheme="minorEastAsia" w:eastAsiaTheme="minorEastAsia" w:hAnsiTheme="minorEastAsia" w:cs="宋体" w:hint="eastAsia"/>
                <w:szCs w:val="21"/>
              </w:rPr>
              <w:t>安全性要求</w:t>
            </w: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提供符合《中华人民共和国网络安全法》要求的国际互联及资源访问服务</w:t>
            </w:r>
          </w:p>
        </w:tc>
      </w:tr>
      <w:tr w:rsidR="00A64D21" w:rsidTr="00FC2342">
        <w:trPr>
          <w:trHeight w:val="1184"/>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提供端到端数据加密。为保证数据端到端安全，数据的加密和解密需均在用户内网设备上完成，校园网外的传输途中，除了落地节点外，不能在链路中途存在加解密的节点和行为（提供相关截图证明）</w:t>
            </w:r>
          </w:p>
        </w:tc>
      </w:tr>
      <w:tr w:rsidR="00A64D21" w:rsidTr="00FC2342">
        <w:trPr>
          <w:trHeight w:val="794"/>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kern w:val="0"/>
                <w:szCs w:val="21"/>
              </w:rPr>
              <w:t>具备网站黑白名单管理功能</w:t>
            </w:r>
            <w:r w:rsidRPr="00007725">
              <w:rPr>
                <w:rFonts w:asciiTheme="minorEastAsia" w:eastAsiaTheme="minorEastAsia" w:hAnsiTheme="minorEastAsia" w:cs="宋体" w:hint="eastAsia"/>
                <w:spacing w:val="20"/>
                <w:kern w:val="0"/>
                <w:szCs w:val="21"/>
                <w:lang w:eastAsia="zh-Hans"/>
              </w:rPr>
              <w:t>，</w:t>
            </w:r>
            <w:r w:rsidRPr="00007725">
              <w:rPr>
                <w:rFonts w:asciiTheme="minorEastAsia" w:eastAsiaTheme="minorEastAsia" w:hAnsiTheme="minorEastAsia" w:cs="宋体" w:hint="eastAsia"/>
                <w:spacing w:val="20"/>
                <w:kern w:val="0"/>
                <w:szCs w:val="21"/>
              </w:rPr>
              <w:t>支持根据用户需求增加、更改或删除名单项目。支持对于用户/IP地址的访问控制。（需提供相关截图证明）</w:t>
            </w:r>
          </w:p>
        </w:tc>
      </w:tr>
      <w:tr w:rsidR="00A64D21" w:rsidTr="00FC2342">
        <w:trPr>
          <w:trHeight w:val="80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加密算法需支持国密算法SM4、AES-256、AES-192、AES-128、3DES等</w:t>
            </w:r>
          </w:p>
        </w:tc>
      </w:tr>
      <w:tr w:rsidR="00A64D21" w:rsidTr="00FC2342">
        <w:trPr>
          <w:trHeight w:val="85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应具备流量隔离技术，在整个传输环节中对不同租户或相同租户的不同部门的流量进行隔离，以确保不同租户或部门间的流量互不干扰、互不泄漏。</w:t>
            </w:r>
          </w:p>
        </w:tc>
      </w:tr>
      <w:tr w:rsidR="00A64D21" w:rsidTr="00FC2342">
        <w:trPr>
          <w:trHeight w:val="114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kern w:val="0"/>
                <w:szCs w:val="21"/>
              </w:rPr>
              <w:t>需提供审计功能（应含NAT审计功能），审计功能输出内容应包括但不限于每个访问请求的源IP、源端口、目标IP或目标域名、目标端口、协议、访问发起时间及NAT转换记录，且必须能导出报告。</w:t>
            </w:r>
          </w:p>
        </w:tc>
      </w:tr>
      <w:tr w:rsidR="00A64D21" w:rsidTr="00FC2342">
        <w:trPr>
          <w:trHeight w:val="700"/>
          <w:jc w:val="center"/>
        </w:trPr>
        <w:tc>
          <w:tcPr>
            <w:tcW w:w="805" w:type="pct"/>
            <w:vMerge w:val="restart"/>
            <w:vAlign w:val="center"/>
          </w:tcPr>
          <w:p w:rsidR="00A64D21" w:rsidRPr="00007725" w:rsidRDefault="00A64D21" w:rsidP="005C4554">
            <w:pPr>
              <w:wordWrap w:val="0"/>
              <w:rPr>
                <w:rFonts w:asciiTheme="minorEastAsia" w:eastAsiaTheme="minorEastAsia" w:hAnsiTheme="minorEastAsia" w:cs="宋体"/>
                <w:szCs w:val="21"/>
              </w:rPr>
            </w:pPr>
            <w:r w:rsidRPr="00007725">
              <w:rPr>
                <w:rFonts w:asciiTheme="minorEastAsia" w:eastAsiaTheme="minorEastAsia" w:hAnsiTheme="minorEastAsia" w:cs="宋体" w:hint="eastAsia"/>
                <w:szCs w:val="21"/>
              </w:rPr>
              <w:t>易用性要求</w:t>
            </w: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支持网络探测功能，可对自定义的地址进行链路质量探测（提供相关截图证明）</w:t>
            </w:r>
          </w:p>
        </w:tc>
      </w:tr>
      <w:tr w:rsidR="00A64D21" w:rsidTr="00FC2342">
        <w:trPr>
          <w:trHeight w:val="51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加速服务硬件接入设备需支持即插即用，只需简单接线即可开通使用</w:t>
            </w:r>
          </w:p>
        </w:tc>
      </w:tr>
      <w:tr w:rsidR="00A64D21" w:rsidTr="00FC2342">
        <w:trPr>
          <w:trHeight w:val="85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全球一体化加速服务带宽可以在不影响用户正常使用的情况下，灵活、方便地进行扩容。扩容量不超过100Mbps时，需要在30分钟内完成</w:t>
            </w:r>
          </w:p>
        </w:tc>
      </w:tr>
      <w:tr w:rsidR="00A64D21" w:rsidTr="00FC2342">
        <w:trPr>
          <w:trHeight w:val="199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支持软硬件（硬件CPE设备与软件客户端）带宽动态共享机制，允许多硬件设备与软件客户端共同使用同一订阅带宽池，在硬件设备带宽闲置时，能够自动将空闲带宽分配给其他硬件设备以及软件客户端使用；同样在软件客户端带宽闲置时，能够自动释放空闲带宽分配至硬件设备，并确保带宽分配实时动态调整，满足业务优先级需求，提升带宽使用效率。</w:t>
            </w:r>
          </w:p>
        </w:tc>
      </w:tr>
      <w:tr w:rsidR="00A64D21" w:rsidTr="00FC2342">
        <w:trPr>
          <w:trHeight w:val="1249"/>
          <w:jc w:val="center"/>
        </w:trPr>
        <w:tc>
          <w:tcPr>
            <w:tcW w:w="805" w:type="pct"/>
            <w:vMerge w:val="restart"/>
            <w:vAlign w:val="center"/>
          </w:tcPr>
          <w:p w:rsidR="00A64D21" w:rsidRPr="00007725" w:rsidRDefault="00A64D21" w:rsidP="005C4554">
            <w:pPr>
              <w:wordWrap w:val="0"/>
              <w:rPr>
                <w:rFonts w:asciiTheme="minorEastAsia" w:eastAsiaTheme="minorEastAsia" w:hAnsiTheme="minorEastAsia" w:cs="宋体"/>
                <w:szCs w:val="21"/>
              </w:rPr>
            </w:pPr>
            <w:r w:rsidRPr="00007725">
              <w:rPr>
                <w:rFonts w:asciiTheme="minorEastAsia" w:eastAsiaTheme="minorEastAsia" w:hAnsiTheme="minorEastAsia" w:cs="宋体" w:hint="eastAsia"/>
                <w:szCs w:val="21"/>
              </w:rPr>
              <w:t>校外师生移动接入要求</w:t>
            </w: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提供不少于300人并发使用的移动接入客户端。满足我校海外访问学者在全球各地接入国际加速访问服务网络，能够同时访问国际资源和校园网</w:t>
            </w:r>
            <w:r w:rsidRPr="00007725">
              <w:rPr>
                <w:rFonts w:asciiTheme="minorEastAsia" w:eastAsiaTheme="minorEastAsia" w:hAnsiTheme="minorEastAsia" w:cs="宋体" w:hint="eastAsia"/>
                <w:spacing w:val="20"/>
                <w:szCs w:val="21"/>
                <w:lang w:eastAsia="zh-Hans"/>
              </w:rPr>
              <w:t>内网</w:t>
            </w:r>
            <w:r w:rsidRPr="00007725">
              <w:rPr>
                <w:rFonts w:asciiTheme="minorEastAsia" w:eastAsiaTheme="minorEastAsia" w:hAnsiTheme="minorEastAsia" w:cs="宋体" w:hint="eastAsia"/>
                <w:spacing w:val="20"/>
                <w:szCs w:val="21"/>
              </w:rPr>
              <w:t>资源（提供相关截图和技术实现方案证明）</w:t>
            </w:r>
          </w:p>
        </w:tc>
      </w:tr>
      <w:tr w:rsidR="00A64D21" w:rsidTr="00FC2342">
        <w:trPr>
          <w:trHeight w:val="1127"/>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lang w:eastAsia="zh-Hans"/>
              </w:rPr>
            </w:pPr>
            <w:r w:rsidRPr="00007725">
              <w:rPr>
                <w:rFonts w:asciiTheme="minorEastAsia" w:eastAsiaTheme="minorEastAsia" w:hAnsiTheme="minorEastAsia" w:cs="宋体" w:hint="eastAsia"/>
                <w:spacing w:val="20"/>
                <w:szCs w:val="21"/>
                <w:lang w:eastAsia="zh-Hans"/>
              </w:rPr>
              <w:t>软件客户端需支持多种终端设备类型（Windows/macOS/Android/IOS/统信UOS/麒麟/鸿蒙），界面统一，配置简单。支持自动批量部署，降低部署难度（提供</w:t>
            </w:r>
            <w:r w:rsidRPr="00007725">
              <w:rPr>
                <w:rFonts w:asciiTheme="minorEastAsia" w:eastAsiaTheme="minorEastAsia" w:hAnsiTheme="minorEastAsia" w:cs="宋体" w:hint="eastAsia"/>
                <w:spacing w:val="20"/>
                <w:szCs w:val="21"/>
              </w:rPr>
              <w:t>相关</w:t>
            </w:r>
            <w:r w:rsidRPr="00007725">
              <w:rPr>
                <w:rFonts w:asciiTheme="minorEastAsia" w:eastAsiaTheme="minorEastAsia" w:hAnsiTheme="minorEastAsia" w:cs="宋体" w:hint="eastAsia"/>
                <w:spacing w:val="20"/>
                <w:szCs w:val="21"/>
                <w:lang w:eastAsia="zh-Hans"/>
              </w:rPr>
              <w:t>截图证明）</w:t>
            </w:r>
          </w:p>
        </w:tc>
      </w:tr>
      <w:tr w:rsidR="00A64D21" w:rsidTr="00FC2342">
        <w:trPr>
          <w:trHeight w:val="1675"/>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lang w:eastAsia="zh-Hans"/>
              </w:rPr>
            </w:pPr>
            <w:r w:rsidRPr="00007725">
              <w:rPr>
                <w:rFonts w:asciiTheme="minorEastAsia" w:eastAsiaTheme="minorEastAsia" w:hAnsiTheme="minorEastAsia" w:cs="宋体" w:hint="eastAsia"/>
                <w:spacing w:val="20"/>
                <w:szCs w:val="21"/>
                <w:lang w:eastAsia="zh-Hans"/>
              </w:rPr>
              <w:t>需支持多种认证方式，实现移动办公用户便捷入网。（以下认证方式需至少满足其中2种）</w:t>
            </w:r>
          </w:p>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lang w:eastAsia="zh-Hans"/>
              </w:rPr>
              <w:t>1.支持本地账户名+密码的认证方式</w:t>
            </w:r>
          </w:p>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lang w:eastAsia="zh-Hans"/>
              </w:rPr>
              <w:t>2.支持对接用户LDAP、RADIUS认证服务器进行认证</w:t>
            </w:r>
          </w:p>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lang w:eastAsia="zh-Hans"/>
              </w:rPr>
              <w:t>3.支持基于OAuth2 授权码模式完成统一身份认证</w:t>
            </w:r>
          </w:p>
        </w:tc>
      </w:tr>
      <w:tr w:rsidR="00A64D21" w:rsidTr="00FC2342">
        <w:trPr>
          <w:trHeight w:val="73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lang w:eastAsia="zh-Hans"/>
              </w:rPr>
              <w:t>支持账号与终端绑定功能，绑定完成后，账号在其它非绑定终端上的登录操作将被拒绝，避免账号外泄引发的安全风险</w:t>
            </w:r>
          </w:p>
        </w:tc>
      </w:tr>
      <w:tr w:rsidR="00A64D21" w:rsidTr="00FC2342">
        <w:trPr>
          <w:trHeight w:val="1293"/>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lang w:eastAsia="zh-Hans"/>
              </w:rPr>
            </w:pPr>
            <w:r w:rsidRPr="00007725">
              <w:rPr>
                <w:rFonts w:asciiTheme="minorEastAsia" w:eastAsiaTheme="minorEastAsia" w:hAnsiTheme="minorEastAsia" w:cs="宋体" w:hint="eastAsia"/>
                <w:spacing w:val="20"/>
                <w:szCs w:val="21"/>
                <w:lang w:eastAsia="zh-Hans"/>
              </w:rPr>
              <w:t>需支持双因子认证方式，进一步提高入网安全性。（以下认证方式全满足）</w:t>
            </w:r>
          </w:p>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lang w:eastAsia="zh-Hans"/>
              </w:rPr>
              <w:t>1.支持使用短信实现双因子认证</w:t>
            </w:r>
          </w:p>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lang w:eastAsia="zh-Hans"/>
              </w:rPr>
              <w:t>2.支持使用OTP动态口令实现双因子认证</w:t>
            </w:r>
          </w:p>
        </w:tc>
      </w:tr>
      <w:tr w:rsidR="00A64D21" w:rsidTr="00FC2342">
        <w:trPr>
          <w:trHeight w:val="1646"/>
          <w:jc w:val="center"/>
        </w:trPr>
        <w:tc>
          <w:tcPr>
            <w:tcW w:w="805" w:type="pct"/>
            <w:vAlign w:val="center"/>
          </w:tcPr>
          <w:p w:rsidR="00A64D21" w:rsidRPr="00007725" w:rsidRDefault="00A64D21" w:rsidP="005C4554">
            <w:pPr>
              <w:wordWrap w:val="0"/>
              <w:rPr>
                <w:rFonts w:asciiTheme="minorEastAsia" w:eastAsiaTheme="minorEastAsia" w:hAnsiTheme="minorEastAsia" w:cs="宋体"/>
                <w:szCs w:val="21"/>
              </w:rPr>
            </w:pPr>
            <w:r w:rsidRPr="00007725">
              <w:rPr>
                <w:rFonts w:asciiTheme="minorEastAsia" w:eastAsiaTheme="minorEastAsia" w:hAnsiTheme="minorEastAsia" w:cs="宋体" w:hint="eastAsia"/>
                <w:szCs w:val="21"/>
              </w:rPr>
              <w:t>服务可用率</w:t>
            </w: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zCs w:val="21"/>
              </w:rPr>
            </w:pPr>
            <w:r w:rsidRPr="00007725">
              <w:rPr>
                <w:rFonts w:asciiTheme="minorEastAsia" w:eastAsiaTheme="minorEastAsia" w:hAnsiTheme="minorEastAsia" w:cs="宋体" w:hint="eastAsia"/>
                <w:szCs w:val="21"/>
              </w:rPr>
              <w:t>服务可用率标定了</w:t>
            </w:r>
            <w:r w:rsidRPr="00007725">
              <w:rPr>
                <w:rFonts w:asciiTheme="minorEastAsia" w:eastAsiaTheme="minorEastAsia" w:hAnsiTheme="minorEastAsia" w:cs="宋体"/>
                <w:szCs w:val="21"/>
              </w:rPr>
              <w:t>SD-WAN建设完成后该SD-WAN服务对于所服务单位的系统可用性高低。在统计上，以一个自然月为周期，由一个周期内的总时间和不可用时间计算得出。具体计算公式为：</w:t>
            </w:r>
          </w:p>
          <w:p w:rsidR="00A64D21" w:rsidRPr="00007725" w:rsidRDefault="00A64D21" w:rsidP="005C4554">
            <w:pPr>
              <w:wordWrap w:val="0"/>
              <w:spacing w:line="300" w:lineRule="exact"/>
              <w:ind w:leftChars="104" w:left="218"/>
              <w:rPr>
                <w:rFonts w:asciiTheme="minorEastAsia" w:eastAsiaTheme="minorEastAsia" w:hAnsiTheme="minorEastAsia" w:cs="宋体"/>
                <w:spacing w:val="20"/>
                <w:szCs w:val="21"/>
                <w:lang w:eastAsia="zh-Hans"/>
              </w:rPr>
            </w:pPr>
            <w:r w:rsidRPr="00007725">
              <w:rPr>
                <w:rFonts w:asciiTheme="minorEastAsia" w:eastAsiaTheme="minorEastAsia" w:hAnsiTheme="minorEastAsia" w:cs="宋体"/>
                <w:szCs w:val="21"/>
              </w:rPr>
              <w:t xml:space="preserve">SD-WAN可用率 =（周期总时间–周期内不可用时间）/ </w:t>
            </w:r>
            <w:r w:rsidRPr="00007725">
              <w:rPr>
                <w:rFonts w:asciiTheme="minorEastAsia" w:eastAsiaTheme="minorEastAsia" w:hAnsiTheme="minorEastAsia" w:cs="宋体" w:hint="eastAsia"/>
                <w:szCs w:val="21"/>
              </w:rPr>
              <w:t>周期总时间</w:t>
            </w:r>
            <w:r w:rsidRPr="00007725">
              <w:rPr>
                <w:rFonts w:asciiTheme="minorEastAsia" w:eastAsiaTheme="minorEastAsia" w:hAnsiTheme="minorEastAsia" w:cs="宋体"/>
                <w:szCs w:val="21"/>
              </w:rPr>
              <w:t xml:space="preserve"> * 100%</w:t>
            </w:r>
            <w:r w:rsidRPr="00007725">
              <w:rPr>
                <w:rFonts w:asciiTheme="minorEastAsia" w:eastAsiaTheme="minorEastAsia" w:hAnsiTheme="minorEastAsia" w:cs="宋体"/>
                <w:szCs w:val="21"/>
              </w:rPr>
              <w:br/>
              <w:t>POP点之间：每月平均值需达到99.9%；</w:t>
            </w:r>
          </w:p>
        </w:tc>
      </w:tr>
      <w:tr w:rsidR="00A64D21" w:rsidTr="00FC2342">
        <w:trPr>
          <w:trHeight w:val="1469"/>
          <w:jc w:val="center"/>
        </w:trPr>
        <w:tc>
          <w:tcPr>
            <w:tcW w:w="805" w:type="pct"/>
            <w:vMerge w:val="restart"/>
            <w:vAlign w:val="center"/>
          </w:tcPr>
          <w:p w:rsidR="00A64D21" w:rsidRPr="00007725" w:rsidRDefault="00A64D21" w:rsidP="005C4554">
            <w:pPr>
              <w:wordWrap w:val="0"/>
              <w:rPr>
                <w:rFonts w:asciiTheme="minorEastAsia" w:eastAsiaTheme="minorEastAsia" w:hAnsiTheme="minorEastAsia" w:cs="宋体"/>
                <w:szCs w:val="21"/>
              </w:rPr>
            </w:pPr>
            <w:r w:rsidRPr="00007725">
              <w:rPr>
                <w:rFonts w:asciiTheme="minorEastAsia" w:eastAsiaTheme="minorEastAsia" w:hAnsiTheme="minorEastAsia" w:cs="宋体" w:hint="eastAsia"/>
                <w:szCs w:val="21"/>
              </w:rPr>
              <w:t>运维管理</w:t>
            </w: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lang w:eastAsia="zh-Hans"/>
              </w:rPr>
              <w:t>为校方提供基本的运维管理功能，可通过可视化管理界面，实现对网络链路质量进行监控、统计和管理，并提供实时的告警功能。支持实时及历史查看线路带宽、延时、抖动，Top N流量排行统计等信息（</w:t>
            </w:r>
            <w:r w:rsidRPr="00007725">
              <w:rPr>
                <w:rFonts w:asciiTheme="minorEastAsia" w:eastAsiaTheme="minorEastAsia" w:hAnsiTheme="minorEastAsia" w:cs="宋体" w:hint="eastAsia"/>
                <w:spacing w:val="20"/>
                <w:szCs w:val="21"/>
              </w:rPr>
              <w:t>提供相关截图证明</w:t>
            </w:r>
            <w:r w:rsidRPr="00007725">
              <w:rPr>
                <w:rFonts w:asciiTheme="minorEastAsia" w:eastAsiaTheme="minorEastAsia" w:hAnsiTheme="minorEastAsia" w:cs="宋体" w:hint="eastAsia"/>
                <w:spacing w:val="20"/>
                <w:szCs w:val="21"/>
                <w:lang w:eastAsia="zh-Hans"/>
              </w:rPr>
              <w:t>）</w:t>
            </w:r>
          </w:p>
        </w:tc>
      </w:tr>
      <w:tr w:rsidR="00A64D21" w:rsidTr="00FC2342">
        <w:trPr>
          <w:trHeight w:val="1161"/>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支持告警功能。设备、线路健康状态异常时可向指定的运维IT邮箱发送告警邮件；支持电话、短信告警，确保及时响应并处理，保障业务系统正常运行（提供相关截图证明）</w:t>
            </w:r>
          </w:p>
        </w:tc>
      </w:tr>
      <w:tr w:rsidR="00A64D21" w:rsidTr="00FC2342">
        <w:trPr>
          <w:trHeight w:val="45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管理平台登录支持双因子认证（提供相关截图证明）</w:t>
            </w:r>
          </w:p>
        </w:tc>
      </w:tr>
      <w:tr w:rsidR="00A64D21" w:rsidTr="00FC2342">
        <w:trPr>
          <w:trHeight w:val="73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现场技术支持覆盖全国一二线城市及所有地级市，海外至少30个以上国家或地区</w:t>
            </w:r>
          </w:p>
        </w:tc>
      </w:tr>
      <w:tr w:rsidR="00A64D21" w:rsidTr="00FC2342">
        <w:trPr>
          <w:trHeight w:val="490"/>
          <w:jc w:val="center"/>
        </w:trPr>
        <w:tc>
          <w:tcPr>
            <w:tcW w:w="805" w:type="pct"/>
            <w:vMerge w:val="restart"/>
            <w:vAlign w:val="center"/>
          </w:tcPr>
          <w:p w:rsidR="00A64D21" w:rsidRPr="00007725" w:rsidRDefault="00A64D21" w:rsidP="005C4554">
            <w:pPr>
              <w:wordWrap w:val="0"/>
              <w:rPr>
                <w:rFonts w:asciiTheme="minorEastAsia" w:eastAsiaTheme="minorEastAsia" w:hAnsiTheme="minorEastAsia" w:cs="宋体"/>
                <w:szCs w:val="21"/>
                <w:lang w:eastAsia="zh-Hans"/>
              </w:rPr>
            </w:pPr>
            <w:r w:rsidRPr="00007725">
              <w:rPr>
                <w:rFonts w:asciiTheme="minorEastAsia" w:eastAsiaTheme="minorEastAsia" w:hAnsiTheme="minorEastAsia" w:cs="宋体" w:hint="eastAsia"/>
                <w:szCs w:val="21"/>
                <w:lang w:eastAsia="zh-Hans"/>
              </w:rPr>
              <w:t>人员现场保障</w:t>
            </w: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lang w:eastAsia="zh-Hans"/>
              </w:rPr>
              <w:t>提供7*24的售后服务</w:t>
            </w:r>
            <w:r w:rsidRPr="00007725">
              <w:rPr>
                <w:rFonts w:asciiTheme="minorEastAsia" w:eastAsiaTheme="minorEastAsia" w:hAnsiTheme="minorEastAsia" w:cs="宋体" w:hint="eastAsia"/>
                <w:spacing w:val="20"/>
                <w:szCs w:val="21"/>
              </w:rPr>
              <w:t>（提供承诺函）</w:t>
            </w:r>
          </w:p>
        </w:tc>
      </w:tr>
      <w:tr w:rsidR="00A64D21" w:rsidTr="00FC2342">
        <w:trPr>
          <w:trHeight w:val="85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lang w:eastAsia="zh-Hans"/>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在学校需要召开重大跨国视频会议时，提供现场技术保障服务，确保全球一体化加速服务网络的正常（提供承诺函）</w:t>
            </w:r>
          </w:p>
        </w:tc>
      </w:tr>
      <w:tr w:rsidR="00A64D21" w:rsidTr="00FC2342">
        <w:trPr>
          <w:trHeight w:val="560"/>
          <w:jc w:val="center"/>
        </w:trPr>
        <w:tc>
          <w:tcPr>
            <w:tcW w:w="805" w:type="pct"/>
            <w:vMerge/>
            <w:vAlign w:val="center"/>
          </w:tcPr>
          <w:p w:rsidR="00A64D21" w:rsidRPr="00007725" w:rsidRDefault="00A64D21" w:rsidP="005C4554">
            <w:pPr>
              <w:wordWrap w:val="0"/>
              <w:rPr>
                <w:rFonts w:asciiTheme="minorEastAsia" w:eastAsiaTheme="minorEastAsia" w:hAnsiTheme="minorEastAsia" w:cs="宋体"/>
                <w:szCs w:val="21"/>
                <w:lang w:eastAsia="zh-Hans"/>
              </w:rPr>
            </w:pPr>
          </w:p>
        </w:tc>
        <w:tc>
          <w:tcPr>
            <w:tcW w:w="4195" w:type="pct"/>
            <w:vAlign w:val="center"/>
          </w:tcPr>
          <w:p w:rsidR="00A64D21" w:rsidRPr="00007725" w:rsidRDefault="00A64D21" w:rsidP="005C4554">
            <w:pPr>
              <w:wordWrap w:val="0"/>
              <w:spacing w:line="300" w:lineRule="exact"/>
              <w:rPr>
                <w:rFonts w:asciiTheme="minorEastAsia" w:eastAsiaTheme="minorEastAsia" w:hAnsiTheme="minorEastAsia" w:cs="宋体"/>
                <w:spacing w:val="20"/>
                <w:szCs w:val="21"/>
              </w:rPr>
            </w:pPr>
            <w:r w:rsidRPr="00007725">
              <w:rPr>
                <w:rFonts w:asciiTheme="minorEastAsia" w:eastAsiaTheme="minorEastAsia" w:hAnsiTheme="minorEastAsia" w:cs="宋体" w:hint="eastAsia"/>
                <w:spacing w:val="20"/>
                <w:szCs w:val="21"/>
              </w:rPr>
              <w:t>国际网络优化服务等级协议（提供承诺函）</w:t>
            </w:r>
          </w:p>
        </w:tc>
      </w:tr>
    </w:tbl>
    <w:p w:rsidR="00FC2342" w:rsidRPr="00007725" w:rsidRDefault="00FC2342" w:rsidP="00FC2342">
      <w:pPr>
        <w:widowControl/>
        <w:kinsoku w:val="0"/>
        <w:autoSpaceDE w:val="0"/>
        <w:autoSpaceDN w:val="0"/>
        <w:adjustRightInd w:val="0"/>
        <w:snapToGrid w:val="0"/>
        <w:spacing w:beforeLines="50" w:before="156" w:afterLines="50" w:after="156"/>
        <w:jc w:val="center"/>
        <w:textAlignment w:val="baseline"/>
        <w:rPr>
          <w:rFonts w:ascii="宋体" w:hAnsi="宋体" w:cs="Arial"/>
          <w:b/>
          <w:snapToGrid w:val="0"/>
          <w:color w:val="000000"/>
          <w:kern w:val="0"/>
          <w:szCs w:val="21"/>
        </w:rPr>
      </w:pPr>
      <w:r w:rsidRPr="00007725">
        <w:rPr>
          <w:rFonts w:ascii="宋体" w:hAnsi="宋体" w:cs="Arial" w:hint="eastAsia"/>
          <w:b/>
          <w:snapToGrid w:val="0"/>
          <w:color w:val="000000"/>
          <w:kern w:val="0"/>
          <w:szCs w:val="21"/>
        </w:rPr>
        <w:t>表1《国际核心节点网络访问质量要求》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93"/>
        <w:gridCol w:w="124"/>
        <w:gridCol w:w="883"/>
        <w:gridCol w:w="286"/>
        <w:gridCol w:w="498"/>
        <w:gridCol w:w="488"/>
        <w:gridCol w:w="542"/>
        <w:gridCol w:w="821"/>
        <w:gridCol w:w="887"/>
        <w:gridCol w:w="424"/>
        <w:gridCol w:w="615"/>
        <w:gridCol w:w="485"/>
        <w:gridCol w:w="1317"/>
      </w:tblGrid>
      <w:tr w:rsidR="00FC2342" w:rsidRPr="00007725" w:rsidTr="005C4554">
        <w:trPr>
          <w:trHeight w:val="488"/>
          <w:jc w:val="center"/>
        </w:trPr>
        <w:tc>
          <w:tcPr>
            <w:tcW w:w="8709" w:type="dxa"/>
            <w:gridSpan w:val="14"/>
            <w:tcBorders>
              <w:bottom w:val="single" w:sz="4" w:space="0" w:color="auto"/>
            </w:tcBorders>
            <w:shd w:val="clear" w:color="auto" w:fill="59595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color w:val="FFFFFF"/>
                <w:kern w:val="0"/>
                <w:szCs w:val="21"/>
              </w:rPr>
            </w:pPr>
            <w:r w:rsidRPr="00007725">
              <w:rPr>
                <w:rFonts w:ascii="宋体" w:hAnsi="宋体" w:cs="微软雅黑" w:hint="eastAsia"/>
                <w:snapToGrid w:val="0"/>
                <w:color w:val="FFFFFF"/>
                <w:kern w:val="0"/>
                <w:szCs w:val="21"/>
              </w:rPr>
              <w:t>到东亚节点网络质量要求</w:t>
            </w:r>
          </w:p>
        </w:tc>
      </w:tr>
      <w:tr w:rsidR="00FC2342" w:rsidRPr="00007725" w:rsidTr="005C4554">
        <w:trPr>
          <w:jc w:val="center"/>
        </w:trPr>
        <w:tc>
          <w:tcPr>
            <w:tcW w:w="985"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rPr>
            </w:pPr>
          </w:p>
        </w:tc>
        <w:tc>
          <w:tcPr>
            <w:tcW w:w="1345"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r w:rsidRPr="00007725">
              <w:rPr>
                <w:rFonts w:ascii="宋体" w:hAnsi="宋体" w:cs="宋体" w:hint="eastAsia"/>
                <w:snapToGrid w:val="0"/>
                <w:kern w:val="0"/>
                <w:szCs w:val="21"/>
              </w:rPr>
              <w:t>日本</w:t>
            </w:r>
          </w:p>
        </w:tc>
        <w:tc>
          <w:tcPr>
            <w:tcW w:w="1610"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lang w:eastAsia="en-US"/>
              </w:rPr>
            </w:pPr>
            <w:r w:rsidRPr="00007725">
              <w:rPr>
                <w:rFonts w:ascii="宋体" w:hAnsi="宋体" w:cs="宋体" w:hint="eastAsia"/>
                <w:snapToGrid w:val="0"/>
                <w:kern w:val="0"/>
                <w:szCs w:val="21"/>
              </w:rPr>
              <w:t>韩国</w:t>
            </w:r>
          </w:p>
        </w:tc>
        <w:tc>
          <w:tcPr>
            <w:tcW w:w="1803" w:type="dxa"/>
            <w:gridSpan w:val="2"/>
            <w:shd w:val="clear" w:color="auto" w:fill="D9D9D9"/>
            <w:vAlign w:val="center"/>
          </w:tcPr>
          <w:p w:rsidR="00FC2342" w:rsidRPr="00007725" w:rsidRDefault="00FC2342" w:rsidP="00FC2342">
            <w:pPr>
              <w:widowControl/>
              <w:wordWrap w:val="0"/>
              <w:jc w:val="center"/>
              <w:rPr>
                <w:rFonts w:ascii="宋体" w:hAnsi="宋体" w:cs="宋体"/>
                <w:snapToGrid w:val="0"/>
                <w:kern w:val="0"/>
                <w:szCs w:val="21"/>
                <w:lang w:eastAsia="en-US"/>
              </w:rPr>
            </w:pPr>
            <w:r w:rsidRPr="00007725">
              <w:rPr>
                <w:rFonts w:ascii="宋体" w:hAnsi="宋体" w:cs="宋体" w:hint="eastAsia"/>
                <w:snapToGrid w:val="0"/>
                <w:kern w:val="0"/>
                <w:szCs w:val="21"/>
              </w:rPr>
              <w:t>蒙古</w:t>
            </w:r>
          </w:p>
        </w:tc>
        <w:tc>
          <w:tcPr>
            <w:tcW w:w="1579"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lang w:eastAsia="en-US"/>
              </w:rPr>
            </w:pPr>
            <w:r w:rsidRPr="00007725">
              <w:rPr>
                <w:rFonts w:ascii="宋体" w:hAnsi="宋体" w:cs="宋体" w:hint="eastAsia"/>
                <w:snapToGrid w:val="0"/>
                <w:kern w:val="0"/>
                <w:szCs w:val="21"/>
              </w:rPr>
              <w:t>文莱</w:t>
            </w:r>
          </w:p>
        </w:tc>
        <w:tc>
          <w:tcPr>
            <w:tcW w:w="1387" w:type="dxa"/>
            <w:shd w:val="clear" w:color="auto" w:fill="D9D9D9"/>
            <w:vAlign w:val="center"/>
          </w:tcPr>
          <w:p w:rsidR="00FC2342" w:rsidRPr="00007725" w:rsidRDefault="00FC2342" w:rsidP="00FC2342">
            <w:pPr>
              <w:widowControl/>
              <w:wordWrap w:val="0"/>
              <w:jc w:val="center"/>
              <w:rPr>
                <w:rFonts w:ascii="宋体" w:hAnsi="宋体" w:cs="宋体"/>
                <w:snapToGrid w:val="0"/>
                <w:kern w:val="0"/>
                <w:szCs w:val="21"/>
                <w:lang w:eastAsia="en-US"/>
              </w:rPr>
            </w:pPr>
            <w:r w:rsidRPr="00007725">
              <w:rPr>
                <w:rFonts w:ascii="宋体" w:hAnsi="宋体" w:cs="宋体" w:hint="eastAsia"/>
                <w:snapToGrid w:val="0"/>
                <w:kern w:val="0"/>
                <w:szCs w:val="21"/>
              </w:rPr>
              <w:t>台湾(中国)</w:t>
            </w:r>
          </w:p>
        </w:tc>
      </w:tr>
      <w:tr w:rsidR="00FC2342" w:rsidRPr="00007725" w:rsidTr="005C4554">
        <w:trPr>
          <w:trHeight w:val="316"/>
          <w:jc w:val="center"/>
        </w:trPr>
        <w:tc>
          <w:tcPr>
            <w:tcW w:w="985"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345"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&lt;3</w:t>
            </w:r>
            <w:r w:rsidRPr="00007725">
              <w:rPr>
                <w:rFonts w:ascii="宋体" w:hAnsi="宋体" w:cs="Tahoma" w:hint="eastAsia"/>
                <w:snapToGrid w:val="0"/>
                <w:kern w:val="0"/>
                <w:szCs w:val="21"/>
              </w:rPr>
              <w:t>8</w:t>
            </w:r>
          </w:p>
        </w:tc>
        <w:tc>
          <w:tcPr>
            <w:tcW w:w="1610"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&lt;3</w:t>
            </w:r>
            <w:r w:rsidRPr="00007725">
              <w:rPr>
                <w:rFonts w:ascii="宋体" w:hAnsi="宋体" w:cs="Tahoma" w:hint="eastAsia"/>
                <w:snapToGrid w:val="0"/>
                <w:kern w:val="0"/>
                <w:szCs w:val="21"/>
              </w:rPr>
              <w:t>5</w:t>
            </w:r>
          </w:p>
        </w:tc>
        <w:tc>
          <w:tcPr>
            <w:tcW w:w="180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65</w:t>
            </w:r>
          </w:p>
        </w:tc>
        <w:tc>
          <w:tcPr>
            <w:tcW w:w="157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40</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35</w:t>
            </w:r>
          </w:p>
        </w:tc>
      </w:tr>
      <w:tr w:rsidR="00FC2342" w:rsidRPr="00007725" w:rsidTr="005C4554">
        <w:trPr>
          <w:trHeight w:val="278"/>
          <w:jc w:val="center"/>
        </w:trPr>
        <w:tc>
          <w:tcPr>
            <w:tcW w:w="985"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微软雅黑" w:hint="eastAsia"/>
                <w:snapToGrid w:val="0"/>
                <w:kern w:val="0"/>
                <w:szCs w:val="21"/>
                <w:lang w:eastAsia="en-US"/>
              </w:rPr>
              <w:t>丢包率</w:t>
            </w:r>
          </w:p>
        </w:tc>
        <w:tc>
          <w:tcPr>
            <w:tcW w:w="1345"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rPr>
              <w:t>2</w:t>
            </w:r>
            <w:r w:rsidRPr="00007725">
              <w:rPr>
                <w:rFonts w:ascii="宋体" w:hAnsi="宋体" w:cs="Tahoma" w:hint="eastAsia"/>
                <w:snapToGrid w:val="0"/>
                <w:kern w:val="0"/>
                <w:szCs w:val="21"/>
                <w:lang w:eastAsia="en-US"/>
              </w:rPr>
              <w:t>%-0.</w:t>
            </w:r>
            <w:r w:rsidRPr="00007725">
              <w:rPr>
                <w:rFonts w:ascii="宋体" w:hAnsi="宋体" w:cs="Tahoma" w:hint="eastAsia"/>
                <w:snapToGrid w:val="0"/>
                <w:kern w:val="0"/>
                <w:szCs w:val="21"/>
              </w:rPr>
              <w:t>3</w:t>
            </w:r>
            <w:r w:rsidRPr="00007725">
              <w:rPr>
                <w:rFonts w:ascii="宋体" w:hAnsi="宋体" w:cs="Tahoma" w:hint="eastAsia"/>
                <w:snapToGrid w:val="0"/>
                <w:kern w:val="0"/>
                <w:szCs w:val="21"/>
                <w:lang w:eastAsia="en-US"/>
              </w:rPr>
              <w:t>%</w:t>
            </w:r>
          </w:p>
        </w:tc>
        <w:tc>
          <w:tcPr>
            <w:tcW w:w="1610"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rPr>
              <w:t>2</w:t>
            </w:r>
            <w:r w:rsidRPr="00007725">
              <w:rPr>
                <w:rFonts w:ascii="宋体" w:hAnsi="宋体" w:cs="Tahoma" w:hint="eastAsia"/>
                <w:snapToGrid w:val="0"/>
                <w:kern w:val="0"/>
                <w:szCs w:val="21"/>
                <w:lang w:eastAsia="en-US"/>
              </w:rPr>
              <w:t>%-0.</w:t>
            </w:r>
            <w:r w:rsidRPr="00007725">
              <w:rPr>
                <w:rFonts w:ascii="宋体" w:hAnsi="宋体" w:cs="Tahoma" w:hint="eastAsia"/>
                <w:snapToGrid w:val="0"/>
                <w:kern w:val="0"/>
                <w:szCs w:val="21"/>
              </w:rPr>
              <w:t>3</w:t>
            </w:r>
            <w:r w:rsidRPr="00007725">
              <w:rPr>
                <w:rFonts w:ascii="宋体" w:hAnsi="宋体" w:cs="Tahoma" w:hint="eastAsia"/>
                <w:snapToGrid w:val="0"/>
                <w:kern w:val="0"/>
                <w:szCs w:val="21"/>
                <w:lang w:eastAsia="en-US"/>
              </w:rPr>
              <w:t>%</w:t>
            </w:r>
          </w:p>
        </w:tc>
        <w:tc>
          <w:tcPr>
            <w:tcW w:w="180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rPr>
              <w:t>2</w:t>
            </w:r>
            <w:r w:rsidRPr="00007725">
              <w:rPr>
                <w:rFonts w:ascii="宋体" w:hAnsi="宋体" w:cs="Tahoma" w:hint="eastAsia"/>
                <w:snapToGrid w:val="0"/>
                <w:kern w:val="0"/>
                <w:szCs w:val="21"/>
                <w:lang w:eastAsia="en-US"/>
              </w:rPr>
              <w:t>%-0.</w:t>
            </w:r>
            <w:r w:rsidRPr="00007725">
              <w:rPr>
                <w:rFonts w:ascii="宋体" w:hAnsi="宋体" w:cs="Tahoma" w:hint="eastAsia"/>
                <w:snapToGrid w:val="0"/>
                <w:kern w:val="0"/>
                <w:szCs w:val="21"/>
              </w:rPr>
              <w:t>3</w:t>
            </w:r>
            <w:r w:rsidRPr="00007725">
              <w:rPr>
                <w:rFonts w:ascii="宋体" w:hAnsi="宋体" w:cs="Tahoma" w:hint="eastAsia"/>
                <w:snapToGrid w:val="0"/>
                <w:kern w:val="0"/>
                <w:szCs w:val="21"/>
                <w:lang w:eastAsia="en-US"/>
              </w:rPr>
              <w:t>%</w:t>
            </w:r>
          </w:p>
        </w:tc>
        <w:tc>
          <w:tcPr>
            <w:tcW w:w="1579"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rPr>
              <w:t>2</w:t>
            </w:r>
            <w:r w:rsidRPr="00007725">
              <w:rPr>
                <w:rFonts w:ascii="宋体" w:hAnsi="宋体" w:cs="Tahoma" w:hint="eastAsia"/>
                <w:snapToGrid w:val="0"/>
                <w:kern w:val="0"/>
                <w:szCs w:val="21"/>
                <w:lang w:eastAsia="en-US"/>
              </w:rPr>
              <w:t>%-0.</w:t>
            </w:r>
            <w:r w:rsidRPr="00007725">
              <w:rPr>
                <w:rFonts w:ascii="宋体" w:hAnsi="宋体" w:cs="Tahoma" w:hint="eastAsia"/>
                <w:snapToGrid w:val="0"/>
                <w:kern w:val="0"/>
                <w:szCs w:val="21"/>
              </w:rPr>
              <w:t>3</w:t>
            </w:r>
            <w:r w:rsidRPr="00007725">
              <w:rPr>
                <w:rFonts w:ascii="宋体" w:hAnsi="宋体" w:cs="Tahoma" w:hint="eastAsia"/>
                <w:snapToGrid w:val="0"/>
                <w:kern w:val="0"/>
                <w:szCs w:val="21"/>
                <w:lang w:eastAsia="en-US"/>
              </w:rPr>
              <w:t>%</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rPr>
              <w:t>2</w:t>
            </w:r>
            <w:r w:rsidRPr="00007725">
              <w:rPr>
                <w:rFonts w:ascii="宋体" w:hAnsi="宋体" w:cs="Tahoma" w:hint="eastAsia"/>
                <w:snapToGrid w:val="0"/>
                <w:kern w:val="0"/>
                <w:szCs w:val="21"/>
                <w:lang w:eastAsia="en-US"/>
              </w:rPr>
              <w:t>%-0.</w:t>
            </w:r>
            <w:r w:rsidRPr="00007725">
              <w:rPr>
                <w:rFonts w:ascii="宋体" w:hAnsi="宋体" w:cs="Tahoma" w:hint="eastAsia"/>
                <w:snapToGrid w:val="0"/>
                <w:kern w:val="0"/>
                <w:szCs w:val="21"/>
              </w:rPr>
              <w:t>3</w:t>
            </w:r>
            <w:r w:rsidRPr="00007725">
              <w:rPr>
                <w:rFonts w:ascii="宋体" w:hAnsi="宋体" w:cs="Tahoma" w:hint="eastAsia"/>
                <w:snapToGrid w:val="0"/>
                <w:kern w:val="0"/>
                <w:szCs w:val="21"/>
                <w:lang w:eastAsia="en-US"/>
              </w:rPr>
              <w:t>%</w:t>
            </w:r>
          </w:p>
        </w:tc>
      </w:tr>
      <w:tr w:rsidR="00FC2342" w:rsidRPr="00007725" w:rsidTr="005C4554">
        <w:trPr>
          <w:jc w:val="center"/>
        </w:trPr>
        <w:tc>
          <w:tcPr>
            <w:tcW w:w="985" w:type="dxa"/>
            <w:gridSpan w:val="2"/>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p>
        </w:tc>
        <w:tc>
          <w:tcPr>
            <w:tcW w:w="1345"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r w:rsidRPr="00007725">
              <w:rPr>
                <w:rFonts w:ascii="宋体" w:hAnsi="宋体" w:cs="宋体" w:hint="eastAsia"/>
                <w:snapToGrid w:val="0"/>
                <w:kern w:val="0"/>
                <w:szCs w:val="21"/>
              </w:rPr>
              <w:t>澳门(中国)</w:t>
            </w:r>
          </w:p>
        </w:tc>
        <w:tc>
          <w:tcPr>
            <w:tcW w:w="1610"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r w:rsidRPr="00007725">
              <w:rPr>
                <w:rFonts w:ascii="宋体" w:hAnsi="宋体" w:cs="宋体" w:hint="eastAsia"/>
                <w:snapToGrid w:val="0"/>
                <w:kern w:val="0"/>
                <w:szCs w:val="21"/>
              </w:rPr>
              <w:t>香港(中国)</w:t>
            </w:r>
          </w:p>
        </w:tc>
        <w:tc>
          <w:tcPr>
            <w:tcW w:w="1803" w:type="dxa"/>
            <w:gridSpan w:val="2"/>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r w:rsidRPr="00007725">
              <w:rPr>
                <w:rFonts w:ascii="宋体" w:hAnsi="宋体" w:cs="宋体" w:hint="eastAsia"/>
                <w:snapToGrid w:val="0"/>
                <w:kern w:val="0"/>
                <w:szCs w:val="21"/>
              </w:rPr>
              <w:t>朝鲜</w:t>
            </w:r>
          </w:p>
        </w:tc>
        <w:tc>
          <w:tcPr>
            <w:tcW w:w="1579"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p>
        </w:tc>
        <w:tc>
          <w:tcPr>
            <w:tcW w:w="1387" w:type="dxa"/>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p>
        </w:tc>
      </w:tr>
      <w:tr w:rsidR="00FC2342" w:rsidRPr="00007725" w:rsidTr="005C4554">
        <w:trPr>
          <w:jc w:val="center"/>
        </w:trPr>
        <w:tc>
          <w:tcPr>
            <w:tcW w:w="985"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345"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&lt;3</w:t>
            </w:r>
            <w:r w:rsidRPr="00007725">
              <w:rPr>
                <w:rFonts w:ascii="宋体" w:hAnsi="宋体" w:cs="Tahoma" w:hint="eastAsia"/>
                <w:snapToGrid w:val="0"/>
                <w:kern w:val="0"/>
                <w:szCs w:val="21"/>
              </w:rPr>
              <w:t>0</w:t>
            </w:r>
          </w:p>
        </w:tc>
        <w:tc>
          <w:tcPr>
            <w:tcW w:w="1610"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15</w:t>
            </w:r>
          </w:p>
        </w:tc>
        <w:tc>
          <w:tcPr>
            <w:tcW w:w="180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70</w:t>
            </w:r>
          </w:p>
        </w:tc>
        <w:tc>
          <w:tcPr>
            <w:tcW w:w="157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rPr>
            </w:pP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rPr>
            </w:pPr>
          </w:p>
        </w:tc>
      </w:tr>
      <w:tr w:rsidR="00FC2342" w:rsidRPr="00007725" w:rsidTr="005C4554">
        <w:trPr>
          <w:jc w:val="center"/>
        </w:trPr>
        <w:tc>
          <w:tcPr>
            <w:tcW w:w="985"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微软雅黑" w:hint="eastAsia"/>
                <w:snapToGrid w:val="0"/>
                <w:kern w:val="0"/>
                <w:szCs w:val="21"/>
                <w:lang w:eastAsia="en-US"/>
              </w:rPr>
              <w:t>丢包率</w:t>
            </w:r>
          </w:p>
        </w:tc>
        <w:tc>
          <w:tcPr>
            <w:tcW w:w="1345"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rPr>
              <w:t>2</w:t>
            </w:r>
            <w:r w:rsidRPr="00007725">
              <w:rPr>
                <w:rFonts w:ascii="宋体" w:hAnsi="宋体" w:cs="Tahoma" w:hint="eastAsia"/>
                <w:snapToGrid w:val="0"/>
                <w:kern w:val="0"/>
                <w:szCs w:val="21"/>
                <w:lang w:eastAsia="en-US"/>
              </w:rPr>
              <w:t>%-0.</w:t>
            </w:r>
            <w:r w:rsidRPr="00007725">
              <w:rPr>
                <w:rFonts w:ascii="宋体" w:hAnsi="宋体" w:cs="Tahoma" w:hint="eastAsia"/>
                <w:snapToGrid w:val="0"/>
                <w:kern w:val="0"/>
                <w:szCs w:val="21"/>
              </w:rPr>
              <w:t>3</w:t>
            </w:r>
            <w:r w:rsidRPr="00007725">
              <w:rPr>
                <w:rFonts w:ascii="宋体" w:hAnsi="宋体" w:cs="Tahoma" w:hint="eastAsia"/>
                <w:snapToGrid w:val="0"/>
                <w:kern w:val="0"/>
                <w:szCs w:val="21"/>
                <w:lang w:eastAsia="en-US"/>
              </w:rPr>
              <w:t>%</w:t>
            </w:r>
          </w:p>
        </w:tc>
        <w:tc>
          <w:tcPr>
            <w:tcW w:w="1610"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Tahoma"/>
                <w:snapToGrid w:val="0"/>
                <w:kern w:val="0"/>
                <w:szCs w:val="21"/>
                <w:lang w:eastAsia="en-US"/>
              </w:rPr>
              <w:t>≤</w:t>
            </w:r>
            <w:r w:rsidRPr="00007725">
              <w:rPr>
                <w:rFonts w:ascii="宋体" w:hAnsi="宋体" w:cs="Tahoma" w:hint="eastAsia"/>
                <w:snapToGrid w:val="0"/>
                <w:kern w:val="0"/>
                <w:szCs w:val="21"/>
                <w:lang w:eastAsia="en-US"/>
              </w:rPr>
              <w:t xml:space="preserve"> </w:t>
            </w: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1%</w:t>
            </w:r>
          </w:p>
        </w:tc>
        <w:tc>
          <w:tcPr>
            <w:tcW w:w="180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rPr>
              <w:t>2</w:t>
            </w:r>
            <w:r w:rsidRPr="00007725">
              <w:rPr>
                <w:rFonts w:ascii="宋体" w:hAnsi="宋体" w:cs="Tahoma" w:hint="eastAsia"/>
                <w:snapToGrid w:val="0"/>
                <w:kern w:val="0"/>
                <w:szCs w:val="21"/>
                <w:lang w:eastAsia="en-US"/>
              </w:rPr>
              <w:t>%-0.</w:t>
            </w:r>
            <w:r w:rsidRPr="00007725">
              <w:rPr>
                <w:rFonts w:ascii="宋体" w:hAnsi="宋体" w:cs="Tahoma" w:hint="eastAsia"/>
                <w:snapToGrid w:val="0"/>
                <w:kern w:val="0"/>
                <w:szCs w:val="21"/>
              </w:rPr>
              <w:t>3</w:t>
            </w:r>
            <w:r w:rsidRPr="00007725">
              <w:rPr>
                <w:rFonts w:ascii="宋体" w:hAnsi="宋体" w:cs="Tahoma" w:hint="eastAsia"/>
                <w:snapToGrid w:val="0"/>
                <w:kern w:val="0"/>
                <w:szCs w:val="21"/>
                <w:lang w:eastAsia="en-US"/>
              </w:rPr>
              <w:t>%</w:t>
            </w:r>
          </w:p>
        </w:tc>
        <w:tc>
          <w:tcPr>
            <w:tcW w:w="1579"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p>
        </w:tc>
      </w:tr>
      <w:tr w:rsidR="00FC2342" w:rsidRPr="00007725" w:rsidTr="005C4554">
        <w:trPr>
          <w:trHeight w:val="568"/>
          <w:jc w:val="center"/>
        </w:trPr>
        <w:tc>
          <w:tcPr>
            <w:tcW w:w="8709" w:type="dxa"/>
            <w:gridSpan w:val="14"/>
            <w:tcBorders>
              <w:bottom w:val="single" w:sz="4" w:space="0" w:color="auto"/>
            </w:tcBorders>
            <w:shd w:val="clear" w:color="auto" w:fill="59595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微软雅黑" w:hint="eastAsia"/>
                <w:snapToGrid w:val="0"/>
                <w:kern w:val="0"/>
                <w:szCs w:val="21"/>
              </w:rPr>
              <w:t>到北美节点网络质量要求</w:t>
            </w:r>
          </w:p>
        </w:tc>
      </w:tr>
      <w:tr w:rsidR="00FC2342" w:rsidRPr="00007725" w:rsidTr="005C4554">
        <w:trPr>
          <w:jc w:val="center"/>
        </w:trPr>
        <w:tc>
          <w:tcPr>
            <w:tcW w:w="1109"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p>
        </w:tc>
        <w:tc>
          <w:tcPr>
            <w:tcW w:w="1737"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r w:rsidRPr="00007725">
              <w:rPr>
                <w:rFonts w:ascii="宋体" w:hAnsi="宋体" w:cs="宋体" w:hint="eastAsia"/>
                <w:snapToGrid w:val="0"/>
                <w:kern w:val="0"/>
                <w:szCs w:val="21"/>
              </w:rPr>
              <w:t>加拿大</w:t>
            </w:r>
          </w:p>
        </w:tc>
        <w:tc>
          <w:tcPr>
            <w:tcW w:w="1953"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r w:rsidRPr="00007725">
              <w:rPr>
                <w:rFonts w:ascii="宋体" w:hAnsi="宋体" w:cs="宋体" w:hint="eastAsia"/>
                <w:snapToGrid w:val="0"/>
                <w:kern w:val="0"/>
                <w:szCs w:val="21"/>
              </w:rPr>
              <w:t>美国</w:t>
            </w:r>
          </w:p>
        </w:tc>
        <w:tc>
          <w:tcPr>
            <w:tcW w:w="2011"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r w:rsidRPr="00007725">
              <w:rPr>
                <w:rFonts w:ascii="宋体" w:hAnsi="宋体" w:cs="宋体" w:hint="eastAsia"/>
                <w:snapToGrid w:val="0"/>
                <w:kern w:val="0"/>
                <w:szCs w:val="21"/>
              </w:rPr>
              <w:t>墨西哥</w:t>
            </w:r>
          </w:p>
        </w:tc>
        <w:tc>
          <w:tcPr>
            <w:tcW w:w="1899" w:type="dxa"/>
            <w:gridSpan w:val="2"/>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r w:rsidRPr="00007725">
              <w:rPr>
                <w:rFonts w:ascii="宋体" w:hAnsi="宋体" w:cs="宋体" w:hint="eastAsia"/>
                <w:snapToGrid w:val="0"/>
                <w:kern w:val="0"/>
                <w:szCs w:val="21"/>
              </w:rPr>
              <w:t>危地马拉</w:t>
            </w: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737"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&lt;180</w:t>
            </w:r>
          </w:p>
        </w:tc>
        <w:tc>
          <w:tcPr>
            <w:tcW w:w="195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&lt;135</w:t>
            </w:r>
          </w:p>
        </w:tc>
        <w:tc>
          <w:tcPr>
            <w:tcW w:w="2011"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&lt;200</w:t>
            </w:r>
          </w:p>
        </w:tc>
        <w:tc>
          <w:tcPr>
            <w:tcW w:w="1899"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&lt;250</w:t>
            </w: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737"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95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2011"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0.2%-0.3%</w:t>
            </w:r>
          </w:p>
        </w:tc>
        <w:tc>
          <w:tcPr>
            <w:tcW w:w="1899"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r>
      <w:tr w:rsidR="00FC2342" w:rsidRPr="00007725" w:rsidTr="005C4554">
        <w:trPr>
          <w:jc w:val="center"/>
        </w:trPr>
        <w:tc>
          <w:tcPr>
            <w:tcW w:w="1109"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p>
        </w:tc>
        <w:tc>
          <w:tcPr>
            <w:tcW w:w="1737"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伯利兹</w:t>
            </w:r>
          </w:p>
        </w:tc>
        <w:tc>
          <w:tcPr>
            <w:tcW w:w="1953"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洪都拉斯</w:t>
            </w:r>
          </w:p>
        </w:tc>
        <w:tc>
          <w:tcPr>
            <w:tcW w:w="2011"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哥斯达黎加</w:t>
            </w:r>
          </w:p>
        </w:tc>
        <w:tc>
          <w:tcPr>
            <w:tcW w:w="1899" w:type="dxa"/>
            <w:gridSpan w:val="2"/>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巴拿马</w:t>
            </w: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737"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snapToGrid w:val="0"/>
                <w:kern w:val="0"/>
                <w:szCs w:val="21"/>
                <w:lang w:eastAsia="en-US"/>
              </w:rPr>
              <w:t>2</w:t>
            </w:r>
            <w:r w:rsidRPr="00007725">
              <w:rPr>
                <w:rFonts w:ascii="宋体" w:hAnsi="宋体" w:cs="Tahoma" w:hint="eastAsia"/>
                <w:snapToGrid w:val="0"/>
                <w:kern w:val="0"/>
                <w:szCs w:val="21"/>
              </w:rPr>
              <w:t>32</w:t>
            </w:r>
          </w:p>
        </w:tc>
        <w:tc>
          <w:tcPr>
            <w:tcW w:w="1953"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&lt;260</w:t>
            </w:r>
          </w:p>
        </w:tc>
        <w:tc>
          <w:tcPr>
            <w:tcW w:w="2011"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&lt;250</w:t>
            </w:r>
          </w:p>
        </w:tc>
        <w:tc>
          <w:tcPr>
            <w:tcW w:w="1899" w:type="dxa"/>
            <w:gridSpan w:val="2"/>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&lt;270</w:t>
            </w: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737"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1953"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2011"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1899" w:type="dxa"/>
            <w:gridSpan w:val="2"/>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r>
      <w:tr w:rsidR="00FC2342" w:rsidRPr="00007725" w:rsidTr="005C4554">
        <w:trPr>
          <w:jc w:val="center"/>
        </w:trPr>
        <w:tc>
          <w:tcPr>
            <w:tcW w:w="1109"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p>
        </w:tc>
        <w:tc>
          <w:tcPr>
            <w:tcW w:w="1737"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古巴</w:t>
            </w:r>
          </w:p>
        </w:tc>
        <w:tc>
          <w:tcPr>
            <w:tcW w:w="1953"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牙买加</w:t>
            </w:r>
          </w:p>
        </w:tc>
        <w:tc>
          <w:tcPr>
            <w:tcW w:w="2011"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海地</w:t>
            </w:r>
          </w:p>
        </w:tc>
        <w:tc>
          <w:tcPr>
            <w:tcW w:w="1899" w:type="dxa"/>
            <w:gridSpan w:val="2"/>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圣基茨和尼维斯</w:t>
            </w: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737"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&lt;300</w:t>
            </w:r>
          </w:p>
        </w:tc>
        <w:tc>
          <w:tcPr>
            <w:tcW w:w="1953"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&lt;250</w:t>
            </w:r>
          </w:p>
        </w:tc>
        <w:tc>
          <w:tcPr>
            <w:tcW w:w="2011"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&lt;250</w:t>
            </w:r>
          </w:p>
        </w:tc>
        <w:tc>
          <w:tcPr>
            <w:tcW w:w="1899" w:type="dxa"/>
            <w:gridSpan w:val="2"/>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&lt;150</w:t>
            </w: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737"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1953"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2011"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1899" w:type="dxa"/>
            <w:gridSpan w:val="2"/>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0.2%-0.3%</w:t>
            </w:r>
          </w:p>
        </w:tc>
      </w:tr>
      <w:tr w:rsidR="00FC2342" w:rsidRPr="00007725" w:rsidTr="005C4554">
        <w:trPr>
          <w:jc w:val="center"/>
        </w:trPr>
        <w:tc>
          <w:tcPr>
            <w:tcW w:w="1109"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p>
        </w:tc>
        <w:tc>
          <w:tcPr>
            <w:tcW w:w="1737"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多米尼克</w:t>
            </w:r>
          </w:p>
        </w:tc>
        <w:tc>
          <w:tcPr>
            <w:tcW w:w="1953"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圣文森特和格林</w:t>
            </w:r>
          </w:p>
        </w:tc>
        <w:tc>
          <w:tcPr>
            <w:tcW w:w="2011"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特立尼达和多巴哥</w:t>
            </w:r>
          </w:p>
        </w:tc>
        <w:tc>
          <w:tcPr>
            <w:tcW w:w="1899" w:type="dxa"/>
            <w:gridSpan w:val="2"/>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省皮埃尔和米克隆</w:t>
            </w: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737"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&lt;210</w:t>
            </w:r>
          </w:p>
        </w:tc>
        <w:tc>
          <w:tcPr>
            <w:tcW w:w="1953"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&lt;290</w:t>
            </w:r>
          </w:p>
        </w:tc>
        <w:tc>
          <w:tcPr>
            <w:tcW w:w="2011"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&lt;280</w:t>
            </w:r>
          </w:p>
        </w:tc>
        <w:tc>
          <w:tcPr>
            <w:tcW w:w="1899" w:type="dxa"/>
            <w:gridSpan w:val="2"/>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&lt;220</w:t>
            </w: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737"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1953"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2011"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1899" w:type="dxa"/>
            <w:gridSpan w:val="2"/>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0.2%-0.3%</w:t>
            </w:r>
          </w:p>
        </w:tc>
      </w:tr>
      <w:tr w:rsidR="00FC2342" w:rsidRPr="00007725" w:rsidTr="005C4554">
        <w:trPr>
          <w:jc w:val="center"/>
        </w:trPr>
        <w:tc>
          <w:tcPr>
            <w:tcW w:w="1109" w:type="dxa"/>
            <w:gridSpan w:val="3"/>
            <w:shd w:val="clear" w:color="auto" w:fill="D9D9D9"/>
            <w:vAlign w:val="center"/>
          </w:tcPr>
          <w:p w:rsidR="00FC2342" w:rsidRPr="00007725" w:rsidRDefault="00FC2342" w:rsidP="00FC2342">
            <w:pPr>
              <w:widowControl/>
              <w:wordWrap w:val="0"/>
              <w:jc w:val="center"/>
              <w:rPr>
                <w:rFonts w:ascii="宋体" w:hAnsi="宋体" w:cs="宋体"/>
                <w:snapToGrid w:val="0"/>
                <w:kern w:val="0"/>
                <w:szCs w:val="21"/>
              </w:rPr>
            </w:pPr>
          </w:p>
        </w:tc>
        <w:tc>
          <w:tcPr>
            <w:tcW w:w="1737"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阿鲁巴</w:t>
            </w:r>
          </w:p>
        </w:tc>
        <w:tc>
          <w:tcPr>
            <w:tcW w:w="1953"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安德烈斯</w:t>
            </w:r>
          </w:p>
        </w:tc>
        <w:tc>
          <w:tcPr>
            <w:tcW w:w="2011" w:type="dxa"/>
            <w:gridSpan w:val="3"/>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马提尼克</w:t>
            </w:r>
          </w:p>
        </w:tc>
        <w:tc>
          <w:tcPr>
            <w:tcW w:w="1899" w:type="dxa"/>
            <w:gridSpan w:val="2"/>
            <w:shd w:val="clear" w:color="auto" w:fill="D9D9D9"/>
            <w:vAlign w:val="center"/>
          </w:tcPr>
          <w:p w:rsidR="00FC2342" w:rsidRPr="00007725" w:rsidRDefault="00FC2342" w:rsidP="00FC2342">
            <w:pPr>
              <w:widowControl/>
              <w:wordWrap w:val="0"/>
              <w:jc w:val="center"/>
              <w:rPr>
                <w:rFonts w:ascii="宋体" w:hAnsi="宋体" w:cs="Tahoma"/>
                <w:snapToGrid w:val="0"/>
                <w:kern w:val="0"/>
                <w:szCs w:val="21"/>
                <w:lang w:eastAsia="en-US"/>
              </w:rPr>
            </w:pPr>
            <w:r w:rsidRPr="00007725">
              <w:rPr>
                <w:rFonts w:ascii="宋体" w:hAnsi="宋体" w:cs="Tahoma" w:hint="eastAsia"/>
                <w:snapToGrid w:val="0"/>
                <w:kern w:val="0"/>
                <w:szCs w:val="21"/>
                <w:lang w:eastAsia="en-US"/>
              </w:rPr>
              <w:t>格林纳达</w:t>
            </w: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737"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&lt;250</w:t>
            </w:r>
          </w:p>
        </w:tc>
        <w:tc>
          <w:tcPr>
            <w:tcW w:w="1953"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&lt;270</w:t>
            </w:r>
          </w:p>
        </w:tc>
        <w:tc>
          <w:tcPr>
            <w:tcW w:w="2011"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&lt;250</w:t>
            </w:r>
          </w:p>
        </w:tc>
        <w:tc>
          <w:tcPr>
            <w:tcW w:w="1899" w:type="dxa"/>
            <w:gridSpan w:val="2"/>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&lt;270</w:t>
            </w: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737"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0.2%-0.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1953"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2011"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0.2%-0.3%</w:t>
            </w:r>
          </w:p>
        </w:tc>
        <w:tc>
          <w:tcPr>
            <w:tcW w:w="1899" w:type="dxa"/>
            <w:gridSpan w:val="2"/>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r>
      <w:tr w:rsidR="00FC2342" w:rsidRPr="00007725" w:rsidTr="005C4554">
        <w:trPr>
          <w:jc w:val="center"/>
        </w:trPr>
        <w:tc>
          <w:tcPr>
            <w:tcW w:w="1109"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737" w:type="dxa"/>
            <w:gridSpan w:val="3"/>
            <w:shd w:val="clear" w:color="auto" w:fill="D9D9D9"/>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开曼群岛</w:t>
            </w:r>
          </w:p>
        </w:tc>
        <w:tc>
          <w:tcPr>
            <w:tcW w:w="1953" w:type="dxa"/>
            <w:gridSpan w:val="3"/>
            <w:shd w:val="clear" w:color="auto" w:fill="D9D9D9"/>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百慕大</w:t>
            </w:r>
          </w:p>
        </w:tc>
        <w:tc>
          <w:tcPr>
            <w:tcW w:w="2011"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899"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737"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&lt;260</w:t>
            </w:r>
          </w:p>
        </w:tc>
        <w:tc>
          <w:tcPr>
            <w:tcW w:w="1953"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&lt;220</w:t>
            </w:r>
          </w:p>
        </w:tc>
        <w:tc>
          <w:tcPr>
            <w:tcW w:w="2011"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899" w:type="dxa"/>
            <w:gridSpan w:val="2"/>
            <w:tcBorders>
              <w:bottom w:val="single" w:sz="4" w:space="0" w:color="auto"/>
            </w:tcBorders>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r>
      <w:tr w:rsidR="00FC2342" w:rsidRPr="00007725" w:rsidTr="005C4554">
        <w:trPr>
          <w:jc w:val="center"/>
        </w:trPr>
        <w:tc>
          <w:tcPr>
            <w:tcW w:w="1109"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737"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2</w:t>
            </w:r>
            <w:r w:rsidRPr="00007725">
              <w:rPr>
                <w:rFonts w:ascii="宋体" w:hAnsi="宋体" w:cs="Tahoma" w:hint="eastAsia"/>
                <w:snapToGrid w:val="0"/>
                <w:kern w:val="0"/>
                <w:szCs w:val="21"/>
                <w:lang w:eastAsia="en-US"/>
              </w:rPr>
              <w:t>%-0.</w:t>
            </w:r>
            <w:r w:rsidRPr="00007725">
              <w:rPr>
                <w:rFonts w:ascii="宋体" w:hAnsi="宋体" w:cs="Tahoma"/>
                <w:snapToGrid w:val="0"/>
                <w:kern w:val="0"/>
                <w:szCs w:val="21"/>
                <w:lang w:eastAsia="en-US"/>
              </w:rPr>
              <w:t>3</w:t>
            </w:r>
            <w:r w:rsidRPr="00007725">
              <w:rPr>
                <w:rFonts w:ascii="宋体" w:hAnsi="宋体" w:cs="Tahoma" w:hint="eastAsia"/>
                <w:snapToGrid w:val="0"/>
                <w:kern w:val="0"/>
                <w:szCs w:val="21"/>
                <w:lang w:eastAsia="en-US"/>
              </w:rPr>
              <w:t>%</w:t>
            </w:r>
          </w:p>
        </w:tc>
        <w:tc>
          <w:tcPr>
            <w:tcW w:w="1953"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0.2%-0.3%</w:t>
            </w:r>
          </w:p>
        </w:tc>
        <w:tc>
          <w:tcPr>
            <w:tcW w:w="2011" w:type="dxa"/>
            <w:gridSpan w:val="3"/>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c>
          <w:tcPr>
            <w:tcW w:w="1899" w:type="dxa"/>
            <w:gridSpan w:val="2"/>
            <w:tcBorders>
              <w:bottom w:val="single" w:sz="4" w:space="0" w:color="auto"/>
            </w:tcBorders>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r>
      <w:tr w:rsidR="00FC2342" w:rsidRPr="00007725" w:rsidTr="005C4554">
        <w:trPr>
          <w:trHeight w:val="455"/>
          <w:jc w:val="center"/>
        </w:trPr>
        <w:tc>
          <w:tcPr>
            <w:tcW w:w="8709" w:type="dxa"/>
            <w:gridSpan w:val="14"/>
            <w:tcBorders>
              <w:bottom w:val="single" w:sz="4" w:space="0" w:color="auto"/>
            </w:tcBorders>
            <w:shd w:val="clear" w:color="auto" w:fill="59595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微软雅黑" w:hint="eastAsia"/>
                <w:snapToGrid w:val="0"/>
                <w:kern w:val="0"/>
                <w:szCs w:val="21"/>
              </w:rPr>
              <w:t>到东南亚节点网络质量要求</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菲律宾</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越南</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越南</w:t>
            </w:r>
            <w:r w:rsidRPr="00007725">
              <w:rPr>
                <w:rFonts w:ascii="宋体" w:hAnsi="宋体" w:cs="Arial" w:hint="eastAsia"/>
                <w:snapToGrid w:val="0"/>
                <w:kern w:val="0"/>
                <w:szCs w:val="21"/>
              </w:rPr>
              <w:t>(</w:t>
            </w:r>
            <w:r w:rsidRPr="00007725">
              <w:rPr>
                <w:rFonts w:ascii="宋体" w:hAnsi="宋体" w:cs="微软雅黑" w:hint="eastAsia"/>
                <w:snapToGrid w:val="0"/>
                <w:kern w:val="0"/>
                <w:szCs w:val="21"/>
              </w:rPr>
              <w:t>胡志明</w:t>
            </w:r>
            <w:r w:rsidRPr="00007725">
              <w:rPr>
                <w:rFonts w:ascii="宋体" w:hAnsi="宋体" w:cs="Arial" w:hint="eastAsia"/>
                <w:snapToGrid w:val="0"/>
                <w:kern w:val="0"/>
                <w:szCs w:val="21"/>
              </w:rPr>
              <w:t>)</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越南</w:t>
            </w:r>
            <w:r w:rsidRPr="00007725">
              <w:rPr>
                <w:rFonts w:ascii="宋体" w:hAnsi="宋体" w:cs="Arial" w:hint="eastAsia"/>
                <w:snapToGrid w:val="0"/>
                <w:kern w:val="0"/>
                <w:szCs w:val="21"/>
              </w:rPr>
              <w:t>(</w:t>
            </w:r>
            <w:r w:rsidRPr="00007725">
              <w:rPr>
                <w:rFonts w:ascii="宋体" w:hAnsi="宋体" w:cs="微软雅黑" w:hint="eastAsia"/>
                <w:snapToGrid w:val="0"/>
                <w:kern w:val="0"/>
                <w:szCs w:val="21"/>
              </w:rPr>
              <w:t>河内</w:t>
            </w:r>
            <w:r w:rsidRPr="00007725">
              <w:rPr>
                <w:rFonts w:ascii="宋体" w:hAnsi="宋体" w:cs="Arial" w:hint="eastAsia"/>
                <w:snapToGrid w:val="0"/>
                <w:kern w:val="0"/>
                <w:szCs w:val="21"/>
              </w:rPr>
              <w:t>)</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老挝</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柬埔寨</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&lt;3</w:t>
            </w:r>
            <w:r w:rsidRPr="00007725">
              <w:rPr>
                <w:rFonts w:ascii="宋体" w:hAnsi="宋体" w:cs="Tahoma" w:hint="eastAsia"/>
                <w:snapToGrid w:val="0"/>
                <w:kern w:val="0"/>
                <w:szCs w:val="21"/>
              </w:rPr>
              <w:t>2</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&lt;40</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&lt;55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&lt;35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&lt;60</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&lt;50</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r>
      <w:tr w:rsidR="00FC2342" w:rsidRPr="00007725" w:rsidTr="005C4554">
        <w:trPr>
          <w:trHeight w:val="367"/>
          <w:jc w:val="center"/>
        </w:trPr>
        <w:tc>
          <w:tcPr>
            <w:tcW w:w="883" w:type="dxa"/>
            <w:shd w:val="clear" w:color="auto" w:fill="E7E6E6"/>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E7E6E6"/>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缅甸</w:t>
            </w:r>
          </w:p>
        </w:tc>
        <w:tc>
          <w:tcPr>
            <w:tcW w:w="1336" w:type="dxa"/>
            <w:gridSpan w:val="3"/>
            <w:shd w:val="clear" w:color="auto" w:fill="E7E6E6"/>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泰国</w:t>
            </w:r>
          </w:p>
        </w:tc>
        <w:tc>
          <w:tcPr>
            <w:tcW w:w="1437" w:type="dxa"/>
            <w:gridSpan w:val="2"/>
            <w:shd w:val="clear" w:color="auto" w:fill="E7E6E6"/>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马来西亚</w:t>
            </w:r>
          </w:p>
        </w:tc>
        <w:tc>
          <w:tcPr>
            <w:tcW w:w="1380" w:type="dxa"/>
            <w:gridSpan w:val="2"/>
            <w:shd w:val="clear" w:color="auto" w:fill="E7E6E6"/>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新加坡</w:t>
            </w:r>
          </w:p>
        </w:tc>
        <w:tc>
          <w:tcPr>
            <w:tcW w:w="1143" w:type="dxa"/>
            <w:gridSpan w:val="2"/>
            <w:shd w:val="clear" w:color="auto" w:fill="E7E6E6"/>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东帝汶</w:t>
            </w:r>
          </w:p>
        </w:tc>
        <w:tc>
          <w:tcPr>
            <w:tcW w:w="1387" w:type="dxa"/>
            <w:shd w:val="clear" w:color="auto" w:fill="E7E6E6"/>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印度尼西亚</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bookmarkStart w:id="4" w:name="_GoBack"/>
            <w:bookmarkEnd w:id="4"/>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&lt;70</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&lt;65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&lt;55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&lt;4</w:t>
            </w:r>
            <w:r w:rsidRPr="00007725">
              <w:rPr>
                <w:rFonts w:ascii="宋体" w:hAnsi="宋体" w:cs="Tahoma" w:hint="eastAsia"/>
                <w:snapToGrid w:val="0"/>
                <w:kern w:val="0"/>
                <w:szCs w:val="21"/>
              </w:rPr>
              <w:t>7</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&lt;9</w:t>
            </w:r>
            <w:r w:rsidRPr="00007725">
              <w:rPr>
                <w:rFonts w:ascii="宋体" w:hAnsi="宋体" w:cs="Tahoma" w:hint="eastAsia"/>
                <w:snapToGrid w:val="0"/>
                <w:kern w:val="0"/>
                <w:szCs w:val="21"/>
              </w:rPr>
              <w:t>8</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&lt;60</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r>
      <w:tr w:rsidR="00FC2342" w:rsidRPr="00007725" w:rsidTr="005C4554">
        <w:trPr>
          <w:trHeight w:val="495"/>
          <w:jc w:val="center"/>
        </w:trPr>
        <w:tc>
          <w:tcPr>
            <w:tcW w:w="8709" w:type="dxa"/>
            <w:gridSpan w:val="14"/>
            <w:tcBorders>
              <w:bottom w:val="single" w:sz="4" w:space="0" w:color="auto"/>
            </w:tcBorders>
            <w:shd w:val="clear" w:color="auto" w:fill="59595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微软雅黑" w:hint="eastAsia"/>
                <w:snapToGrid w:val="0"/>
                <w:kern w:val="0"/>
                <w:szCs w:val="21"/>
              </w:rPr>
              <w:t>到大洋洲节点网络质量要求</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澳大利亚</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瑙鲁</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斐济</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新西兰</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&lt;525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&lt;169</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&lt;180</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Arial"/>
                <w:snapToGrid w:val="0"/>
                <w:kern w:val="0"/>
                <w:szCs w:val="21"/>
              </w:rPr>
            </w:pP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p>
        </w:tc>
      </w:tr>
      <w:tr w:rsidR="00FC2342" w:rsidRPr="00007725" w:rsidTr="005C4554">
        <w:trPr>
          <w:trHeight w:val="515"/>
          <w:jc w:val="center"/>
        </w:trPr>
        <w:tc>
          <w:tcPr>
            <w:tcW w:w="8709" w:type="dxa"/>
            <w:gridSpan w:val="14"/>
            <w:tcBorders>
              <w:bottom w:val="single" w:sz="4" w:space="0" w:color="auto"/>
            </w:tcBorders>
            <w:shd w:val="clear" w:color="auto" w:fill="59595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微软雅黑" w:hint="eastAsia"/>
                <w:snapToGrid w:val="0"/>
                <w:kern w:val="0"/>
                <w:szCs w:val="21"/>
              </w:rPr>
              <w:t>到南亚节点网络质量要求</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不丹</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印度</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印度孟买</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巴基斯坦</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尼泊尔</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孟加拉</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&lt;12</w:t>
            </w:r>
            <w:r w:rsidRPr="00007725">
              <w:rPr>
                <w:rFonts w:ascii="宋体" w:hAnsi="宋体" w:cs="Tahoma" w:hint="eastAsia"/>
                <w:snapToGrid w:val="0"/>
                <w:kern w:val="0"/>
                <w:szCs w:val="21"/>
              </w:rPr>
              <w:t>8</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&lt;100</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&lt;1</w:t>
            </w:r>
            <w:r w:rsidRPr="00007725">
              <w:rPr>
                <w:rFonts w:ascii="宋体" w:hAnsi="宋体" w:cs="Tahoma" w:hint="eastAsia"/>
                <w:snapToGrid w:val="0"/>
                <w:kern w:val="0"/>
                <w:szCs w:val="21"/>
              </w:rPr>
              <w:t>10</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&lt;1</w:t>
            </w:r>
            <w:r w:rsidRPr="00007725">
              <w:rPr>
                <w:rFonts w:ascii="宋体" w:hAnsi="宋体" w:cs="Tahoma" w:hint="eastAsia"/>
                <w:snapToGrid w:val="0"/>
                <w:kern w:val="0"/>
                <w:szCs w:val="21"/>
              </w:rPr>
              <w:t>26</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&lt;138</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&lt;100</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r>
      <w:tr w:rsidR="00FC2342" w:rsidRPr="00007725" w:rsidTr="005C4554">
        <w:trPr>
          <w:trHeight w:val="37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斯里兰卡</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马尔代夫</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&lt;82</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&lt;95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r>
      <w:tr w:rsidR="00FC2342" w:rsidRPr="00007725" w:rsidTr="005C4554">
        <w:trPr>
          <w:trHeight w:val="545"/>
          <w:jc w:val="center"/>
        </w:trPr>
        <w:tc>
          <w:tcPr>
            <w:tcW w:w="8709" w:type="dxa"/>
            <w:gridSpan w:val="14"/>
            <w:tcBorders>
              <w:bottom w:val="single" w:sz="4" w:space="0" w:color="auto"/>
            </w:tcBorders>
            <w:shd w:val="clear" w:color="auto" w:fill="59595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微软雅黑" w:hint="eastAsia"/>
                <w:snapToGrid w:val="0"/>
                <w:kern w:val="0"/>
                <w:szCs w:val="21"/>
              </w:rPr>
              <w:t>到南美节点网络质量要求</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阿根廷</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玻利维亚</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巴西</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智利</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哥伦比亚</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厄瓜多尔</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&lt;352</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&lt;290</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&lt;315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&lt;282</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&lt;300</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&lt;265</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圭亚那</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秘鲁</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苏里南</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乌拉圭</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委内瑞拉</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&lt;295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&lt;267</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&lt;295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&lt;360</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&lt;265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p>
        </w:tc>
      </w:tr>
      <w:tr w:rsidR="00FC2342" w:rsidRPr="00007725" w:rsidTr="005C4554">
        <w:trPr>
          <w:trHeight w:val="90"/>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r>
      <w:tr w:rsidR="00FC2342" w:rsidRPr="00007725" w:rsidTr="005C4554">
        <w:trPr>
          <w:trHeight w:val="555"/>
          <w:jc w:val="center"/>
        </w:trPr>
        <w:tc>
          <w:tcPr>
            <w:tcW w:w="8709" w:type="dxa"/>
            <w:gridSpan w:val="14"/>
            <w:tcBorders>
              <w:bottom w:val="single" w:sz="4" w:space="0" w:color="auto"/>
            </w:tcBorders>
            <w:shd w:val="clear" w:color="auto" w:fill="59595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微软雅黑" w:hint="eastAsia"/>
                <w:snapToGrid w:val="0"/>
                <w:kern w:val="0"/>
                <w:szCs w:val="21"/>
              </w:rPr>
              <w:t>到欧洲节点网络质量要求</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阿尔巴尼亚</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安道尔</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奥地利</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白俄罗斯</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比利时</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保加利亚</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&lt;152</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&lt;155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&lt;138</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&lt;11</w:t>
            </w:r>
            <w:r w:rsidRPr="00007725">
              <w:rPr>
                <w:rFonts w:ascii="宋体" w:hAnsi="宋体" w:cs="Tahoma" w:hint="eastAsia"/>
                <w:snapToGrid w:val="0"/>
                <w:kern w:val="0"/>
                <w:szCs w:val="21"/>
              </w:rPr>
              <w:t>1</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&lt;134</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&lt;165</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克罗地亚</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塞浦路斯</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捷克</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丹麦</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冰岛</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芬兰</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&lt;140</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&lt;170</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&lt;140</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&lt;136</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&lt;175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&lt;133</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1%-0.2%</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法国</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英国</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德国</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希腊</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匈牙利</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爱尔兰</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&lt;140</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&lt;140</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&lt;138</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&lt;143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&lt;160</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r>
      <w:tr w:rsidR="00FC2342" w:rsidRPr="00007725" w:rsidTr="005C4554">
        <w:trPr>
          <w:trHeight w:val="90"/>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意大利</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荷兰</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挪威</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波兰</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葡萄牙</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罗马尼亚</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&lt;138</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&lt;150</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&lt;170</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&lt;170</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r>
      <w:tr w:rsidR="00FC2342" w:rsidRPr="00007725" w:rsidTr="005C4554">
        <w:trPr>
          <w:trHeight w:val="90"/>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俄罗斯</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西班牙</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瑞典</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乌克兰</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卢森堡</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黑山</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&lt;9</w:t>
            </w:r>
            <w:r w:rsidRPr="00007725">
              <w:rPr>
                <w:rFonts w:ascii="宋体" w:hAnsi="宋体" w:cs="Tahoma" w:hint="eastAsia"/>
                <w:snapToGrid w:val="0"/>
                <w:kern w:val="0"/>
                <w:szCs w:val="21"/>
              </w:rPr>
              <w:t>6</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&lt;167</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&lt;115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&lt;160</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&lt;128</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&lt;178</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宋体"/>
                <w:snapToGrid w:val="0"/>
                <w:szCs w:val="21"/>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rPr>
              <w:t>2</w:t>
            </w:r>
            <w:r w:rsidRPr="00007725">
              <w:rPr>
                <w:rFonts w:ascii="宋体" w:hAnsi="宋体" w:cs="Tahoma" w:hint="eastAsia"/>
                <w:snapToGrid w:val="0"/>
                <w:kern w:val="0"/>
                <w:szCs w:val="21"/>
                <w:lang w:eastAsia="en-US"/>
              </w:rPr>
              <w:t>%-0.</w:t>
            </w:r>
            <w:r w:rsidRPr="00007725">
              <w:rPr>
                <w:rFonts w:ascii="宋体" w:hAnsi="宋体" w:cs="Tahoma" w:hint="eastAsia"/>
                <w:snapToGrid w:val="0"/>
                <w:kern w:val="0"/>
                <w:szCs w:val="21"/>
              </w:rPr>
              <w:t>3</w:t>
            </w:r>
            <w:r w:rsidRPr="00007725">
              <w:rPr>
                <w:rFonts w:ascii="宋体" w:hAnsi="宋体" w:cs="Tahoma" w:hint="eastAsia"/>
                <w:snapToGrid w:val="0"/>
                <w:kern w:val="0"/>
                <w:szCs w:val="21"/>
                <w:lang w:eastAsia="en-US"/>
              </w:rPr>
              <w:t>%</w:t>
            </w:r>
          </w:p>
        </w:tc>
      </w:tr>
      <w:tr w:rsidR="00FC2342" w:rsidRPr="00007725" w:rsidTr="005C4554">
        <w:trPr>
          <w:trHeight w:val="90"/>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马耳他</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塞尔维亚</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也门</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瑞士</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&lt;143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&lt;14</w:t>
            </w:r>
            <w:r w:rsidRPr="00007725">
              <w:rPr>
                <w:rFonts w:ascii="宋体" w:hAnsi="宋体" w:cs="Tahoma" w:hint="eastAsia"/>
                <w:snapToGrid w:val="0"/>
                <w:kern w:val="0"/>
                <w:szCs w:val="21"/>
              </w:rPr>
              <w:t>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&lt;20</w:t>
            </w:r>
            <w:r w:rsidRPr="00007725">
              <w:rPr>
                <w:rFonts w:ascii="宋体" w:hAnsi="宋体" w:cs="Tahoma" w:hint="eastAsia"/>
                <w:snapToGrid w:val="0"/>
                <w:kern w:val="0"/>
                <w:szCs w:val="21"/>
              </w:rPr>
              <w:t>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&lt;130</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Arial"/>
                <w:snapToGrid w:val="0"/>
                <w:kern w:val="0"/>
                <w:szCs w:val="21"/>
              </w:rPr>
            </w:pP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宋体"/>
                <w:snapToGrid w:val="0"/>
                <w:szCs w:val="21"/>
              </w:rPr>
            </w:pPr>
          </w:p>
        </w:tc>
      </w:tr>
      <w:tr w:rsidR="00FC2342" w:rsidRPr="00007725" w:rsidTr="005C4554">
        <w:trPr>
          <w:trHeight w:val="525"/>
          <w:jc w:val="center"/>
        </w:trPr>
        <w:tc>
          <w:tcPr>
            <w:tcW w:w="8709" w:type="dxa"/>
            <w:gridSpan w:val="14"/>
            <w:tcBorders>
              <w:bottom w:val="single" w:sz="4" w:space="0" w:color="auto"/>
            </w:tcBorders>
            <w:shd w:val="clear" w:color="auto" w:fill="59595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微软雅黑" w:hint="eastAsia"/>
                <w:snapToGrid w:val="0"/>
                <w:kern w:val="0"/>
                <w:szCs w:val="21"/>
              </w:rPr>
              <w:t>到西亚节点网络质量要求</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伊拉克</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伊朗</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约旦</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黎巴嫩</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以色列</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巴勒斯坦</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&lt;215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&lt;188</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&lt;190</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&lt;18</w:t>
            </w:r>
            <w:r w:rsidRPr="00007725">
              <w:rPr>
                <w:rFonts w:ascii="宋体" w:hAnsi="宋体" w:cs="Tahoma" w:hint="eastAsia"/>
                <w:snapToGrid w:val="0"/>
                <w:kern w:val="0"/>
                <w:szCs w:val="21"/>
              </w:rPr>
              <w:t>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&lt;190</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&lt;186</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沙特阿拉伯</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巴林</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卡塔尔</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科威特</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阿联酋</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阿曼</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&lt;1</w:t>
            </w:r>
            <w:r w:rsidRPr="00007725">
              <w:rPr>
                <w:rFonts w:ascii="宋体" w:hAnsi="宋体" w:cs="Tahoma" w:hint="eastAsia"/>
                <w:snapToGrid w:val="0"/>
                <w:kern w:val="0"/>
                <w:szCs w:val="21"/>
              </w:rPr>
              <w:t>61</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&lt;140</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&lt;140</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&lt;144</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&lt;130</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&lt;142</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格鲁吉亚</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亚美尼亚</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阿塞拜疆</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土耳其</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塞浦路斯</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&lt;1</w:t>
            </w:r>
            <w:r w:rsidRPr="00007725">
              <w:rPr>
                <w:rFonts w:ascii="宋体" w:hAnsi="宋体" w:cs="Tahoma" w:hint="eastAsia"/>
                <w:snapToGrid w:val="0"/>
                <w:kern w:val="0"/>
                <w:szCs w:val="21"/>
              </w:rPr>
              <w:t>62</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&lt;136</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&lt;13</w:t>
            </w:r>
            <w:r w:rsidRPr="00007725">
              <w:rPr>
                <w:rFonts w:ascii="宋体" w:hAnsi="宋体" w:cs="Tahoma" w:hint="eastAsia"/>
                <w:snapToGrid w:val="0"/>
                <w:kern w:val="0"/>
                <w:szCs w:val="21"/>
              </w:rPr>
              <w:t>9</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&lt;163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&lt;200</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r>
      <w:tr w:rsidR="00FC2342" w:rsidRPr="00007725" w:rsidTr="005C4554">
        <w:trPr>
          <w:trHeight w:val="535"/>
          <w:jc w:val="center"/>
        </w:trPr>
        <w:tc>
          <w:tcPr>
            <w:tcW w:w="8709" w:type="dxa"/>
            <w:gridSpan w:val="14"/>
            <w:tcBorders>
              <w:bottom w:val="single" w:sz="4" w:space="0" w:color="auto"/>
            </w:tcBorders>
            <w:shd w:val="clear" w:color="auto" w:fill="59595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微软雅黑" w:hint="eastAsia"/>
                <w:snapToGrid w:val="0"/>
                <w:kern w:val="0"/>
                <w:szCs w:val="21"/>
              </w:rPr>
              <w:t>到中亚节点网络质量要求</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土库曼斯坦</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阿富汗</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吉尔吉斯斯坦</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乌兹别克斯坦</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塔吉克斯坦</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哈萨克斯坦</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&lt;160</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&lt;200</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&lt;260</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&lt;15</w:t>
            </w:r>
            <w:r w:rsidRPr="00007725">
              <w:rPr>
                <w:rFonts w:ascii="宋体" w:hAnsi="宋体" w:cs="Tahoma" w:hint="eastAsia"/>
                <w:snapToGrid w:val="0"/>
                <w:kern w:val="0"/>
                <w:szCs w:val="21"/>
              </w:rPr>
              <w:t>2</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&lt;15</w:t>
            </w:r>
            <w:r w:rsidRPr="00007725">
              <w:rPr>
                <w:rFonts w:ascii="宋体" w:hAnsi="宋体" w:cs="Tahoma" w:hint="eastAsia"/>
                <w:snapToGrid w:val="0"/>
                <w:kern w:val="0"/>
                <w:szCs w:val="21"/>
              </w:rPr>
              <w:t>2</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&lt;153</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3%-0.4%</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2%-0.3%</w:t>
            </w:r>
          </w:p>
        </w:tc>
      </w:tr>
      <w:tr w:rsidR="00FC2342" w:rsidRPr="00007725" w:rsidTr="005C4554">
        <w:trPr>
          <w:trHeight w:val="505"/>
          <w:jc w:val="center"/>
        </w:trPr>
        <w:tc>
          <w:tcPr>
            <w:tcW w:w="8709" w:type="dxa"/>
            <w:gridSpan w:val="14"/>
            <w:tcBorders>
              <w:bottom w:val="single" w:sz="4" w:space="0" w:color="auto"/>
            </w:tcBorders>
            <w:shd w:val="clear" w:color="auto" w:fill="59595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微软雅黑" w:hint="eastAsia"/>
                <w:snapToGrid w:val="0"/>
                <w:kern w:val="0"/>
                <w:szCs w:val="21"/>
              </w:rPr>
              <w:t>到非洲节点网络质量要求</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埃及</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利比亚</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突尼斯</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阿尔及利亚</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摩洛哥</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rPr>
              <w:t>埃塞俄比亚</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&lt;172</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&lt;261</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&lt;182</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&lt;166</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&lt;179</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&lt;270</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利比里亚</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吉布提</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苏丹</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卢旺达</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布隆迪</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塞内加尔</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&lt;270</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&lt;207</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&lt;211</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w:t>
            </w:r>
            <w:r w:rsidRPr="00007725">
              <w:rPr>
                <w:rFonts w:ascii="宋体" w:hAnsi="宋体" w:cs="Tahoma" w:hint="eastAsia"/>
                <w:snapToGrid w:val="0"/>
                <w:kern w:val="0"/>
                <w:szCs w:val="21"/>
              </w:rPr>
              <w:t>8</w:t>
            </w:r>
            <w:r w:rsidRPr="00007725">
              <w:rPr>
                <w:rFonts w:ascii="宋体" w:hAnsi="宋体" w:cs="Tahoma" w:hint="eastAsia"/>
                <w:snapToGrid w:val="0"/>
                <w:kern w:val="0"/>
                <w:szCs w:val="21"/>
                <w:lang w:eastAsia="en-US"/>
              </w:rPr>
              <w:t>2</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&lt;2</w:t>
            </w:r>
            <w:r w:rsidRPr="00007725">
              <w:rPr>
                <w:rFonts w:ascii="宋体" w:hAnsi="宋体" w:cs="Tahoma" w:hint="eastAsia"/>
                <w:snapToGrid w:val="0"/>
                <w:kern w:val="0"/>
                <w:szCs w:val="21"/>
              </w:rPr>
              <w:t>86</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&lt;19</w:t>
            </w:r>
            <w:r w:rsidRPr="00007725">
              <w:rPr>
                <w:rFonts w:ascii="宋体" w:hAnsi="宋体" w:cs="Tahoma" w:hint="eastAsia"/>
                <w:snapToGrid w:val="0"/>
                <w:kern w:val="0"/>
                <w:szCs w:val="21"/>
              </w:rPr>
              <w:t>8</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喀麦隆</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乍得</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刚果民主共和国</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中非</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毛里塔尼亚</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科特迪瓦</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&lt;250</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342</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w:t>
            </w:r>
            <w:r w:rsidRPr="00007725">
              <w:rPr>
                <w:rFonts w:ascii="宋体" w:hAnsi="宋体" w:cs="Tahoma" w:hint="eastAsia"/>
                <w:snapToGrid w:val="0"/>
                <w:kern w:val="0"/>
                <w:szCs w:val="21"/>
              </w:rPr>
              <w:t>8</w:t>
            </w:r>
            <w:r w:rsidRPr="00007725">
              <w:rPr>
                <w:rFonts w:ascii="宋体" w:hAnsi="宋体" w:cs="Tahoma" w:hint="eastAsia"/>
                <w:snapToGrid w:val="0"/>
                <w:kern w:val="0"/>
                <w:szCs w:val="21"/>
                <w:lang w:eastAsia="en-US"/>
              </w:rPr>
              <w:t>0</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&lt;26</w:t>
            </w:r>
            <w:r w:rsidRPr="00007725">
              <w:rPr>
                <w:rFonts w:ascii="宋体" w:hAnsi="宋体" w:cs="Tahoma" w:hint="eastAsia"/>
                <w:snapToGrid w:val="0"/>
                <w:kern w:val="0"/>
                <w:szCs w:val="21"/>
              </w:rPr>
              <w:t>8</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&lt;20</w:t>
            </w:r>
            <w:r w:rsidRPr="00007725">
              <w:rPr>
                <w:rFonts w:ascii="宋体" w:hAnsi="宋体" w:cs="Tahoma" w:hint="eastAsia"/>
                <w:snapToGrid w:val="0"/>
                <w:kern w:val="0"/>
                <w:szCs w:val="21"/>
              </w:rPr>
              <w:t>7</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&lt;2</w:t>
            </w:r>
            <w:r w:rsidRPr="00007725">
              <w:rPr>
                <w:rFonts w:ascii="宋体" w:hAnsi="宋体" w:cs="Tahoma" w:hint="eastAsia"/>
                <w:snapToGrid w:val="0"/>
                <w:kern w:val="0"/>
                <w:szCs w:val="21"/>
              </w:rPr>
              <w:t>3</w:t>
            </w:r>
            <w:r w:rsidRPr="00007725">
              <w:rPr>
                <w:rFonts w:ascii="宋体" w:hAnsi="宋体" w:cs="Tahoma" w:hint="eastAsia"/>
                <w:snapToGrid w:val="0"/>
                <w:kern w:val="0"/>
                <w:szCs w:val="21"/>
                <w:lang w:eastAsia="en-US"/>
              </w:rPr>
              <w:t>5</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冈比亚</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几内亚</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加纳</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多哥</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尼日利亚</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津巴布韦</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&lt;291</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&lt;253</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&lt;234</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&lt;245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&lt;240</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236</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赞比亚</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莫桑比克</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马达加斯加</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科摩罗</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毛里求斯</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博茨瓦纳</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236</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224</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&lt;349</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&lt;2</w:t>
            </w:r>
            <w:r w:rsidRPr="00007725">
              <w:rPr>
                <w:rFonts w:ascii="宋体" w:hAnsi="宋体" w:cs="Tahoma" w:hint="eastAsia"/>
                <w:snapToGrid w:val="0"/>
                <w:kern w:val="0"/>
                <w:szCs w:val="21"/>
              </w:rPr>
              <w:t>57</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&lt;260</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224</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肯尼亚</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尼日尔</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坦桑尼亚</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纳米比亚</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南非</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索马里</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&lt;295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&lt;255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&lt;2</w:t>
            </w:r>
            <w:r w:rsidRPr="00007725">
              <w:rPr>
                <w:rFonts w:ascii="宋体" w:hAnsi="宋体" w:cs="Tahoma" w:hint="eastAsia"/>
                <w:snapToGrid w:val="0"/>
                <w:kern w:val="0"/>
                <w:szCs w:val="21"/>
              </w:rPr>
              <w:t>63</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236</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218</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&lt;360</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乌干达</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加蓬</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贝宁</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塞拉利昂</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马里</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马拉维</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&lt;295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&lt;255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&lt;278</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&lt;23</w:t>
            </w:r>
            <w:r w:rsidRPr="00007725">
              <w:rPr>
                <w:rFonts w:ascii="宋体" w:hAnsi="宋体" w:cs="Tahoma" w:hint="eastAsia"/>
                <w:snapToGrid w:val="0"/>
                <w:kern w:val="0"/>
                <w:szCs w:val="21"/>
              </w:rPr>
              <w:t>9</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&lt;21</w:t>
            </w:r>
            <w:r w:rsidRPr="00007725">
              <w:rPr>
                <w:rFonts w:ascii="宋体" w:hAnsi="宋体" w:cs="Tahoma" w:hint="eastAsia"/>
                <w:snapToGrid w:val="0"/>
                <w:kern w:val="0"/>
                <w:szCs w:val="21"/>
              </w:rPr>
              <w:t>9</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265</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斯威士兰</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几内亚比绍</w:t>
            </w: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莱索托</w:t>
            </w: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赤道几内亚</w:t>
            </w: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佛得角</w:t>
            </w: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布基纳法索</w:t>
            </w: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223</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&lt;215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rPr>
            </w:pPr>
            <w:r w:rsidRPr="00007725">
              <w:rPr>
                <w:rFonts w:ascii="宋体" w:hAnsi="宋体" w:cs="Tahoma" w:hint="eastAsia"/>
                <w:snapToGrid w:val="0"/>
                <w:kern w:val="0"/>
                <w:szCs w:val="21"/>
                <w:lang w:eastAsia="en-US"/>
              </w:rPr>
              <w:t>&lt;</w:t>
            </w:r>
            <w:r w:rsidRPr="00007725">
              <w:rPr>
                <w:rFonts w:ascii="宋体" w:hAnsi="宋体" w:cs="Tahoma" w:hint="eastAsia"/>
                <w:snapToGrid w:val="0"/>
                <w:kern w:val="0"/>
                <w:szCs w:val="21"/>
              </w:rPr>
              <w:t>227</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&lt;270</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&lt;260</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&lt;274</w:t>
            </w: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r>
      <w:tr w:rsidR="00FC2342" w:rsidRPr="00007725" w:rsidTr="005C4554">
        <w:trPr>
          <w:trHeight w:val="369"/>
          <w:jc w:val="center"/>
        </w:trPr>
        <w:tc>
          <w:tcPr>
            <w:tcW w:w="883"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p>
        </w:tc>
        <w:tc>
          <w:tcPr>
            <w:tcW w:w="1143"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南苏丹</w:t>
            </w:r>
          </w:p>
        </w:tc>
        <w:tc>
          <w:tcPr>
            <w:tcW w:w="1336" w:type="dxa"/>
            <w:gridSpan w:val="3"/>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437"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380"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143" w:type="dxa"/>
            <w:gridSpan w:val="2"/>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387" w:type="dxa"/>
            <w:shd w:val="clear" w:color="auto" w:fill="D9D9D9"/>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r>
      <w:tr w:rsidR="00FC2342" w:rsidRPr="00007725" w:rsidTr="005C4554">
        <w:trPr>
          <w:trHeight w:val="385"/>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延时</w:t>
            </w:r>
            <w:r w:rsidRPr="00007725">
              <w:rPr>
                <w:rFonts w:ascii="宋体" w:hAnsi="宋体" w:cs="Arial" w:hint="eastAsia"/>
                <w:snapToGrid w:val="0"/>
                <w:kern w:val="0"/>
                <w:szCs w:val="21"/>
                <w:lang w:eastAsia="en-US"/>
              </w:rPr>
              <w:t>ms</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r w:rsidRPr="00007725">
              <w:rPr>
                <w:rFonts w:ascii="宋体" w:hAnsi="宋体" w:cs="Tahoma" w:hint="eastAsia"/>
                <w:snapToGrid w:val="0"/>
                <w:kern w:val="0"/>
                <w:szCs w:val="21"/>
                <w:lang w:eastAsia="en-US"/>
              </w:rPr>
              <w:t>&lt;310</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center"/>
              <w:textAlignment w:val="baseline"/>
              <w:rPr>
                <w:rFonts w:ascii="宋体" w:hAnsi="宋体" w:cs="Tahoma"/>
                <w:snapToGrid w:val="0"/>
                <w:kern w:val="0"/>
                <w:szCs w:val="21"/>
                <w:lang w:eastAsia="en-US"/>
              </w:rPr>
            </w:pP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spacing w:line="276" w:lineRule="auto"/>
              <w:jc w:val="left"/>
              <w:textAlignment w:val="baseline"/>
              <w:rPr>
                <w:rFonts w:ascii="宋体" w:hAnsi="宋体" w:cs="Tahoma"/>
                <w:snapToGrid w:val="0"/>
                <w:kern w:val="0"/>
                <w:szCs w:val="21"/>
                <w:lang w:eastAsia="en-US"/>
              </w:rPr>
            </w:pPr>
          </w:p>
        </w:tc>
      </w:tr>
      <w:tr w:rsidR="00FC2342" w:rsidRPr="00007725" w:rsidTr="005C4554">
        <w:trPr>
          <w:trHeight w:val="369"/>
          <w:jc w:val="center"/>
        </w:trPr>
        <w:tc>
          <w:tcPr>
            <w:tcW w:w="883"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Arial"/>
                <w:snapToGrid w:val="0"/>
                <w:kern w:val="0"/>
                <w:szCs w:val="21"/>
                <w:lang w:eastAsia="en-US"/>
              </w:rPr>
            </w:pPr>
            <w:r w:rsidRPr="00007725">
              <w:rPr>
                <w:rFonts w:ascii="宋体" w:hAnsi="宋体" w:cs="微软雅黑" w:hint="eastAsia"/>
                <w:snapToGrid w:val="0"/>
                <w:kern w:val="0"/>
                <w:szCs w:val="21"/>
                <w:lang w:eastAsia="en-US"/>
              </w:rPr>
              <w:t>丢包率</w:t>
            </w:r>
          </w:p>
        </w:tc>
        <w:tc>
          <w:tcPr>
            <w:tcW w:w="1143" w:type="dxa"/>
            <w:gridSpan w:val="3"/>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r w:rsidRPr="00007725">
              <w:rPr>
                <w:rFonts w:ascii="宋体" w:hAnsi="宋体" w:cs="Tahoma"/>
                <w:snapToGrid w:val="0"/>
                <w:kern w:val="0"/>
                <w:szCs w:val="21"/>
                <w:lang w:eastAsia="en-US"/>
              </w:rPr>
              <w:t>0.</w:t>
            </w:r>
            <w:r w:rsidRPr="00007725">
              <w:rPr>
                <w:rFonts w:ascii="宋体" w:hAnsi="宋体" w:cs="Tahoma" w:hint="eastAsia"/>
                <w:snapToGrid w:val="0"/>
                <w:kern w:val="0"/>
                <w:szCs w:val="21"/>
                <w:lang w:eastAsia="en-US"/>
              </w:rPr>
              <w:t>4%-0.5%</w:t>
            </w:r>
          </w:p>
        </w:tc>
        <w:tc>
          <w:tcPr>
            <w:tcW w:w="1336" w:type="dxa"/>
            <w:gridSpan w:val="3"/>
            <w:shd w:val="clear" w:color="auto" w:fill="FFFFFF"/>
            <w:vAlign w:val="center"/>
          </w:tcPr>
          <w:p w:rsidR="00FC2342" w:rsidRPr="00007725" w:rsidRDefault="00FC2342" w:rsidP="00FC2342">
            <w:pPr>
              <w:widowControl/>
              <w:kinsoku w:val="0"/>
              <w:autoSpaceDE w:val="0"/>
              <w:autoSpaceDN w:val="0"/>
              <w:adjustRightInd w:val="0"/>
              <w:snapToGrid w:val="0"/>
              <w:textAlignment w:val="baseline"/>
              <w:rPr>
                <w:rFonts w:ascii="宋体" w:hAnsi="宋体" w:cs="Tahoma"/>
                <w:snapToGrid w:val="0"/>
                <w:kern w:val="0"/>
                <w:szCs w:val="21"/>
                <w:lang w:eastAsia="en-US"/>
              </w:rPr>
            </w:pPr>
          </w:p>
        </w:tc>
        <w:tc>
          <w:tcPr>
            <w:tcW w:w="1437" w:type="dxa"/>
            <w:gridSpan w:val="2"/>
            <w:shd w:val="clear" w:color="auto" w:fill="FFFFFF"/>
            <w:vAlign w:val="center"/>
          </w:tcPr>
          <w:p w:rsidR="00FC2342" w:rsidRPr="00007725" w:rsidRDefault="00FC2342" w:rsidP="00FC2342">
            <w:pPr>
              <w:widowControl/>
              <w:kinsoku w:val="0"/>
              <w:autoSpaceDE w:val="0"/>
              <w:autoSpaceDN w:val="0"/>
              <w:adjustRightInd w:val="0"/>
              <w:snapToGrid w:val="0"/>
              <w:textAlignment w:val="baseline"/>
              <w:rPr>
                <w:rFonts w:ascii="宋体" w:hAnsi="宋体" w:cs="Tahoma"/>
                <w:snapToGrid w:val="0"/>
                <w:kern w:val="0"/>
                <w:szCs w:val="21"/>
                <w:lang w:eastAsia="en-US"/>
              </w:rPr>
            </w:pPr>
          </w:p>
        </w:tc>
        <w:tc>
          <w:tcPr>
            <w:tcW w:w="1380"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c>
          <w:tcPr>
            <w:tcW w:w="1143" w:type="dxa"/>
            <w:gridSpan w:val="2"/>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c>
          <w:tcPr>
            <w:tcW w:w="1387" w:type="dxa"/>
            <w:shd w:val="clear" w:color="auto" w:fill="FFFFFF"/>
            <w:vAlign w:val="center"/>
          </w:tcPr>
          <w:p w:rsidR="00FC2342" w:rsidRPr="00007725" w:rsidRDefault="00FC2342" w:rsidP="00FC2342">
            <w:pPr>
              <w:widowControl/>
              <w:kinsoku w:val="0"/>
              <w:autoSpaceDE w:val="0"/>
              <w:autoSpaceDN w:val="0"/>
              <w:adjustRightInd w:val="0"/>
              <w:snapToGrid w:val="0"/>
              <w:jc w:val="center"/>
              <w:textAlignment w:val="baseline"/>
              <w:rPr>
                <w:rFonts w:ascii="宋体" w:hAnsi="宋体" w:cs="Tahoma"/>
                <w:snapToGrid w:val="0"/>
                <w:kern w:val="0"/>
                <w:szCs w:val="21"/>
                <w:lang w:eastAsia="en-US"/>
              </w:rPr>
            </w:pPr>
          </w:p>
        </w:tc>
      </w:tr>
    </w:tbl>
    <w:p w:rsidR="00A64D21" w:rsidRPr="00846697" w:rsidRDefault="00A64D21" w:rsidP="00A64D21">
      <w:pPr>
        <w:tabs>
          <w:tab w:val="left" w:pos="900"/>
        </w:tabs>
        <w:spacing w:beforeLines="50" w:before="156" w:line="360" w:lineRule="auto"/>
        <w:ind w:firstLineChars="200" w:firstLine="420"/>
        <w:rPr>
          <w:szCs w:val="21"/>
        </w:rPr>
      </w:pPr>
    </w:p>
    <w:p w:rsidR="00A64D21" w:rsidRPr="00E002A9" w:rsidRDefault="00A64D21" w:rsidP="00A64D21">
      <w:pPr>
        <w:tabs>
          <w:tab w:val="left" w:pos="900"/>
        </w:tabs>
        <w:spacing w:beforeLines="50" w:before="156" w:line="360" w:lineRule="auto"/>
        <w:ind w:firstLineChars="200" w:firstLine="422"/>
        <w:rPr>
          <w:b/>
          <w:szCs w:val="21"/>
        </w:rPr>
      </w:pPr>
      <w:r>
        <w:rPr>
          <w:rFonts w:hint="eastAsia"/>
          <w:b/>
          <w:szCs w:val="21"/>
        </w:rPr>
        <w:t>标段二：兴庆、雁塔、曲江校区无线</w:t>
      </w:r>
      <w:r w:rsidRPr="00A86F87">
        <w:rPr>
          <w:rFonts w:hint="eastAsia"/>
          <w:b/>
          <w:szCs w:val="21"/>
        </w:rPr>
        <w:t>运营商网络带宽</w:t>
      </w:r>
      <w:r w:rsidRPr="00E002A9">
        <w:rPr>
          <w:rFonts w:hint="eastAsia"/>
          <w:b/>
          <w:szCs w:val="21"/>
        </w:rPr>
        <w:t>（</w:t>
      </w:r>
      <w:r>
        <w:rPr>
          <w:b/>
          <w:szCs w:val="21"/>
        </w:rPr>
        <w:t xml:space="preserve">90 </w:t>
      </w:r>
      <w:r w:rsidRPr="00E002A9">
        <w:rPr>
          <w:rFonts w:hint="eastAsia"/>
          <w:b/>
          <w:szCs w:val="21"/>
        </w:rPr>
        <w:t>万元）</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1</w:t>
      </w:r>
      <w:r>
        <w:rPr>
          <w:rFonts w:hint="eastAsia"/>
          <w:szCs w:val="21"/>
        </w:rPr>
        <w:t>、提供总数不少于</w:t>
      </w:r>
      <w:r>
        <w:rPr>
          <w:szCs w:val="21"/>
        </w:rPr>
        <w:t>5</w:t>
      </w:r>
      <w:r w:rsidRPr="00E002A9">
        <w:rPr>
          <w:rFonts w:hint="eastAsia"/>
          <w:szCs w:val="21"/>
        </w:rPr>
        <w:t>Gb</w:t>
      </w:r>
      <w:r>
        <w:rPr>
          <w:rFonts w:hint="eastAsia"/>
          <w:szCs w:val="21"/>
        </w:rPr>
        <w:t>/</w:t>
      </w:r>
      <w:r>
        <w:rPr>
          <w:szCs w:val="21"/>
        </w:rPr>
        <w:t>s</w:t>
      </w:r>
      <w:r>
        <w:rPr>
          <w:rFonts w:hint="eastAsia"/>
          <w:szCs w:val="21"/>
        </w:rPr>
        <w:t>的出口带宽</w:t>
      </w:r>
      <w:r w:rsidRPr="00E002A9">
        <w:rPr>
          <w:rFonts w:hint="eastAsia"/>
          <w:szCs w:val="21"/>
        </w:rPr>
        <w:t>。</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2</w:t>
      </w:r>
      <w:r>
        <w:rPr>
          <w:rFonts w:hint="eastAsia"/>
          <w:szCs w:val="21"/>
        </w:rPr>
        <w:t>、接入兴庆校区主机房，需提供双路由光缆线路和不少于</w:t>
      </w:r>
      <w:r>
        <w:rPr>
          <w:rFonts w:hint="eastAsia"/>
          <w:szCs w:val="21"/>
        </w:rPr>
        <w:t>2</w:t>
      </w:r>
      <w:r>
        <w:rPr>
          <w:rFonts w:hint="eastAsia"/>
          <w:szCs w:val="21"/>
        </w:rPr>
        <w:t>个</w:t>
      </w:r>
      <w:r>
        <w:rPr>
          <w:szCs w:val="21"/>
        </w:rPr>
        <w:t>10</w:t>
      </w:r>
      <w:r>
        <w:rPr>
          <w:rFonts w:hint="eastAsia"/>
          <w:szCs w:val="21"/>
        </w:rPr>
        <w:t>Gb</w:t>
      </w:r>
      <w:r>
        <w:rPr>
          <w:szCs w:val="21"/>
        </w:rPr>
        <w:t>/s</w:t>
      </w:r>
      <w:r>
        <w:rPr>
          <w:rFonts w:hint="eastAsia"/>
          <w:szCs w:val="21"/>
        </w:rPr>
        <w:t>以上以太网端口</w:t>
      </w:r>
      <w:r w:rsidRPr="00E002A9">
        <w:rPr>
          <w:rFonts w:hint="eastAsia"/>
          <w:szCs w:val="21"/>
        </w:rPr>
        <w:t>。</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3</w:t>
      </w:r>
      <w:r>
        <w:rPr>
          <w:rFonts w:hint="eastAsia"/>
          <w:szCs w:val="21"/>
        </w:rPr>
        <w:t>、</w:t>
      </w:r>
      <w:r w:rsidRPr="00E002A9">
        <w:rPr>
          <w:rFonts w:hint="eastAsia"/>
          <w:szCs w:val="21"/>
        </w:rPr>
        <w:t>提供的公网</w:t>
      </w:r>
      <w:r w:rsidRPr="00E002A9">
        <w:rPr>
          <w:rFonts w:hint="eastAsia"/>
          <w:szCs w:val="21"/>
        </w:rPr>
        <w:t>IP</w:t>
      </w:r>
      <w:r>
        <w:rPr>
          <w:rFonts w:hint="eastAsia"/>
          <w:szCs w:val="21"/>
        </w:rPr>
        <w:t>不少于</w:t>
      </w:r>
      <w:r>
        <w:rPr>
          <w:szCs w:val="21"/>
        </w:rPr>
        <w:t>64</w:t>
      </w:r>
      <w:r w:rsidRPr="00E002A9">
        <w:rPr>
          <w:rFonts w:hint="eastAsia"/>
          <w:szCs w:val="21"/>
        </w:rPr>
        <w:t>个</w:t>
      </w:r>
      <w:r>
        <w:rPr>
          <w:rFonts w:hint="eastAsia"/>
          <w:szCs w:val="21"/>
        </w:rPr>
        <w:t>，需按照采购方要求进行分校区地址段划分</w:t>
      </w:r>
      <w:r w:rsidRPr="00E002A9">
        <w:rPr>
          <w:rFonts w:hint="eastAsia"/>
          <w:szCs w:val="21"/>
        </w:rPr>
        <w:t>。</w:t>
      </w:r>
    </w:p>
    <w:p w:rsidR="00A64D21" w:rsidRDefault="00A64D21" w:rsidP="00A64D21">
      <w:pPr>
        <w:tabs>
          <w:tab w:val="left" w:pos="900"/>
        </w:tabs>
        <w:spacing w:beforeLines="50" w:before="156" w:line="360" w:lineRule="auto"/>
        <w:ind w:firstLineChars="200" w:firstLine="420"/>
        <w:rPr>
          <w:szCs w:val="21"/>
        </w:rPr>
      </w:pPr>
      <w:r>
        <w:rPr>
          <w:rFonts w:hint="eastAsia"/>
          <w:szCs w:val="21"/>
        </w:rPr>
        <w:t>4</w:t>
      </w:r>
      <w:r>
        <w:rPr>
          <w:rFonts w:hint="eastAsia"/>
          <w:szCs w:val="21"/>
        </w:rPr>
        <w:t>、</w:t>
      </w:r>
      <w:r w:rsidRPr="00E002A9">
        <w:rPr>
          <w:rFonts w:hint="eastAsia"/>
          <w:szCs w:val="21"/>
        </w:rPr>
        <w:t>本项目须接入城域网核心节点，保证线路稳定性并纯独享带宽。</w:t>
      </w:r>
    </w:p>
    <w:p w:rsidR="00A64D21" w:rsidRDefault="00A64D21" w:rsidP="00A64D21">
      <w:pPr>
        <w:tabs>
          <w:tab w:val="left" w:pos="900"/>
        </w:tabs>
        <w:spacing w:beforeLines="50" w:before="156" w:line="360" w:lineRule="auto"/>
        <w:ind w:firstLineChars="200" w:firstLine="420"/>
        <w:rPr>
          <w:szCs w:val="21"/>
        </w:rPr>
      </w:pPr>
      <w:r>
        <w:rPr>
          <w:rFonts w:hint="eastAsia"/>
          <w:szCs w:val="21"/>
        </w:rPr>
        <w:t>5</w:t>
      </w:r>
      <w:r>
        <w:rPr>
          <w:rFonts w:hint="eastAsia"/>
          <w:szCs w:val="21"/>
        </w:rPr>
        <w:t>、需对出口带宽优化，为无线终端访问提供最优体验，</w:t>
      </w:r>
      <w:r w:rsidRPr="0037401D">
        <w:rPr>
          <w:rFonts w:hint="eastAsia"/>
          <w:szCs w:val="21"/>
        </w:rPr>
        <w:t>确保西安交通大学购买的海外期刊图书资源的访问质量最优，须提供相应材料及承诺书</w:t>
      </w:r>
      <w:r>
        <w:rPr>
          <w:rFonts w:hint="eastAsia"/>
          <w:szCs w:val="21"/>
        </w:rPr>
        <w:t>。</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6</w:t>
      </w:r>
      <w:r>
        <w:rPr>
          <w:rFonts w:hint="eastAsia"/>
          <w:szCs w:val="21"/>
        </w:rPr>
        <w:t>、</w:t>
      </w:r>
      <w:r w:rsidRPr="00E002A9">
        <w:rPr>
          <w:rFonts w:hint="eastAsia"/>
          <w:szCs w:val="21"/>
        </w:rPr>
        <w:t>提供网络安全防护服务，包括</w:t>
      </w:r>
      <w:r w:rsidRPr="00E002A9">
        <w:rPr>
          <w:rFonts w:hint="eastAsia"/>
          <w:szCs w:val="21"/>
        </w:rPr>
        <w:t>DDOS</w:t>
      </w:r>
      <w:r w:rsidRPr="00E002A9">
        <w:rPr>
          <w:rFonts w:hint="eastAsia"/>
          <w:szCs w:val="21"/>
        </w:rPr>
        <w:t>攻击防护</w:t>
      </w:r>
      <w:r>
        <w:rPr>
          <w:rFonts w:hint="eastAsia"/>
          <w:szCs w:val="21"/>
        </w:rPr>
        <w:t>。</w:t>
      </w:r>
    </w:p>
    <w:p w:rsidR="00A64D21" w:rsidRDefault="00A64D21" w:rsidP="00A64D21">
      <w:pPr>
        <w:tabs>
          <w:tab w:val="left" w:pos="900"/>
        </w:tabs>
        <w:spacing w:beforeLines="50" w:before="156" w:line="360" w:lineRule="auto"/>
        <w:ind w:firstLineChars="200" w:firstLine="420"/>
        <w:rPr>
          <w:szCs w:val="21"/>
        </w:rPr>
      </w:pPr>
      <w:r>
        <w:rPr>
          <w:szCs w:val="21"/>
        </w:rPr>
        <w:t>7</w:t>
      </w:r>
      <w:r>
        <w:rPr>
          <w:rFonts w:hint="eastAsia"/>
          <w:szCs w:val="21"/>
        </w:rPr>
        <w:t>、</w:t>
      </w:r>
      <w:r w:rsidRPr="00E002A9">
        <w:rPr>
          <w:rFonts w:hint="eastAsia"/>
          <w:szCs w:val="21"/>
        </w:rPr>
        <w:t>提供本项目出口带宽拓扑示意图。</w:t>
      </w:r>
    </w:p>
    <w:p w:rsidR="00A64D21" w:rsidRDefault="00A64D21" w:rsidP="00A64D21">
      <w:pPr>
        <w:tabs>
          <w:tab w:val="left" w:pos="900"/>
        </w:tabs>
        <w:spacing w:beforeLines="50" w:before="156" w:line="360" w:lineRule="auto"/>
        <w:ind w:firstLineChars="200" w:firstLine="420"/>
        <w:rPr>
          <w:szCs w:val="21"/>
        </w:rPr>
      </w:pPr>
      <w:r>
        <w:rPr>
          <w:szCs w:val="21"/>
        </w:rPr>
        <w:t>8</w:t>
      </w:r>
      <w:r>
        <w:rPr>
          <w:rFonts w:hint="eastAsia"/>
          <w:szCs w:val="21"/>
        </w:rPr>
        <w:t>、须提供从西安交通大学兴庆校区网络信息中心机房至二附院家属区机房的</w:t>
      </w:r>
      <w:r>
        <w:rPr>
          <w:rFonts w:hint="eastAsia"/>
          <w:szCs w:val="21"/>
        </w:rPr>
        <w:t>6</w:t>
      </w:r>
      <w:r>
        <w:rPr>
          <w:rFonts w:hint="eastAsia"/>
          <w:szCs w:val="21"/>
        </w:rPr>
        <w:t>芯（</w:t>
      </w:r>
      <w:r>
        <w:rPr>
          <w:rFonts w:hint="eastAsia"/>
          <w:szCs w:val="21"/>
        </w:rPr>
        <w:t>3</w:t>
      </w:r>
      <w:r>
        <w:rPr>
          <w:rFonts w:hint="eastAsia"/>
          <w:szCs w:val="21"/>
        </w:rPr>
        <w:t>对）光纤通道，要求</w:t>
      </w:r>
      <w:r w:rsidRPr="000B0FDA">
        <w:rPr>
          <w:rFonts w:hint="eastAsia"/>
          <w:szCs w:val="21"/>
        </w:rPr>
        <w:t>全程链路须为裸光纤，中间无有源设备，中继段光缆</w:t>
      </w:r>
      <w:r w:rsidRPr="000B0FDA">
        <w:rPr>
          <w:rFonts w:hint="eastAsia"/>
          <w:szCs w:val="21"/>
        </w:rPr>
        <w:t>1550</w:t>
      </w:r>
      <w:r w:rsidRPr="000B0FDA">
        <w:rPr>
          <w:rFonts w:hint="eastAsia"/>
          <w:szCs w:val="21"/>
        </w:rPr>
        <w:t>波长最长衰减≤</w:t>
      </w:r>
      <w:r w:rsidRPr="000B0FDA">
        <w:rPr>
          <w:rFonts w:hint="eastAsia"/>
          <w:szCs w:val="21"/>
        </w:rPr>
        <w:t>0.35db/km</w:t>
      </w:r>
      <w:r w:rsidRPr="000B0FDA">
        <w:rPr>
          <w:rFonts w:hint="eastAsia"/>
          <w:szCs w:val="21"/>
        </w:rPr>
        <w:t>，全程衰减均须≤</w:t>
      </w:r>
      <w:r w:rsidRPr="000B0FDA">
        <w:rPr>
          <w:rFonts w:hint="eastAsia"/>
          <w:szCs w:val="21"/>
        </w:rPr>
        <w:t>-20db</w:t>
      </w:r>
      <w:r w:rsidRPr="000B0FDA">
        <w:rPr>
          <w:rFonts w:hint="eastAsia"/>
          <w:szCs w:val="21"/>
        </w:rPr>
        <w:t>，接头损耗每个法兰≤</w:t>
      </w:r>
      <w:r w:rsidRPr="000B0FDA">
        <w:rPr>
          <w:rFonts w:hint="eastAsia"/>
          <w:szCs w:val="21"/>
        </w:rPr>
        <w:t>0.5db</w:t>
      </w:r>
      <w:r w:rsidRPr="000B0FDA">
        <w:rPr>
          <w:rFonts w:hint="eastAsia"/>
          <w:szCs w:val="21"/>
        </w:rPr>
        <w:t>。</w:t>
      </w:r>
    </w:p>
    <w:p w:rsidR="00A64D21" w:rsidRDefault="00A64D21" w:rsidP="00A64D21">
      <w:pPr>
        <w:tabs>
          <w:tab w:val="left" w:pos="900"/>
        </w:tabs>
        <w:spacing w:beforeLines="50" w:before="156" w:line="360" w:lineRule="auto"/>
        <w:ind w:firstLineChars="200" w:firstLine="420"/>
        <w:rPr>
          <w:szCs w:val="21"/>
        </w:rPr>
      </w:pPr>
      <w:r>
        <w:rPr>
          <w:szCs w:val="21"/>
        </w:rPr>
        <w:t>9</w:t>
      </w:r>
      <w:r>
        <w:rPr>
          <w:rFonts w:hint="eastAsia"/>
          <w:szCs w:val="21"/>
        </w:rPr>
        <w:t>、须提供从西安交通大学兴庆校区网络信息中心机房至国家超算中心光纤通道，要求</w:t>
      </w:r>
      <w:r w:rsidRPr="000B0FDA">
        <w:rPr>
          <w:rFonts w:hint="eastAsia"/>
          <w:szCs w:val="21"/>
        </w:rPr>
        <w:t>全程链路须为裸光纤，中间无有源设备，中继段光缆</w:t>
      </w:r>
      <w:r w:rsidRPr="000B0FDA">
        <w:rPr>
          <w:rFonts w:hint="eastAsia"/>
          <w:szCs w:val="21"/>
        </w:rPr>
        <w:t>1550</w:t>
      </w:r>
      <w:r w:rsidRPr="000B0FDA">
        <w:rPr>
          <w:rFonts w:hint="eastAsia"/>
          <w:szCs w:val="21"/>
        </w:rPr>
        <w:t>波长最长衰减≤</w:t>
      </w:r>
      <w:r w:rsidRPr="000B0FDA">
        <w:rPr>
          <w:rFonts w:hint="eastAsia"/>
          <w:szCs w:val="21"/>
        </w:rPr>
        <w:t>0.35db/km</w:t>
      </w:r>
      <w:r w:rsidRPr="000B0FDA">
        <w:rPr>
          <w:rFonts w:hint="eastAsia"/>
          <w:szCs w:val="21"/>
        </w:rPr>
        <w:t>，全程衰减均须≤</w:t>
      </w:r>
      <w:r w:rsidRPr="000B0FDA">
        <w:rPr>
          <w:rFonts w:hint="eastAsia"/>
          <w:szCs w:val="21"/>
        </w:rPr>
        <w:t>-20db</w:t>
      </w:r>
      <w:r w:rsidRPr="000B0FDA">
        <w:rPr>
          <w:rFonts w:hint="eastAsia"/>
          <w:szCs w:val="21"/>
        </w:rPr>
        <w:t>，接头损耗每个法兰≤</w:t>
      </w:r>
      <w:r w:rsidRPr="000B0FDA">
        <w:rPr>
          <w:rFonts w:hint="eastAsia"/>
          <w:szCs w:val="21"/>
        </w:rPr>
        <w:t>0.5db</w:t>
      </w:r>
      <w:r w:rsidRPr="000B0FDA">
        <w:rPr>
          <w:rFonts w:hint="eastAsia"/>
          <w:szCs w:val="21"/>
        </w:rPr>
        <w:t>。</w:t>
      </w:r>
    </w:p>
    <w:p w:rsidR="00A64D21" w:rsidRPr="00FE7732" w:rsidRDefault="00A64D21" w:rsidP="00A64D21">
      <w:pPr>
        <w:tabs>
          <w:tab w:val="left" w:pos="900"/>
        </w:tabs>
        <w:spacing w:beforeLines="50" w:before="156" w:line="360" w:lineRule="auto"/>
        <w:rPr>
          <w:szCs w:val="21"/>
        </w:rPr>
      </w:pPr>
    </w:p>
    <w:p w:rsidR="00A64D21" w:rsidRPr="00E002A9" w:rsidRDefault="00A64D21" w:rsidP="00A64D21">
      <w:pPr>
        <w:tabs>
          <w:tab w:val="left" w:pos="900"/>
        </w:tabs>
        <w:spacing w:beforeLines="50" w:before="156" w:line="360" w:lineRule="auto"/>
        <w:ind w:firstLineChars="200" w:firstLine="422"/>
        <w:rPr>
          <w:b/>
          <w:szCs w:val="21"/>
        </w:rPr>
      </w:pPr>
      <w:r>
        <w:rPr>
          <w:rFonts w:hint="eastAsia"/>
          <w:b/>
          <w:szCs w:val="21"/>
        </w:rPr>
        <w:t>标段三：创新港校区无线运营商网络出口带宽</w:t>
      </w:r>
      <w:r w:rsidRPr="00E002A9">
        <w:rPr>
          <w:rFonts w:hint="eastAsia"/>
          <w:b/>
          <w:szCs w:val="21"/>
        </w:rPr>
        <w:t>（</w:t>
      </w:r>
      <w:r>
        <w:rPr>
          <w:b/>
          <w:szCs w:val="21"/>
        </w:rPr>
        <w:t xml:space="preserve">72 </w:t>
      </w:r>
      <w:r w:rsidRPr="00E002A9">
        <w:rPr>
          <w:rFonts w:hint="eastAsia"/>
          <w:b/>
          <w:szCs w:val="21"/>
        </w:rPr>
        <w:t>万元）</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1</w:t>
      </w:r>
      <w:r>
        <w:rPr>
          <w:rFonts w:hint="eastAsia"/>
          <w:szCs w:val="21"/>
        </w:rPr>
        <w:t>、提供总数不少于</w:t>
      </w:r>
      <w:r>
        <w:rPr>
          <w:szCs w:val="21"/>
        </w:rPr>
        <w:t>4</w:t>
      </w:r>
      <w:r w:rsidRPr="00E002A9">
        <w:rPr>
          <w:rFonts w:hint="eastAsia"/>
          <w:szCs w:val="21"/>
        </w:rPr>
        <w:t>Gb</w:t>
      </w:r>
      <w:r>
        <w:rPr>
          <w:rFonts w:hint="eastAsia"/>
          <w:szCs w:val="21"/>
        </w:rPr>
        <w:t>/</w:t>
      </w:r>
      <w:r>
        <w:rPr>
          <w:szCs w:val="21"/>
        </w:rPr>
        <w:t>s</w:t>
      </w:r>
      <w:r>
        <w:rPr>
          <w:rFonts w:hint="eastAsia"/>
          <w:szCs w:val="21"/>
        </w:rPr>
        <w:t>的出口带宽</w:t>
      </w:r>
      <w:r w:rsidRPr="00E002A9">
        <w:rPr>
          <w:rFonts w:hint="eastAsia"/>
          <w:szCs w:val="21"/>
        </w:rPr>
        <w:t>。</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2</w:t>
      </w:r>
      <w:r>
        <w:rPr>
          <w:rFonts w:hint="eastAsia"/>
          <w:szCs w:val="21"/>
        </w:rPr>
        <w:t>、接入创新港校区数据机房，需提供双路由光缆线路和不少于</w:t>
      </w:r>
      <w:r>
        <w:rPr>
          <w:rFonts w:hint="eastAsia"/>
          <w:szCs w:val="21"/>
        </w:rPr>
        <w:t>2</w:t>
      </w:r>
      <w:r>
        <w:rPr>
          <w:rFonts w:hint="eastAsia"/>
          <w:szCs w:val="21"/>
        </w:rPr>
        <w:t>个</w:t>
      </w:r>
      <w:r>
        <w:rPr>
          <w:szCs w:val="21"/>
        </w:rPr>
        <w:t>10</w:t>
      </w:r>
      <w:r>
        <w:rPr>
          <w:rFonts w:hint="eastAsia"/>
          <w:szCs w:val="21"/>
        </w:rPr>
        <w:t>Gb</w:t>
      </w:r>
      <w:r>
        <w:rPr>
          <w:szCs w:val="21"/>
        </w:rPr>
        <w:t>/s</w:t>
      </w:r>
      <w:r>
        <w:rPr>
          <w:rFonts w:hint="eastAsia"/>
          <w:szCs w:val="21"/>
        </w:rPr>
        <w:t>以上以太网端口</w:t>
      </w:r>
      <w:r w:rsidRPr="00E002A9">
        <w:rPr>
          <w:rFonts w:hint="eastAsia"/>
          <w:szCs w:val="21"/>
        </w:rPr>
        <w:t>。</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3</w:t>
      </w:r>
      <w:r>
        <w:rPr>
          <w:rFonts w:hint="eastAsia"/>
          <w:szCs w:val="21"/>
        </w:rPr>
        <w:t>、</w:t>
      </w:r>
      <w:r w:rsidRPr="00E002A9">
        <w:rPr>
          <w:rFonts w:hint="eastAsia"/>
          <w:szCs w:val="21"/>
        </w:rPr>
        <w:t>提供的公网</w:t>
      </w:r>
      <w:r w:rsidRPr="00E002A9">
        <w:rPr>
          <w:rFonts w:hint="eastAsia"/>
          <w:szCs w:val="21"/>
        </w:rPr>
        <w:t>IP</w:t>
      </w:r>
      <w:r>
        <w:rPr>
          <w:rFonts w:hint="eastAsia"/>
          <w:szCs w:val="21"/>
        </w:rPr>
        <w:t>不少于</w:t>
      </w:r>
      <w:r>
        <w:rPr>
          <w:szCs w:val="21"/>
        </w:rPr>
        <w:t>64</w:t>
      </w:r>
      <w:r w:rsidRPr="00E002A9">
        <w:rPr>
          <w:rFonts w:hint="eastAsia"/>
          <w:szCs w:val="21"/>
        </w:rPr>
        <w:t>个</w:t>
      </w:r>
      <w:r>
        <w:rPr>
          <w:rFonts w:hint="eastAsia"/>
          <w:szCs w:val="21"/>
        </w:rPr>
        <w:t>，需按照采购方要求进行分校区地址段划分</w:t>
      </w:r>
      <w:r w:rsidRPr="00E002A9">
        <w:rPr>
          <w:rFonts w:hint="eastAsia"/>
          <w:szCs w:val="21"/>
        </w:rPr>
        <w:t>。</w:t>
      </w:r>
    </w:p>
    <w:p w:rsidR="00A64D21" w:rsidRDefault="00A64D21" w:rsidP="00A64D21">
      <w:pPr>
        <w:tabs>
          <w:tab w:val="left" w:pos="900"/>
        </w:tabs>
        <w:spacing w:beforeLines="50" w:before="156" w:line="360" w:lineRule="auto"/>
        <w:ind w:firstLineChars="200" w:firstLine="420"/>
        <w:rPr>
          <w:szCs w:val="21"/>
        </w:rPr>
      </w:pPr>
      <w:r>
        <w:rPr>
          <w:rFonts w:hint="eastAsia"/>
          <w:szCs w:val="21"/>
        </w:rPr>
        <w:t>4</w:t>
      </w:r>
      <w:r>
        <w:rPr>
          <w:rFonts w:hint="eastAsia"/>
          <w:szCs w:val="21"/>
        </w:rPr>
        <w:t>、</w:t>
      </w:r>
      <w:r w:rsidRPr="00E002A9">
        <w:rPr>
          <w:rFonts w:hint="eastAsia"/>
          <w:szCs w:val="21"/>
        </w:rPr>
        <w:t>本项目须接入城域网核心节点，保证线路稳定性并纯独享带宽。</w:t>
      </w:r>
    </w:p>
    <w:p w:rsidR="00A64D21" w:rsidRDefault="00A64D21" w:rsidP="00A64D21">
      <w:pPr>
        <w:tabs>
          <w:tab w:val="left" w:pos="900"/>
        </w:tabs>
        <w:spacing w:beforeLines="50" w:before="156" w:line="360" w:lineRule="auto"/>
        <w:ind w:firstLineChars="200" w:firstLine="420"/>
        <w:rPr>
          <w:szCs w:val="21"/>
        </w:rPr>
      </w:pPr>
      <w:r>
        <w:rPr>
          <w:rFonts w:hint="eastAsia"/>
          <w:szCs w:val="21"/>
        </w:rPr>
        <w:t>5</w:t>
      </w:r>
      <w:r>
        <w:rPr>
          <w:rFonts w:hint="eastAsia"/>
          <w:szCs w:val="21"/>
        </w:rPr>
        <w:t>、需对出口带宽优化，为无线终端访问提供最优体验，</w:t>
      </w:r>
      <w:r w:rsidRPr="0037401D">
        <w:rPr>
          <w:rFonts w:hint="eastAsia"/>
          <w:szCs w:val="21"/>
        </w:rPr>
        <w:t>确保西安交通大学购买的海外期刊图书资源的访问质量最优，须提供相应材料及承诺书</w:t>
      </w:r>
      <w:r>
        <w:rPr>
          <w:rFonts w:hint="eastAsia"/>
          <w:szCs w:val="21"/>
        </w:rPr>
        <w:t>。</w:t>
      </w:r>
    </w:p>
    <w:p w:rsidR="00A64D21" w:rsidRPr="00E002A9" w:rsidRDefault="00A64D21" w:rsidP="00A64D21">
      <w:pPr>
        <w:tabs>
          <w:tab w:val="left" w:pos="900"/>
        </w:tabs>
        <w:spacing w:beforeLines="50" w:before="156" w:line="360" w:lineRule="auto"/>
        <w:ind w:firstLineChars="200" w:firstLine="420"/>
        <w:rPr>
          <w:szCs w:val="21"/>
        </w:rPr>
      </w:pPr>
      <w:r>
        <w:rPr>
          <w:rFonts w:hint="eastAsia"/>
          <w:szCs w:val="21"/>
        </w:rPr>
        <w:t>6</w:t>
      </w:r>
      <w:r>
        <w:rPr>
          <w:rFonts w:hint="eastAsia"/>
          <w:szCs w:val="21"/>
        </w:rPr>
        <w:t>、</w:t>
      </w:r>
      <w:r w:rsidRPr="00E002A9">
        <w:rPr>
          <w:rFonts w:hint="eastAsia"/>
          <w:szCs w:val="21"/>
        </w:rPr>
        <w:t>提供网络安全防护服务，包括</w:t>
      </w:r>
      <w:r w:rsidRPr="00E002A9">
        <w:rPr>
          <w:rFonts w:hint="eastAsia"/>
          <w:szCs w:val="21"/>
        </w:rPr>
        <w:t>DDOS</w:t>
      </w:r>
      <w:r w:rsidRPr="00E002A9">
        <w:rPr>
          <w:rFonts w:hint="eastAsia"/>
          <w:szCs w:val="21"/>
        </w:rPr>
        <w:t>攻击防护</w:t>
      </w:r>
      <w:r>
        <w:rPr>
          <w:rFonts w:hint="eastAsia"/>
          <w:szCs w:val="21"/>
        </w:rPr>
        <w:t>。</w:t>
      </w:r>
    </w:p>
    <w:p w:rsidR="00A64D21" w:rsidRDefault="00A64D21" w:rsidP="00A64D21">
      <w:pPr>
        <w:tabs>
          <w:tab w:val="left" w:pos="900"/>
        </w:tabs>
        <w:spacing w:beforeLines="50" w:before="156" w:line="360" w:lineRule="auto"/>
        <w:ind w:firstLineChars="200" w:firstLine="420"/>
        <w:rPr>
          <w:szCs w:val="21"/>
        </w:rPr>
      </w:pPr>
      <w:r>
        <w:rPr>
          <w:szCs w:val="21"/>
        </w:rPr>
        <w:t>7</w:t>
      </w:r>
      <w:r>
        <w:rPr>
          <w:rFonts w:hint="eastAsia"/>
          <w:szCs w:val="21"/>
        </w:rPr>
        <w:t>、</w:t>
      </w:r>
      <w:r w:rsidRPr="00E002A9">
        <w:rPr>
          <w:rFonts w:hint="eastAsia"/>
          <w:szCs w:val="21"/>
        </w:rPr>
        <w:t>提供本项目出口带宽拓扑示意图。</w:t>
      </w:r>
    </w:p>
    <w:p w:rsidR="00A64D21" w:rsidRDefault="00A64D21" w:rsidP="00A64D21">
      <w:pPr>
        <w:tabs>
          <w:tab w:val="left" w:pos="900"/>
        </w:tabs>
        <w:spacing w:beforeLines="50" w:before="156" w:line="360" w:lineRule="auto"/>
        <w:ind w:firstLineChars="200" w:firstLine="420"/>
        <w:rPr>
          <w:szCs w:val="21"/>
        </w:rPr>
      </w:pPr>
      <w:r>
        <w:rPr>
          <w:szCs w:val="21"/>
        </w:rPr>
        <w:t>8</w:t>
      </w:r>
      <w:r>
        <w:rPr>
          <w:rFonts w:hint="eastAsia"/>
          <w:szCs w:val="21"/>
        </w:rPr>
        <w:t>、</w:t>
      </w:r>
      <w:r w:rsidRPr="00FE7732">
        <w:rPr>
          <w:rFonts w:hint="eastAsia"/>
          <w:szCs w:val="21"/>
        </w:rPr>
        <w:t>须提供</w:t>
      </w:r>
      <w:r>
        <w:rPr>
          <w:rFonts w:hint="eastAsia"/>
          <w:szCs w:val="21"/>
        </w:rPr>
        <w:t>从西安交通大学兴庆校区网络信息中心机房至阳光小区</w:t>
      </w:r>
      <w:r>
        <w:rPr>
          <w:rFonts w:hint="eastAsia"/>
          <w:szCs w:val="21"/>
        </w:rPr>
        <w:t>13</w:t>
      </w:r>
      <w:r>
        <w:rPr>
          <w:rFonts w:hint="eastAsia"/>
          <w:szCs w:val="21"/>
        </w:rPr>
        <w:t>号家属楼</w:t>
      </w:r>
      <w:r>
        <w:rPr>
          <w:rFonts w:hint="eastAsia"/>
          <w:szCs w:val="21"/>
        </w:rPr>
        <w:t>4</w:t>
      </w:r>
      <w:r>
        <w:rPr>
          <w:rFonts w:hint="eastAsia"/>
          <w:szCs w:val="21"/>
        </w:rPr>
        <w:t>芯（</w:t>
      </w:r>
      <w:r>
        <w:rPr>
          <w:rFonts w:hint="eastAsia"/>
          <w:szCs w:val="21"/>
        </w:rPr>
        <w:t>2</w:t>
      </w:r>
      <w:r>
        <w:rPr>
          <w:rFonts w:hint="eastAsia"/>
          <w:szCs w:val="21"/>
        </w:rPr>
        <w:t>对）光纤通道</w:t>
      </w:r>
      <w:r w:rsidRPr="00FE7732">
        <w:rPr>
          <w:rFonts w:hint="eastAsia"/>
          <w:szCs w:val="21"/>
        </w:rPr>
        <w:t>，要求全程链路须为裸光纤，中间无有源设备，中继段光缆</w:t>
      </w:r>
      <w:r w:rsidRPr="00FE7732">
        <w:rPr>
          <w:rFonts w:hint="eastAsia"/>
          <w:szCs w:val="21"/>
        </w:rPr>
        <w:t>1550</w:t>
      </w:r>
      <w:r w:rsidRPr="00FE7732">
        <w:rPr>
          <w:rFonts w:hint="eastAsia"/>
          <w:szCs w:val="21"/>
        </w:rPr>
        <w:t>波长最长衰减≤</w:t>
      </w:r>
      <w:r w:rsidRPr="00FE7732">
        <w:rPr>
          <w:rFonts w:hint="eastAsia"/>
          <w:szCs w:val="21"/>
        </w:rPr>
        <w:t>0.35db/km</w:t>
      </w:r>
      <w:r w:rsidRPr="00FE7732">
        <w:rPr>
          <w:rFonts w:hint="eastAsia"/>
          <w:szCs w:val="21"/>
        </w:rPr>
        <w:t>，全程衰减均须≤</w:t>
      </w:r>
      <w:r w:rsidRPr="00FE7732">
        <w:rPr>
          <w:rFonts w:hint="eastAsia"/>
          <w:szCs w:val="21"/>
        </w:rPr>
        <w:t>-20db</w:t>
      </w:r>
      <w:r w:rsidRPr="00FE7732">
        <w:rPr>
          <w:rFonts w:hint="eastAsia"/>
          <w:szCs w:val="21"/>
        </w:rPr>
        <w:t>，接头损耗每个法兰≤</w:t>
      </w:r>
      <w:r w:rsidRPr="00FE7732">
        <w:rPr>
          <w:rFonts w:hint="eastAsia"/>
          <w:szCs w:val="21"/>
        </w:rPr>
        <w:t>0.5db</w:t>
      </w:r>
      <w:r w:rsidRPr="00FE7732">
        <w:rPr>
          <w:rFonts w:hint="eastAsia"/>
          <w:szCs w:val="21"/>
        </w:rPr>
        <w:t>。</w:t>
      </w:r>
    </w:p>
    <w:p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rsidR="00A64D21" w:rsidRPr="0037401D" w:rsidRDefault="00A64D21" w:rsidP="00A64D21">
      <w:pPr>
        <w:tabs>
          <w:tab w:val="left" w:pos="900"/>
        </w:tabs>
        <w:spacing w:beforeLines="50" w:before="156" w:line="360" w:lineRule="auto"/>
        <w:ind w:firstLineChars="200" w:firstLine="420"/>
        <w:rPr>
          <w:szCs w:val="21"/>
        </w:rPr>
      </w:pPr>
      <w:r w:rsidRPr="0037401D">
        <w:rPr>
          <w:rFonts w:hint="eastAsia"/>
          <w:szCs w:val="21"/>
        </w:rPr>
        <w:t>（</w:t>
      </w:r>
      <w:r w:rsidRPr="0037401D">
        <w:rPr>
          <w:rFonts w:hint="eastAsia"/>
          <w:szCs w:val="21"/>
        </w:rPr>
        <w:t>1</w:t>
      </w:r>
      <w:r w:rsidRPr="0037401D">
        <w:rPr>
          <w:rFonts w:hint="eastAsia"/>
          <w:szCs w:val="21"/>
        </w:rPr>
        <w:t>）供应商提供的服务标准必须满足信息产业部颁发的《电信服务质量标准》。</w:t>
      </w:r>
    </w:p>
    <w:p w:rsidR="00A64D21" w:rsidRPr="0037401D" w:rsidRDefault="00A64D21" w:rsidP="00A64D21">
      <w:pPr>
        <w:tabs>
          <w:tab w:val="left" w:pos="900"/>
        </w:tabs>
        <w:spacing w:beforeLines="50" w:before="156" w:line="360" w:lineRule="auto"/>
        <w:ind w:firstLineChars="200" w:firstLine="420"/>
        <w:rPr>
          <w:szCs w:val="21"/>
        </w:rPr>
      </w:pPr>
      <w:r w:rsidRPr="0037401D">
        <w:rPr>
          <w:rFonts w:hint="eastAsia"/>
          <w:szCs w:val="21"/>
        </w:rPr>
        <w:t>（</w:t>
      </w:r>
      <w:r w:rsidRPr="0037401D">
        <w:rPr>
          <w:rFonts w:hint="eastAsia"/>
          <w:szCs w:val="21"/>
        </w:rPr>
        <w:t>2</w:t>
      </w:r>
      <w:r w:rsidRPr="0037401D">
        <w:rPr>
          <w:rFonts w:hint="eastAsia"/>
          <w:szCs w:val="21"/>
        </w:rPr>
        <w:t>）需提供质量保证承诺及维修响应承诺，提供</w:t>
      </w:r>
      <w:r w:rsidRPr="0037401D">
        <w:rPr>
          <w:rFonts w:hint="eastAsia"/>
          <w:szCs w:val="21"/>
        </w:rPr>
        <w:t>7*24</w:t>
      </w:r>
      <w:r w:rsidRPr="0037401D">
        <w:rPr>
          <w:rFonts w:hint="eastAsia"/>
          <w:szCs w:val="21"/>
        </w:rPr>
        <w:t>小时免费专业技术保障，确保在专线出现故障时</w:t>
      </w:r>
      <w:r>
        <w:rPr>
          <w:rFonts w:hint="eastAsia"/>
          <w:szCs w:val="21"/>
        </w:rPr>
        <w:t>3</w:t>
      </w:r>
      <w:r>
        <w:rPr>
          <w:szCs w:val="21"/>
        </w:rPr>
        <w:t>0</w:t>
      </w:r>
      <w:r>
        <w:rPr>
          <w:rFonts w:hint="eastAsia"/>
          <w:szCs w:val="21"/>
        </w:rPr>
        <w:t>分钟</w:t>
      </w:r>
      <w:r w:rsidRPr="0037401D">
        <w:rPr>
          <w:rFonts w:hint="eastAsia"/>
          <w:szCs w:val="21"/>
        </w:rPr>
        <w:t>响应，并在</w:t>
      </w:r>
      <w:r w:rsidRPr="0037401D">
        <w:rPr>
          <w:rFonts w:hint="eastAsia"/>
          <w:szCs w:val="21"/>
        </w:rPr>
        <w:t>1</w:t>
      </w:r>
      <w:r w:rsidRPr="0037401D">
        <w:rPr>
          <w:rFonts w:hint="eastAsia"/>
          <w:szCs w:val="21"/>
        </w:rPr>
        <w:t>小时内排除故障，须提供相应材料及承诺书，加盖公章。</w:t>
      </w:r>
    </w:p>
    <w:p w:rsidR="00A64D21" w:rsidRPr="0037401D" w:rsidRDefault="00A64D21" w:rsidP="00A64D21">
      <w:pPr>
        <w:tabs>
          <w:tab w:val="left" w:pos="900"/>
        </w:tabs>
        <w:spacing w:beforeLines="50" w:before="156" w:line="360" w:lineRule="auto"/>
        <w:ind w:firstLineChars="200" w:firstLine="420"/>
        <w:rPr>
          <w:szCs w:val="21"/>
        </w:rPr>
      </w:pPr>
      <w:r w:rsidRPr="0037401D">
        <w:rPr>
          <w:rFonts w:hint="eastAsia"/>
          <w:szCs w:val="21"/>
        </w:rPr>
        <w:t>（</w:t>
      </w:r>
      <w:r w:rsidRPr="0037401D">
        <w:rPr>
          <w:rFonts w:hint="eastAsia"/>
          <w:szCs w:val="21"/>
        </w:rPr>
        <w:t>3</w:t>
      </w:r>
      <w:r w:rsidRPr="0037401D">
        <w:rPr>
          <w:rFonts w:hint="eastAsia"/>
          <w:szCs w:val="21"/>
        </w:rPr>
        <w:t>）要求对整个链路做</w:t>
      </w:r>
      <w:r w:rsidRPr="0037401D">
        <w:rPr>
          <w:rFonts w:hint="eastAsia"/>
          <w:szCs w:val="21"/>
        </w:rPr>
        <w:t>24</w:t>
      </w:r>
      <w:r w:rsidRPr="0037401D">
        <w:rPr>
          <w:rFonts w:hint="eastAsia"/>
          <w:szCs w:val="21"/>
        </w:rPr>
        <w:t>小时不间断监控，对链路中断故障能够做到</w:t>
      </w:r>
      <w:r w:rsidRPr="0037401D">
        <w:rPr>
          <w:rFonts w:hint="eastAsia"/>
          <w:szCs w:val="21"/>
        </w:rPr>
        <w:t>30</w:t>
      </w:r>
      <w:r w:rsidRPr="0037401D">
        <w:rPr>
          <w:rFonts w:hint="eastAsia"/>
          <w:szCs w:val="21"/>
        </w:rPr>
        <w:t>分钟内响应。</w:t>
      </w:r>
    </w:p>
    <w:p w:rsidR="00A64D21" w:rsidRPr="0037401D" w:rsidRDefault="00A64D21" w:rsidP="00A64D21">
      <w:pPr>
        <w:tabs>
          <w:tab w:val="left" w:pos="900"/>
        </w:tabs>
        <w:spacing w:beforeLines="50" w:before="156" w:line="360" w:lineRule="auto"/>
        <w:ind w:firstLineChars="200" w:firstLine="420"/>
        <w:rPr>
          <w:szCs w:val="21"/>
        </w:rPr>
      </w:pPr>
      <w:r w:rsidRPr="0037401D">
        <w:rPr>
          <w:rFonts w:hint="eastAsia"/>
          <w:szCs w:val="21"/>
        </w:rPr>
        <w:t>（</w:t>
      </w:r>
      <w:r w:rsidRPr="0037401D">
        <w:rPr>
          <w:rFonts w:hint="eastAsia"/>
          <w:szCs w:val="21"/>
        </w:rPr>
        <w:t>4</w:t>
      </w:r>
      <w:r w:rsidRPr="0037401D">
        <w:rPr>
          <w:rFonts w:hint="eastAsia"/>
          <w:szCs w:val="21"/>
        </w:rPr>
        <w:t>）要求对售后服务进行考核。按月累计链路中断的时间以及链路衰减不符合要求的时间，折合为相应的天数，将从</w:t>
      </w:r>
      <w:r>
        <w:rPr>
          <w:rFonts w:hint="eastAsia"/>
          <w:szCs w:val="21"/>
        </w:rPr>
        <w:t>履约保证金</w:t>
      </w:r>
      <w:r w:rsidRPr="0037401D">
        <w:rPr>
          <w:rFonts w:hint="eastAsia"/>
          <w:szCs w:val="21"/>
        </w:rPr>
        <w:t>中扣除相应比例的费用。</w:t>
      </w:r>
    </w:p>
    <w:p w:rsidR="00A64D21" w:rsidRPr="0037401D" w:rsidRDefault="00A64D21" w:rsidP="00A64D21">
      <w:pPr>
        <w:tabs>
          <w:tab w:val="left" w:pos="900"/>
        </w:tabs>
        <w:spacing w:beforeLines="50" w:before="156" w:line="360" w:lineRule="auto"/>
        <w:ind w:firstLineChars="200" w:firstLine="420"/>
        <w:rPr>
          <w:szCs w:val="21"/>
        </w:rPr>
      </w:pPr>
      <w:r w:rsidRPr="0037401D">
        <w:rPr>
          <w:rFonts w:hint="eastAsia"/>
          <w:szCs w:val="21"/>
        </w:rPr>
        <w:t>（</w:t>
      </w:r>
      <w:r w:rsidRPr="0037401D">
        <w:rPr>
          <w:rFonts w:hint="eastAsia"/>
          <w:szCs w:val="21"/>
        </w:rPr>
        <w:t>5</w:t>
      </w:r>
      <w:r w:rsidRPr="0037401D">
        <w:rPr>
          <w:rFonts w:hint="eastAsia"/>
          <w:szCs w:val="21"/>
        </w:rPr>
        <w:t>）由于线路检修、设备搬迁、工程割接、网络及软件升级等可预见的原因，影响或可能影响西安交通大学使用互联网带宽服务的，应提前</w:t>
      </w:r>
      <w:r w:rsidRPr="0037401D">
        <w:rPr>
          <w:rFonts w:hint="eastAsia"/>
          <w:szCs w:val="21"/>
        </w:rPr>
        <w:t>72</w:t>
      </w:r>
      <w:r w:rsidRPr="0037401D">
        <w:rPr>
          <w:rFonts w:hint="eastAsia"/>
          <w:szCs w:val="21"/>
        </w:rPr>
        <w:t>小时通知西安交通大学。</w:t>
      </w:r>
    </w:p>
    <w:p w:rsidR="00A64D21" w:rsidRPr="007727D9" w:rsidRDefault="00A64D21" w:rsidP="00A64D21">
      <w:pPr>
        <w:tabs>
          <w:tab w:val="left" w:pos="900"/>
        </w:tabs>
        <w:spacing w:beforeLines="50" w:before="156" w:line="360" w:lineRule="auto"/>
        <w:ind w:firstLineChars="200" w:firstLine="420"/>
        <w:rPr>
          <w:szCs w:val="21"/>
        </w:rPr>
      </w:pPr>
      <w:r w:rsidRPr="007727D9">
        <w:rPr>
          <w:rFonts w:hint="eastAsia"/>
          <w:szCs w:val="21"/>
        </w:rPr>
        <w:t>（</w:t>
      </w:r>
      <w:r>
        <w:rPr>
          <w:szCs w:val="21"/>
        </w:rPr>
        <w:t>6</w:t>
      </w:r>
      <w:r w:rsidRPr="007727D9">
        <w:rPr>
          <w:rFonts w:hint="eastAsia"/>
          <w:szCs w:val="21"/>
        </w:rPr>
        <w:t>）应针对本项目建立故障处理流程以及应急方案等，并负责处理、排除故障，保障西安交通大学能够正常使用</w:t>
      </w:r>
      <w:r>
        <w:rPr>
          <w:rFonts w:hint="eastAsia"/>
          <w:szCs w:val="21"/>
        </w:rPr>
        <w:t>运营商网络</w:t>
      </w:r>
      <w:r w:rsidRPr="007727D9">
        <w:rPr>
          <w:rFonts w:hint="eastAsia"/>
          <w:szCs w:val="21"/>
        </w:rPr>
        <w:t>带宽服务。</w:t>
      </w:r>
    </w:p>
    <w:p w:rsidR="00A64D21" w:rsidRPr="007727D9" w:rsidRDefault="00A64D21" w:rsidP="00A64D21">
      <w:pPr>
        <w:tabs>
          <w:tab w:val="left" w:pos="900"/>
        </w:tabs>
        <w:spacing w:beforeLines="50" w:before="156" w:line="360" w:lineRule="auto"/>
        <w:ind w:firstLineChars="200" w:firstLine="420"/>
        <w:rPr>
          <w:szCs w:val="21"/>
        </w:rPr>
      </w:pPr>
      <w:r w:rsidRPr="007727D9">
        <w:rPr>
          <w:rFonts w:hint="eastAsia"/>
          <w:szCs w:val="21"/>
        </w:rPr>
        <w:t>（</w:t>
      </w:r>
      <w:r>
        <w:rPr>
          <w:szCs w:val="21"/>
        </w:rPr>
        <w:t>7</w:t>
      </w:r>
      <w:r w:rsidRPr="007727D9">
        <w:rPr>
          <w:rFonts w:hint="eastAsia"/>
          <w:szCs w:val="21"/>
        </w:rPr>
        <w:t>）西安交通大学提供校园网光纤接入端口，投标人承担</w:t>
      </w:r>
      <w:r>
        <w:rPr>
          <w:rFonts w:hint="eastAsia"/>
          <w:szCs w:val="21"/>
        </w:rPr>
        <w:t>本项目</w:t>
      </w:r>
      <w:r w:rsidRPr="007727D9">
        <w:rPr>
          <w:rFonts w:hint="eastAsia"/>
          <w:szCs w:val="21"/>
        </w:rPr>
        <w:t>产生的</w:t>
      </w:r>
      <w:r>
        <w:rPr>
          <w:rFonts w:hint="eastAsia"/>
          <w:szCs w:val="21"/>
        </w:rPr>
        <w:t>所有</w:t>
      </w:r>
      <w:r w:rsidRPr="007727D9">
        <w:rPr>
          <w:rFonts w:hint="eastAsia"/>
          <w:szCs w:val="21"/>
        </w:rPr>
        <w:t>费用，包括</w:t>
      </w:r>
      <w:r>
        <w:rPr>
          <w:rFonts w:hint="eastAsia"/>
          <w:szCs w:val="21"/>
        </w:rPr>
        <w:t>但不限于设备、</w:t>
      </w:r>
      <w:r w:rsidRPr="007727D9">
        <w:rPr>
          <w:rFonts w:hint="eastAsia"/>
          <w:szCs w:val="21"/>
        </w:rPr>
        <w:t>光缆施工、初装、割接、调试等。</w:t>
      </w:r>
      <w:r>
        <w:rPr>
          <w:rFonts w:hint="eastAsia"/>
          <w:szCs w:val="21"/>
        </w:rPr>
        <w:t>采购方不再支付合同金额之外的任何费用。</w:t>
      </w:r>
    </w:p>
    <w:p w:rsidR="00A64D21" w:rsidRPr="007727D9" w:rsidRDefault="00A64D21" w:rsidP="00A64D21">
      <w:pPr>
        <w:tabs>
          <w:tab w:val="left" w:pos="900"/>
        </w:tabs>
        <w:spacing w:beforeLines="50" w:before="156" w:line="360" w:lineRule="auto"/>
        <w:rPr>
          <w:szCs w:val="21"/>
        </w:rPr>
      </w:pPr>
      <w:r w:rsidRPr="007727D9">
        <w:rPr>
          <w:rFonts w:hint="eastAsia"/>
          <w:szCs w:val="21"/>
        </w:rPr>
        <w:t>（</w:t>
      </w:r>
      <w:r>
        <w:rPr>
          <w:szCs w:val="21"/>
        </w:rPr>
        <w:t>8</w:t>
      </w:r>
      <w:r w:rsidRPr="007727D9">
        <w:rPr>
          <w:rFonts w:hint="eastAsia"/>
          <w:szCs w:val="21"/>
        </w:rPr>
        <w:t>）当出口网络受到安全威胁时，</w:t>
      </w:r>
      <w:r>
        <w:rPr>
          <w:rFonts w:hint="eastAsia"/>
          <w:szCs w:val="21"/>
        </w:rPr>
        <w:t>投标人</w:t>
      </w:r>
      <w:r w:rsidRPr="007727D9">
        <w:rPr>
          <w:rFonts w:hint="eastAsia"/>
          <w:szCs w:val="21"/>
        </w:rPr>
        <w:t>提供</w:t>
      </w:r>
      <w:r w:rsidRPr="007727D9">
        <w:rPr>
          <w:rFonts w:hint="eastAsia"/>
          <w:szCs w:val="21"/>
        </w:rPr>
        <w:t>7</w:t>
      </w:r>
      <w:r w:rsidRPr="007727D9">
        <w:rPr>
          <w:rFonts w:hint="eastAsia"/>
          <w:szCs w:val="21"/>
        </w:rPr>
        <w:t>×</w:t>
      </w:r>
      <w:r w:rsidRPr="007727D9">
        <w:rPr>
          <w:rFonts w:hint="eastAsia"/>
          <w:szCs w:val="21"/>
        </w:rPr>
        <w:t>24</w:t>
      </w:r>
      <w:r w:rsidRPr="007727D9">
        <w:rPr>
          <w:rFonts w:hint="eastAsia"/>
          <w:szCs w:val="21"/>
        </w:rPr>
        <w:t>小时的网络安全技术支持；</w:t>
      </w:r>
      <w:r>
        <w:rPr>
          <w:rFonts w:hint="eastAsia"/>
          <w:szCs w:val="21"/>
        </w:rPr>
        <w:t>安全事件</w:t>
      </w:r>
      <w:r w:rsidRPr="007727D9">
        <w:rPr>
          <w:rFonts w:hint="eastAsia"/>
          <w:szCs w:val="21"/>
        </w:rPr>
        <w:t>申告响应时限：</w:t>
      </w:r>
      <w:r w:rsidRPr="007727D9">
        <w:rPr>
          <w:rFonts w:hint="eastAsia"/>
          <w:szCs w:val="21"/>
        </w:rPr>
        <w:t>15</w:t>
      </w:r>
      <w:r w:rsidRPr="007727D9">
        <w:rPr>
          <w:rFonts w:hint="eastAsia"/>
          <w:szCs w:val="21"/>
        </w:rPr>
        <w:t>分钟；故障排除反馈时限：</w:t>
      </w:r>
      <w:r w:rsidRPr="007727D9">
        <w:rPr>
          <w:rFonts w:hint="eastAsia"/>
          <w:szCs w:val="21"/>
        </w:rPr>
        <w:t>30</w:t>
      </w:r>
      <w:r w:rsidRPr="007727D9">
        <w:rPr>
          <w:rFonts w:hint="eastAsia"/>
          <w:szCs w:val="21"/>
        </w:rPr>
        <w:t>分钟，并应在</w:t>
      </w:r>
      <w:r w:rsidRPr="007727D9">
        <w:rPr>
          <w:rFonts w:hint="eastAsia"/>
          <w:szCs w:val="21"/>
        </w:rPr>
        <w:t>3</w:t>
      </w:r>
      <w:r w:rsidRPr="007727D9">
        <w:rPr>
          <w:rFonts w:hint="eastAsia"/>
          <w:szCs w:val="21"/>
        </w:rPr>
        <w:t>个工作日内出具</w:t>
      </w:r>
      <w:r>
        <w:rPr>
          <w:rFonts w:hint="eastAsia"/>
          <w:szCs w:val="21"/>
        </w:rPr>
        <w:t>符合国家有关部门要求的</w:t>
      </w:r>
      <w:r w:rsidRPr="007727D9">
        <w:rPr>
          <w:rFonts w:hint="eastAsia"/>
          <w:szCs w:val="21"/>
        </w:rPr>
        <w:t>网络安全处理报告，且提交网络安全服务报告。</w:t>
      </w:r>
    </w:p>
    <w:p w:rsidR="00A64D21" w:rsidRDefault="00A64D21" w:rsidP="00A64D21">
      <w:pPr>
        <w:tabs>
          <w:tab w:val="left" w:pos="900"/>
        </w:tabs>
        <w:spacing w:beforeLines="50" w:before="156" w:line="360" w:lineRule="auto"/>
        <w:ind w:firstLineChars="100" w:firstLine="210"/>
        <w:rPr>
          <w:szCs w:val="21"/>
        </w:rPr>
      </w:pPr>
      <w:r w:rsidRPr="007727D9">
        <w:rPr>
          <w:rFonts w:hint="eastAsia"/>
          <w:szCs w:val="21"/>
        </w:rPr>
        <w:t>（</w:t>
      </w:r>
      <w:r>
        <w:rPr>
          <w:szCs w:val="21"/>
        </w:rPr>
        <w:t>9</w:t>
      </w:r>
      <w:r w:rsidRPr="007727D9">
        <w:rPr>
          <w:rFonts w:hint="eastAsia"/>
          <w:szCs w:val="21"/>
        </w:rPr>
        <w:t>）对用户提出的临时性的重要国内外网络应用需求，应在技术和带宽方面给予服务保障。</w:t>
      </w:r>
    </w:p>
    <w:p w:rsidR="00A64D21" w:rsidRDefault="00A64D21" w:rsidP="00A64D21">
      <w:pPr>
        <w:tabs>
          <w:tab w:val="left" w:pos="420"/>
          <w:tab w:val="left" w:pos="900"/>
        </w:tabs>
        <w:spacing w:beforeLines="50" w:before="156" w:line="360" w:lineRule="auto"/>
        <w:rPr>
          <w:szCs w:val="21"/>
        </w:rPr>
      </w:pPr>
      <w:r>
        <w:rPr>
          <w:rFonts w:hint="eastAsia"/>
        </w:rPr>
        <w:t>（</w:t>
      </w:r>
      <w:r>
        <w:rPr>
          <w:rFonts w:hint="eastAsia"/>
        </w:rPr>
        <w:t>1</w:t>
      </w:r>
      <w:r>
        <w:t>0</w:t>
      </w:r>
      <w:r>
        <w:rPr>
          <w:rFonts w:hint="eastAsia"/>
        </w:rPr>
        <w:t>）</w:t>
      </w:r>
      <w:r w:rsidRPr="007727D9">
        <w:rPr>
          <w:rFonts w:hint="eastAsia"/>
          <w:szCs w:val="21"/>
        </w:rPr>
        <w:t>投标人的带宽资费若在服务合同周期内下调，须相应扩容提供的带宽。</w:t>
      </w:r>
    </w:p>
    <w:p w:rsidR="00785146" w:rsidRPr="00801053" w:rsidRDefault="00873F09" w:rsidP="00A64D21">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1013E1" w:rsidTr="005C4554">
        <w:trPr>
          <w:trHeight w:val="522"/>
        </w:trPr>
        <w:tc>
          <w:tcPr>
            <w:tcW w:w="8601" w:type="dxa"/>
            <w:gridSpan w:val="4"/>
            <w:vAlign w:val="center"/>
          </w:tcPr>
          <w:bookmarkEnd w:id="1"/>
          <w:bookmarkEnd w:id="2"/>
          <w:bookmarkEnd w:id="3"/>
          <w:p w:rsidR="001013E1" w:rsidRDefault="001013E1" w:rsidP="005C4554">
            <w:pPr>
              <w:widowControl/>
              <w:jc w:val="center"/>
              <w:textAlignment w:val="baseline"/>
              <w:rPr>
                <w:color w:val="000000"/>
                <w:kern w:val="0"/>
                <w:sz w:val="20"/>
                <w:szCs w:val="21"/>
              </w:rPr>
            </w:pPr>
            <w:r>
              <w:rPr>
                <w:color w:val="000000"/>
                <w:kern w:val="0"/>
                <w:sz w:val="20"/>
                <w:szCs w:val="21"/>
              </w:rPr>
              <w:t>现场的检验指标及方法</w:t>
            </w:r>
          </w:p>
        </w:tc>
      </w:tr>
      <w:tr w:rsidR="001013E1" w:rsidTr="005C4554">
        <w:trPr>
          <w:trHeight w:val="483"/>
        </w:trPr>
        <w:tc>
          <w:tcPr>
            <w:tcW w:w="726" w:type="dxa"/>
            <w:vAlign w:val="center"/>
          </w:tcPr>
          <w:p w:rsidR="001013E1" w:rsidRDefault="001013E1" w:rsidP="005C4554">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rsidR="001013E1" w:rsidRDefault="001013E1" w:rsidP="005C4554">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rsidR="001013E1" w:rsidRDefault="001013E1" w:rsidP="005C4554">
            <w:pPr>
              <w:widowControl/>
              <w:jc w:val="center"/>
              <w:textAlignment w:val="baseline"/>
              <w:rPr>
                <w:color w:val="000000"/>
                <w:kern w:val="0"/>
                <w:sz w:val="20"/>
                <w:szCs w:val="21"/>
              </w:rPr>
            </w:pPr>
            <w:r>
              <w:rPr>
                <w:color w:val="000000"/>
                <w:kern w:val="0"/>
                <w:sz w:val="20"/>
                <w:szCs w:val="21"/>
              </w:rPr>
              <w:t>验收或测试方法</w:t>
            </w:r>
          </w:p>
        </w:tc>
      </w:tr>
      <w:tr w:rsidR="001013E1" w:rsidTr="005C4554">
        <w:tc>
          <w:tcPr>
            <w:tcW w:w="8601" w:type="dxa"/>
            <w:gridSpan w:val="4"/>
          </w:tcPr>
          <w:p w:rsidR="001013E1" w:rsidRDefault="001013E1" w:rsidP="005C4554">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1013E1" w:rsidTr="005C4554">
        <w:tc>
          <w:tcPr>
            <w:tcW w:w="726" w:type="dxa"/>
          </w:tcPr>
          <w:p w:rsidR="001013E1" w:rsidRDefault="001013E1" w:rsidP="005C4554">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rsidR="001013E1" w:rsidRDefault="001013E1" w:rsidP="005C4554">
            <w:pPr>
              <w:widowControl/>
              <w:textAlignment w:val="baseline"/>
              <w:rPr>
                <w:color w:val="000000"/>
                <w:kern w:val="0"/>
                <w:sz w:val="18"/>
                <w:szCs w:val="18"/>
              </w:rPr>
            </w:pPr>
            <w:r>
              <w:rPr>
                <w:rFonts w:hint="eastAsia"/>
                <w:color w:val="000000"/>
                <w:kern w:val="0"/>
                <w:sz w:val="18"/>
                <w:szCs w:val="18"/>
              </w:rPr>
              <w:t>运营商网络带宽的接入校园网机房。</w:t>
            </w:r>
          </w:p>
        </w:tc>
        <w:tc>
          <w:tcPr>
            <w:tcW w:w="4368" w:type="dxa"/>
            <w:gridSpan w:val="2"/>
            <w:vAlign w:val="center"/>
          </w:tcPr>
          <w:p w:rsidR="001013E1" w:rsidRDefault="001013E1" w:rsidP="005C4554">
            <w:pPr>
              <w:widowControl/>
              <w:jc w:val="left"/>
              <w:textAlignment w:val="baseline"/>
              <w:rPr>
                <w:color w:val="000000"/>
                <w:kern w:val="0"/>
                <w:sz w:val="18"/>
                <w:szCs w:val="18"/>
              </w:rPr>
            </w:pPr>
            <w:r>
              <w:rPr>
                <w:color w:val="000000"/>
                <w:kern w:val="0"/>
                <w:sz w:val="18"/>
                <w:szCs w:val="18"/>
              </w:rPr>
              <w:t>现场核查</w:t>
            </w:r>
            <w:r>
              <w:rPr>
                <w:rFonts w:hint="eastAsia"/>
                <w:color w:val="000000"/>
                <w:kern w:val="0"/>
                <w:sz w:val="18"/>
                <w:szCs w:val="18"/>
              </w:rPr>
              <w:t>。</w:t>
            </w:r>
          </w:p>
        </w:tc>
      </w:tr>
      <w:tr w:rsidR="001013E1" w:rsidTr="005C4554">
        <w:tc>
          <w:tcPr>
            <w:tcW w:w="726" w:type="dxa"/>
          </w:tcPr>
          <w:p w:rsidR="001013E1" w:rsidRDefault="001013E1" w:rsidP="005C4554">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rsidR="001013E1" w:rsidRDefault="001013E1" w:rsidP="005C4554">
            <w:pPr>
              <w:widowControl/>
              <w:textAlignment w:val="baseline"/>
              <w:rPr>
                <w:color w:val="000000"/>
                <w:kern w:val="0"/>
                <w:sz w:val="18"/>
                <w:szCs w:val="18"/>
              </w:rPr>
            </w:pPr>
            <w:r>
              <w:rPr>
                <w:rFonts w:hint="eastAsia"/>
                <w:color w:val="000000"/>
                <w:kern w:val="0"/>
                <w:sz w:val="18"/>
                <w:szCs w:val="18"/>
              </w:rPr>
              <w:t>服务内容与采购结果、合同约定相符。</w:t>
            </w:r>
          </w:p>
        </w:tc>
        <w:tc>
          <w:tcPr>
            <w:tcW w:w="4368" w:type="dxa"/>
            <w:gridSpan w:val="2"/>
            <w:vAlign w:val="center"/>
          </w:tcPr>
          <w:p w:rsidR="001013E1" w:rsidRDefault="001013E1" w:rsidP="005C4554">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1013E1" w:rsidTr="005C4554">
        <w:tc>
          <w:tcPr>
            <w:tcW w:w="726" w:type="dxa"/>
          </w:tcPr>
          <w:p w:rsidR="001013E1" w:rsidRDefault="001013E1" w:rsidP="005C4554">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rsidR="001013E1" w:rsidRDefault="001013E1" w:rsidP="005C4554">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rsidR="001013E1" w:rsidRDefault="001013E1" w:rsidP="005C4554">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1013E1" w:rsidTr="005C4554">
        <w:tc>
          <w:tcPr>
            <w:tcW w:w="726" w:type="dxa"/>
          </w:tcPr>
          <w:p w:rsidR="001013E1" w:rsidRDefault="001013E1" w:rsidP="005C4554">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rsidR="001013E1" w:rsidRDefault="001013E1" w:rsidP="005C4554">
            <w:pPr>
              <w:widowControl/>
              <w:textAlignment w:val="baseline"/>
              <w:rPr>
                <w:color w:val="000000" w:themeColor="text1"/>
                <w:kern w:val="0"/>
                <w:sz w:val="18"/>
                <w:szCs w:val="18"/>
              </w:rPr>
            </w:pPr>
            <w:r>
              <w:rPr>
                <w:rFonts w:hint="eastAsia"/>
                <w:color w:val="000000" w:themeColor="text1"/>
                <w:kern w:val="0"/>
                <w:sz w:val="18"/>
                <w:szCs w:val="18"/>
              </w:rPr>
              <w:t>服务期内运营商网络</w:t>
            </w:r>
            <w:r>
              <w:rPr>
                <w:rFonts w:hint="eastAsia"/>
                <w:color w:val="000000"/>
                <w:kern w:val="0"/>
                <w:sz w:val="18"/>
                <w:szCs w:val="18"/>
              </w:rPr>
              <w:t>带宽的使用情况</w:t>
            </w:r>
          </w:p>
        </w:tc>
        <w:tc>
          <w:tcPr>
            <w:tcW w:w="4368" w:type="dxa"/>
            <w:gridSpan w:val="2"/>
            <w:vAlign w:val="center"/>
          </w:tcPr>
          <w:p w:rsidR="001013E1" w:rsidRDefault="001013E1" w:rsidP="005C4554">
            <w:pPr>
              <w:widowControl/>
              <w:textAlignment w:val="baseline"/>
              <w:rPr>
                <w:color w:val="000000"/>
                <w:kern w:val="0"/>
                <w:sz w:val="18"/>
                <w:szCs w:val="18"/>
              </w:rPr>
            </w:pPr>
            <w:r>
              <w:rPr>
                <w:rFonts w:hint="eastAsia"/>
                <w:color w:val="000000"/>
                <w:kern w:val="0"/>
                <w:sz w:val="18"/>
                <w:szCs w:val="18"/>
              </w:rPr>
              <w:t>是否达到合同约定要求</w:t>
            </w:r>
          </w:p>
        </w:tc>
      </w:tr>
      <w:tr w:rsidR="001013E1" w:rsidTr="005C4554">
        <w:tc>
          <w:tcPr>
            <w:tcW w:w="726" w:type="dxa"/>
          </w:tcPr>
          <w:p w:rsidR="001013E1" w:rsidRDefault="001013E1" w:rsidP="005C4554">
            <w:pPr>
              <w:widowControl/>
              <w:spacing w:line="450" w:lineRule="atLeast"/>
              <w:jc w:val="center"/>
              <w:textAlignment w:val="baseline"/>
              <w:rPr>
                <w:color w:val="000000"/>
                <w:kern w:val="0"/>
                <w:sz w:val="20"/>
                <w:szCs w:val="21"/>
              </w:rPr>
            </w:pPr>
            <w:r>
              <w:rPr>
                <w:color w:val="000000"/>
                <w:kern w:val="0"/>
                <w:sz w:val="20"/>
                <w:szCs w:val="21"/>
              </w:rPr>
              <w:t>5</w:t>
            </w:r>
          </w:p>
        </w:tc>
        <w:tc>
          <w:tcPr>
            <w:tcW w:w="7875" w:type="dxa"/>
            <w:gridSpan w:val="3"/>
            <w:vAlign w:val="center"/>
          </w:tcPr>
          <w:p w:rsidR="001013E1" w:rsidRDefault="001013E1" w:rsidP="005C4554">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1013E1" w:rsidTr="005C4554">
        <w:tc>
          <w:tcPr>
            <w:tcW w:w="8601" w:type="dxa"/>
            <w:gridSpan w:val="4"/>
          </w:tcPr>
          <w:p w:rsidR="001013E1" w:rsidRDefault="001013E1" w:rsidP="005C4554">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1013E1" w:rsidTr="005C4554">
        <w:tc>
          <w:tcPr>
            <w:tcW w:w="726" w:type="dxa"/>
          </w:tcPr>
          <w:p w:rsidR="001013E1" w:rsidRDefault="001013E1" w:rsidP="005C4554">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rsidR="001013E1" w:rsidRDefault="001013E1" w:rsidP="005C4554">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1013E1" w:rsidTr="005C4554">
        <w:tc>
          <w:tcPr>
            <w:tcW w:w="726" w:type="dxa"/>
          </w:tcPr>
          <w:p w:rsidR="001013E1" w:rsidRDefault="001013E1" w:rsidP="005C4554">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rsidR="001013E1" w:rsidRDefault="001013E1" w:rsidP="005C4554">
            <w:pPr>
              <w:widowControl/>
              <w:textAlignment w:val="baseline"/>
              <w:rPr>
                <w:color w:val="000000"/>
                <w:kern w:val="0"/>
                <w:sz w:val="18"/>
                <w:szCs w:val="18"/>
              </w:rPr>
            </w:pPr>
            <w:r>
              <w:rPr>
                <w:rFonts w:hint="eastAsia"/>
                <w:color w:val="000000"/>
                <w:kern w:val="0"/>
                <w:sz w:val="18"/>
                <w:szCs w:val="18"/>
              </w:rPr>
              <w:t>提供《供应商货物类项目完工报告》</w:t>
            </w:r>
          </w:p>
        </w:tc>
      </w:tr>
      <w:tr w:rsidR="001013E1" w:rsidTr="005C4554">
        <w:tc>
          <w:tcPr>
            <w:tcW w:w="726" w:type="dxa"/>
          </w:tcPr>
          <w:p w:rsidR="001013E1" w:rsidRDefault="001013E1" w:rsidP="005C4554">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rsidR="001013E1" w:rsidRDefault="001013E1" w:rsidP="005C4554">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1013E1" w:rsidTr="005C4554">
        <w:tc>
          <w:tcPr>
            <w:tcW w:w="726" w:type="dxa"/>
          </w:tcPr>
          <w:p w:rsidR="001013E1" w:rsidRDefault="001013E1" w:rsidP="005C4554">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rsidR="001013E1" w:rsidRDefault="001013E1" w:rsidP="005C4554">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1013E1" w:rsidTr="005C4554">
        <w:trPr>
          <w:trHeight w:val="510"/>
        </w:trPr>
        <w:tc>
          <w:tcPr>
            <w:tcW w:w="4233" w:type="dxa"/>
            <w:gridSpan w:val="2"/>
            <w:vAlign w:val="center"/>
          </w:tcPr>
          <w:p w:rsidR="001013E1" w:rsidRDefault="001013E1" w:rsidP="005C4554">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rsidR="001013E1" w:rsidRDefault="001013E1" w:rsidP="005C4554">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1013E1" w:rsidRDefault="001013E1" w:rsidP="005C4554">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sym w:font="Wingdings 2" w:char="F052"/>
            </w:r>
          </w:p>
        </w:tc>
      </w:tr>
      <w:tr w:rsidR="001013E1" w:rsidTr="005C4554">
        <w:trPr>
          <w:trHeight w:val="510"/>
        </w:trPr>
        <w:tc>
          <w:tcPr>
            <w:tcW w:w="4233" w:type="dxa"/>
            <w:gridSpan w:val="2"/>
            <w:vAlign w:val="center"/>
          </w:tcPr>
          <w:p w:rsidR="001013E1" w:rsidRDefault="001013E1" w:rsidP="005C4554">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rsidR="001013E1" w:rsidRDefault="001013E1" w:rsidP="005C4554">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1013E1" w:rsidRDefault="001013E1" w:rsidP="005C4554">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sym w:font="Wingdings 2" w:char="F052"/>
            </w:r>
          </w:p>
        </w:tc>
      </w:tr>
      <w:tr w:rsidR="001013E1" w:rsidTr="005C4554">
        <w:trPr>
          <w:trHeight w:val="510"/>
        </w:trPr>
        <w:tc>
          <w:tcPr>
            <w:tcW w:w="8601" w:type="dxa"/>
            <w:gridSpan w:val="4"/>
            <w:vAlign w:val="center"/>
          </w:tcPr>
          <w:p w:rsidR="001013E1" w:rsidRDefault="001013E1" w:rsidP="005C4554">
            <w:pPr>
              <w:widowControl/>
              <w:textAlignment w:val="baseline"/>
              <w:rPr>
                <w:color w:val="000000"/>
                <w:kern w:val="0"/>
                <w:sz w:val="20"/>
                <w:szCs w:val="21"/>
              </w:rPr>
            </w:pPr>
            <w:r>
              <w:rPr>
                <w:color w:val="000000"/>
                <w:kern w:val="0"/>
                <w:sz w:val="20"/>
                <w:szCs w:val="21"/>
              </w:rPr>
              <w:t>除现场验收外，需提供的其他验收要求</w:t>
            </w:r>
          </w:p>
        </w:tc>
      </w:tr>
      <w:tr w:rsidR="001013E1" w:rsidTr="005C4554">
        <w:trPr>
          <w:trHeight w:val="360"/>
        </w:trPr>
        <w:tc>
          <w:tcPr>
            <w:tcW w:w="4233" w:type="dxa"/>
            <w:gridSpan w:val="2"/>
            <w:vAlign w:val="center"/>
          </w:tcPr>
          <w:p w:rsidR="001013E1" w:rsidRDefault="001013E1" w:rsidP="005C4554">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rsidR="001013E1" w:rsidRDefault="001013E1" w:rsidP="005C4554">
            <w:pPr>
              <w:widowControl/>
              <w:spacing w:line="450" w:lineRule="atLeast"/>
              <w:textAlignment w:val="baseline"/>
              <w:rPr>
                <w:color w:val="000000"/>
                <w:kern w:val="0"/>
                <w:sz w:val="20"/>
                <w:szCs w:val="21"/>
              </w:rPr>
            </w:pPr>
          </w:p>
        </w:tc>
        <w:tc>
          <w:tcPr>
            <w:tcW w:w="4368" w:type="dxa"/>
            <w:gridSpan w:val="2"/>
            <w:vAlign w:val="center"/>
          </w:tcPr>
          <w:p w:rsidR="001013E1" w:rsidRDefault="001013E1" w:rsidP="005C4554">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rsidR="001013E1" w:rsidRDefault="001013E1" w:rsidP="005C4554">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rsidR="00785146" w:rsidRPr="001013E1" w:rsidRDefault="00785146"/>
    <w:sectPr w:rsidR="00785146" w:rsidRPr="001013E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201" w:rsidRDefault="00755201">
      <w:r>
        <w:separator/>
      </w:r>
    </w:p>
  </w:endnote>
  <w:endnote w:type="continuationSeparator" w:id="0">
    <w:p w:rsidR="00755201" w:rsidRDefault="0075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146" w:rsidRDefault="00873F09">
    <w:pPr>
      <w:pStyle w:val="a7"/>
      <w:jc w:val="center"/>
    </w:pPr>
    <w:r>
      <w:fldChar w:fldCharType="begin"/>
    </w:r>
    <w:r>
      <w:instrText>PAGE   \* MERGEFORMAT</w:instrText>
    </w:r>
    <w:r>
      <w:fldChar w:fldCharType="separate"/>
    </w:r>
    <w:r w:rsidR="00755201" w:rsidRPr="00755201">
      <w:rPr>
        <w:noProof/>
        <w:lang w:val="zh-CN"/>
      </w:rPr>
      <w:t>1</w:t>
    </w:r>
    <w:r>
      <w:fldChar w:fldCharType="end"/>
    </w:r>
  </w:p>
  <w:p w:rsidR="00785146" w:rsidRDefault="0078514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201" w:rsidRDefault="00755201">
      <w:r>
        <w:separator/>
      </w:r>
    </w:p>
  </w:footnote>
  <w:footnote w:type="continuationSeparator" w:id="0">
    <w:p w:rsidR="00755201" w:rsidRDefault="007552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BB199F"/>
    <w:multiLevelType w:val="singleLevel"/>
    <w:tmpl w:val="BCBB199F"/>
    <w:lvl w:ilvl="0">
      <w:start w:val="1"/>
      <w:numFmt w:val="decimal"/>
      <w:lvlText w:val="%1."/>
      <w:lvlJc w:val="left"/>
      <w:pPr>
        <w:ind w:left="420" w:hanging="42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07725"/>
    <w:rsid w:val="000170BA"/>
    <w:rsid w:val="00017C9A"/>
    <w:rsid w:val="00090056"/>
    <w:rsid w:val="000A209A"/>
    <w:rsid w:val="000C588B"/>
    <w:rsid w:val="001013E1"/>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76C27"/>
    <w:rsid w:val="002815C8"/>
    <w:rsid w:val="002A07BE"/>
    <w:rsid w:val="002A4902"/>
    <w:rsid w:val="002A6571"/>
    <w:rsid w:val="002B3A1B"/>
    <w:rsid w:val="002D68DE"/>
    <w:rsid w:val="003027D7"/>
    <w:rsid w:val="00310E17"/>
    <w:rsid w:val="003113D4"/>
    <w:rsid w:val="003458D7"/>
    <w:rsid w:val="00345D8D"/>
    <w:rsid w:val="00353EC3"/>
    <w:rsid w:val="0036352F"/>
    <w:rsid w:val="003649AF"/>
    <w:rsid w:val="003B1B61"/>
    <w:rsid w:val="003D06DB"/>
    <w:rsid w:val="003E4113"/>
    <w:rsid w:val="003E4FDA"/>
    <w:rsid w:val="00426CB3"/>
    <w:rsid w:val="00453832"/>
    <w:rsid w:val="004951D7"/>
    <w:rsid w:val="004A43F0"/>
    <w:rsid w:val="004B3DFE"/>
    <w:rsid w:val="004E36C2"/>
    <w:rsid w:val="004E4B14"/>
    <w:rsid w:val="004F6713"/>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878E9"/>
    <w:rsid w:val="006C2918"/>
    <w:rsid w:val="006C782C"/>
    <w:rsid w:val="006D095D"/>
    <w:rsid w:val="00703AC6"/>
    <w:rsid w:val="00710AA5"/>
    <w:rsid w:val="00715B3F"/>
    <w:rsid w:val="00755201"/>
    <w:rsid w:val="007554BB"/>
    <w:rsid w:val="0076501A"/>
    <w:rsid w:val="007839AE"/>
    <w:rsid w:val="0078412A"/>
    <w:rsid w:val="00785146"/>
    <w:rsid w:val="007A5DE1"/>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61746"/>
    <w:rsid w:val="00A64D21"/>
    <w:rsid w:val="00A765E9"/>
    <w:rsid w:val="00A865ED"/>
    <w:rsid w:val="00AB48E9"/>
    <w:rsid w:val="00AC005D"/>
    <w:rsid w:val="00AC6F95"/>
    <w:rsid w:val="00AE1AFA"/>
    <w:rsid w:val="00AE67A6"/>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D153F"/>
    <w:rsid w:val="00CD2230"/>
    <w:rsid w:val="00CD50E0"/>
    <w:rsid w:val="00D04B4C"/>
    <w:rsid w:val="00D324D9"/>
    <w:rsid w:val="00D41788"/>
    <w:rsid w:val="00D45ED1"/>
    <w:rsid w:val="00D56E82"/>
    <w:rsid w:val="00D94396"/>
    <w:rsid w:val="00D97FEA"/>
    <w:rsid w:val="00DB6ED1"/>
    <w:rsid w:val="00DC1928"/>
    <w:rsid w:val="00DF1EA0"/>
    <w:rsid w:val="00DF5062"/>
    <w:rsid w:val="00E02FC1"/>
    <w:rsid w:val="00E0581E"/>
    <w:rsid w:val="00E1130A"/>
    <w:rsid w:val="00E22081"/>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9789E"/>
    <w:rsid w:val="00FB00E1"/>
    <w:rsid w:val="00FC1111"/>
    <w:rsid w:val="00FC2342"/>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numbering" w:customStyle="1" w:styleId="1">
    <w:name w:val="无列表1"/>
    <w:next w:val="a2"/>
    <w:uiPriority w:val="99"/>
    <w:semiHidden/>
    <w:unhideWhenUsed/>
    <w:rsid w:val="00FC2342"/>
  </w:style>
  <w:style w:type="paragraph" w:styleId="af">
    <w:name w:val="annotation text"/>
    <w:basedOn w:val="a"/>
    <w:link w:val="af0"/>
    <w:qFormat/>
    <w:rsid w:val="00FC2342"/>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f0">
    <w:name w:val="批注文字 字符"/>
    <w:basedOn w:val="a0"/>
    <w:link w:val="af"/>
    <w:rsid w:val="00FC2342"/>
    <w:rPr>
      <w:rFonts w:ascii="Arial" w:eastAsia="Arial" w:hAnsi="Arial" w:cs="Arial"/>
      <w:snapToGrid w:val="0"/>
      <w:color w:val="000000"/>
      <w:sz w:val="21"/>
      <w:szCs w:val="21"/>
      <w:lang w:eastAsia="en-US"/>
    </w:rPr>
  </w:style>
  <w:style w:type="paragraph" w:styleId="af1">
    <w:name w:val="Body Text"/>
    <w:basedOn w:val="a"/>
    <w:next w:val="a"/>
    <w:link w:val="af2"/>
    <w:semiHidden/>
    <w:qFormat/>
    <w:rsid w:val="00FC2342"/>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f2">
    <w:name w:val="正文文本 字符"/>
    <w:basedOn w:val="a0"/>
    <w:link w:val="af1"/>
    <w:semiHidden/>
    <w:rsid w:val="00FC2342"/>
    <w:rPr>
      <w:rFonts w:ascii="Arial" w:eastAsia="Arial" w:hAnsi="Arial" w:cs="Arial"/>
      <w:snapToGrid w:val="0"/>
      <w:color w:val="000000"/>
      <w:sz w:val="21"/>
      <w:szCs w:val="21"/>
      <w:lang w:eastAsia="en-US"/>
    </w:rPr>
  </w:style>
  <w:style w:type="table" w:customStyle="1" w:styleId="10">
    <w:name w:val="网格型1"/>
    <w:basedOn w:val="a1"/>
    <w:next w:val="ad"/>
    <w:uiPriority w:val="59"/>
    <w:qFormat/>
    <w:rsid w:val="00FC2342"/>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rsid w:val="00FC2342"/>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rsid w:val="00FC2342"/>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anng</cp:lastModifiedBy>
  <cp:revision>5</cp:revision>
  <dcterms:created xsi:type="dcterms:W3CDTF">2025-04-08T03:19:00Z</dcterms:created>
  <dcterms:modified xsi:type="dcterms:W3CDTF">2025-05-12T07:19:00Z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