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2351D">
      <w:pPr>
        <w:pStyle w:val="6"/>
        <w:rPr>
          <w:rFonts w:ascii="宋体" w:hAnsi="宋体"/>
          <w:sz w:val="36"/>
        </w:rPr>
      </w:pPr>
      <w:bookmarkStart w:id="0" w:name="_Toc38367762"/>
      <w:r>
        <w:rPr>
          <w:rFonts w:hint="eastAsia" w:ascii="宋体" w:hAnsi="宋体"/>
          <w:sz w:val="36"/>
        </w:rPr>
        <w:t>【蛋白质谱自动样品前处理仪】</w:t>
      </w:r>
      <w:r>
        <w:rPr>
          <w:rFonts w:ascii="宋体" w:hAnsi="宋体"/>
          <w:sz w:val="36"/>
        </w:rPr>
        <w:t>采购需求</w:t>
      </w:r>
      <w:bookmarkEnd w:id="0"/>
    </w:p>
    <w:p w14:paraId="350C9697">
      <w:pPr>
        <w:tabs>
          <w:tab w:val="left" w:pos="900"/>
        </w:tabs>
        <w:spacing w:before="156" w:beforeLines="50" w:line="360" w:lineRule="auto"/>
        <w:rPr>
          <w:b/>
          <w:szCs w:val="21"/>
        </w:rPr>
      </w:pPr>
      <w:bookmarkStart w:id="1" w:name="_Toc219271393"/>
      <w:bookmarkStart w:id="2" w:name="_Toc172360661"/>
      <w:bookmarkStart w:id="3"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3EF9FEC4">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17AF6BDD">
      <w:pPr>
        <w:autoSpaceDE w:val="0"/>
        <w:autoSpaceDN w:val="0"/>
        <w:adjustRightInd w:val="0"/>
        <w:spacing w:before="50" w:line="360" w:lineRule="auto"/>
        <w:ind w:firstLine="420" w:firstLineChars="200"/>
        <w:rPr>
          <w:rFonts w:ascii="宋体" w:hAnsi="宋体"/>
          <w:color w:val="FF0000"/>
          <w:szCs w:val="21"/>
        </w:rPr>
      </w:pPr>
      <w:r>
        <w:rPr>
          <w:rFonts w:hint="eastAsia" w:ascii="宋体" w:hAnsi="宋体"/>
          <w:color w:val="000000" w:themeColor="text1"/>
          <w:szCs w:val="21"/>
          <w14:textFill>
            <w14:solidFill>
              <w14:schemeClr w14:val="tx1"/>
            </w14:solidFill>
          </w14:textFill>
        </w:rPr>
        <w:t>本项目采购蛋白质谱自动样品前处理仪，1套，主要用于质谱检测蛋白样品时样品前处理工作。该设备可实现自动化制备蛋白样品，包括还原、烷基化，酶切和除盐等功能。除可进行常规蛋白样品制备，还可对血液样本低丰度蛋白、磷酸化、糖基化蛋白进行自动化富集。</w:t>
      </w:r>
      <w:r>
        <w:rPr>
          <w:rFonts w:hint="eastAsia" w:ascii="宋体" w:hAnsi="宋体"/>
          <w:color w:val="FF0000"/>
          <w:szCs w:val="21"/>
        </w:rPr>
        <w:t xml:space="preserve"> </w:t>
      </w:r>
    </w:p>
    <w:p w14:paraId="3FC9BBC7">
      <w:pPr>
        <w:tabs>
          <w:tab w:val="left" w:pos="900"/>
        </w:tabs>
        <w:spacing w:before="156" w:beforeLines="50" w:line="360" w:lineRule="auto"/>
        <w:rPr>
          <w:b/>
          <w:szCs w:val="21"/>
        </w:rPr>
      </w:pPr>
      <w:r>
        <w:rPr>
          <w:rFonts w:hAnsi="宋体"/>
          <w:b/>
          <w:szCs w:val="21"/>
        </w:rPr>
        <w:t>（二）为落实政府采购政策需满足的要求</w:t>
      </w:r>
    </w:p>
    <w:p w14:paraId="39358780">
      <w:pPr>
        <w:tabs>
          <w:tab w:val="left" w:pos="900"/>
        </w:tabs>
        <w:spacing w:line="360" w:lineRule="auto"/>
        <w:ind w:left="420"/>
        <w:rPr>
          <w:rFonts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559C1AE8">
      <w:pPr>
        <w:tabs>
          <w:tab w:val="left" w:pos="900"/>
        </w:tabs>
        <w:spacing w:line="360" w:lineRule="auto"/>
        <w:ind w:left="420"/>
        <w:rPr>
          <w:rFonts w:hAnsi="宋体"/>
          <w:color w:val="FF0000"/>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rPr>
        <w:t>工业</w:t>
      </w:r>
      <w:r>
        <w:rPr>
          <w:rFonts w:hAnsi="宋体"/>
          <w:szCs w:val="24"/>
          <w:u w:val="single"/>
        </w:rPr>
        <w:t xml:space="preserve">    </w:t>
      </w:r>
      <w:r>
        <w:rPr>
          <w:rFonts w:hint="eastAsia" w:hAnsi="宋体"/>
          <w:szCs w:val="24"/>
        </w:rPr>
        <w:t>。</w:t>
      </w:r>
    </w:p>
    <w:p w14:paraId="60C11537">
      <w:pPr>
        <w:tabs>
          <w:tab w:val="left" w:pos="900"/>
        </w:tabs>
        <w:spacing w:line="360" w:lineRule="auto"/>
        <w:ind w:left="420"/>
        <w:rPr>
          <w:rFonts w:cs="宋体" w:asciiTheme="minorEastAsia" w:hAnsiTheme="minorEastAsia"/>
          <w:b/>
          <w:color w:val="000000"/>
          <w:kern w:val="0"/>
          <w:sz w:val="20"/>
          <w:szCs w:val="21"/>
        </w:rPr>
      </w:pPr>
      <w:r>
        <w:rPr>
          <w:rFonts w:hint="eastAsia" w:hAnsi="宋体"/>
          <w:color w:val="000000" w:themeColor="text1"/>
          <w:szCs w:val="24"/>
          <w14:textFill>
            <w14:solidFill>
              <w14:schemeClr w14:val="tx1"/>
            </w14:solidFill>
          </w14:textFill>
        </w:rPr>
        <w:t>2</w:t>
      </w:r>
      <w:r>
        <w:rPr>
          <w:rFonts w:hAnsi="宋体"/>
          <w:color w:val="000000" w:themeColor="text1"/>
          <w:szCs w:val="24"/>
          <w14:textFill>
            <w14:solidFill>
              <w14:schemeClr w14:val="tx1"/>
            </w14:solidFill>
          </w14:textFill>
        </w:rPr>
        <w:t>.</w:t>
      </w:r>
      <w:r>
        <w:rPr>
          <w:rFonts w:hint="eastAsia" w:cs="宋体" w:asciiTheme="minorEastAsia" w:hAnsiTheme="minorEastAsia"/>
          <w:color w:val="000000" w:themeColor="text1"/>
          <w:kern w:val="0"/>
          <w:sz w:val="20"/>
          <w:szCs w:val="21"/>
          <w14:textFill>
            <w14:solidFill>
              <w14:schemeClr w14:val="tx1"/>
            </w14:solidFill>
          </w14:textFill>
        </w:rPr>
        <w:t xml:space="preserve"> </w:t>
      </w:r>
      <w:r>
        <w:rPr>
          <w:rFonts w:hint="eastAsia" w:cs="宋体" w:asciiTheme="minorEastAsia" w:hAnsiTheme="minorEastAsia"/>
          <w:b/>
          <w:color w:val="000000"/>
          <w:kern w:val="0"/>
          <w:sz w:val="20"/>
          <w:szCs w:val="21"/>
        </w:rPr>
        <w:t>□ 本采购项目允许进口产品参加。</w:t>
      </w:r>
    </w:p>
    <w:p w14:paraId="6A57BE23">
      <w:pPr>
        <w:tabs>
          <w:tab w:val="left" w:pos="900"/>
        </w:tabs>
        <w:spacing w:line="360" w:lineRule="auto"/>
        <w:ind w:left="420" w:firstLine="201" w:firstLineChars="100"/>
        <w:rPr>
          <w:rFonts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432638C7">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2C5D11FF">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988261A">
      <w:pPr>
        <w:tabs>
          <w:tab w:val="left" w:pos="900"/>
        </w:tabs>
        <w:spacing w:before="156" w:beforeLines="50" w:line="360" w:lineRule="auto"/>
        <w:rPr>
          <w:rFonts w:hAnsi="宋体"/>
          <w:b/>
          <w:szCs w:val="21"/>
        </w:rPr>
      </w:pPr>
      <w:r>
        <w:rPr>
          <w:rFonts w:hint="eastAsia" w:hAnsi="宋体"/>
          <w:b/>
          <w:szCs w:val="21"/>
        </w:rPr>
        <w:t>三、采购标的概况</w:t>
      </w:r>
    </w:p>
    <w:p w14:paraId="472A6B57">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蛋白质谱自动样品前处理仪</w:t>
      </w:r>
      <w:r>
        <w:rPr>
          <w:rFonts w:ascii="宋体" w:hAnsi="宋体"/>
          <w:szCs w:val="21"/>
          <w:u w:val="single"/>
        </w:rPr>
        <w:t xml:space="preserve"> </w:t>
      </w:r>
      <w:r>
        <w:rPr>
          <w:rFonts w:hAnsi="宋体"/>
          <w:szCs w:val="21"/>
        </w:rPr>
        <w:t xml:space="preserve">   </w:t>
      </w:r>
    </w:p>
    <w:p w14:paraId="4164D5C7">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1</w:t>
      </w:r>
      <w:r>
        <w:rPr>
          <w:rFonts w:hint="eastAsia" w:hAnsi="宋体"/>
          <w:szCs w:val="21"/>
          <w:u w:val="single"/>
        </w:rPr>
        <w:t>套</w:t>
      </w:r>
      <w:r>
        <w:rPr>
          <w:rFonts w:hAnsi="宋体"/>
          <w:szCs w:val="21"/>
          <w:u w:val="single"/>
        </w:rPr>
        <w:t xml:space="preserve">      </w:t>
      </w:r>
    </w:p>
    <w:p w14:paraId="5469FFB8">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800000    </w:t>
      </w:r>
      <w:r>
        <w:rPr>
          <w:rFonts w:hAnsi="宋体"/>
          <w:szCs w:val="21"/>
        </w:rPr>
        <w:t xml:space="preserve"> </w:t>
      </w:r>
      <w:r>
        <w:rPr>
          <w:rFonts w:hint="eastAsia" w:hAnsi="宋体"/>
          <w:szCs w:val="21"/>
        </w:rPr>
        <w:t>元。</w:t>
      </w:r>
    </w:p>
    <w:p w14:paraId="01841A2D">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60  </w:t>
      </w:r>
      <w:r>
        <w:rPr>
          <w:rFonts w:hint="eastAsia" w:hAnsi="宋体"/>
        </w:rPr>
        <w:t>天内。</w:t>
      </w:r>
    </w:p>
    <w:p w14:paraId="43ECEC24">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Ansi="宋体"/>
          <w:szCs w:val="21"/>
          <w:u w:val="single"/>
        </w:rPr>
        <w:t xml:space="preserve"> </w:t>
      </w:r>
      <w:r>
        <w:rPr>
          <w:rFonts w:hint="eastAsia" w:hAnsi="宋体"/>
          <w:szCs w:val="21"/>
          <w:u w:val="single"/>
        </w:rPr>
        <w:t>陕西省西安市西安交通大学创新港校区</w:t>
      </w:r>
      <w:r>
        <w:rPr>
          <w:rFonts w:hint="eastAsia" w:hAnsi="宋体"/>
          <w:szCs w:val="21"/>
          <w:u w:val="single"/>
          <w:lang w:val="en-US" w:eastAsia="zh-CN"/>
        </w:rPr>
        <w:t>指定区域</w:t>
      </w:r>
      <w:r>
        <w:rPr>
          <w:rFonts w:hAnsi="宋体"/>
          <w:szCs w:val="21"/>
          <w:u w:val="single"/>
        </w:rPr>
        <w:t xml:space="preserve">   </w:t>
      </w:r>
      <w:r>
        <w:rPr>
          <w:rFonts w:hint="eastAsia" w:hAnsi="宋体"/>
          <w:szCs w:val="21"/>
        </w:rPr>
        <w:t>。</w:t>
      </w:r>
    </w:p>
    <w:p w14:paraId="732BF8F8">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验收合格后1</w:t>
      </w:r>
      <w:r>
        <w:rPr>
          <w:rFonts w:hAnsi="宋体"/>
          <w:szCs w:val="21"/>
          <w:u w:val="single"/>
        </w:rPr>
        <w:t>00%</w:t>
      </w:r>
      <w:r>
        <w:rPr>
          <w:rFonts w:hint="eastAsia" w:hAnsi="宋体"/>
          <w:szCs w:val="21"/>
          <w:u w:val="single"/>
        </w:rPr>
        <w:t xml:space="preserve">付全款 </w:t>
      </w:r>
      <w:r>
        <w:rPr>
          <w:rFonts w:hAnsi="宋体"/>
          <w:szCs w:val="21"/>
          <w:u w:val="single"/>
        </w:rPr>
        <w:t xml:space="preserve">                   </w:t>
      </w:r>
      <w:r>
        <w:rPr>
          <w:rFonts w:hint="eastAsia" w:hAnsi="宋体"/>
          <w:szCs w:val="21"/>
        </w:rPr>
        <w:t>。</w:t>
      </w:r>
    </w:p>
    <w:p w14:paraId="78FB29DE">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56821984">
      <w:pPr>
        <w:spacing w:before="312" w:beforeLines="100" w:after="312" w:afterLines="100" w:line="360" w:lineRule="auto"/>
        <w:rPr>
          <w:rFonts w:eastAsia="仿宋_GB2312"/>
          <w:bCs/>
          <w:sz w:val="24"/>
        </w:rPr>
      </w:pPr>
      <w:r>
        <w:rPr>
          <w:rFonts w:hint="eastAsia" w:ascii="宋体" w:hAnsi="宋体"/>
          <w:szCs w:val="21"/>
        </w:rPr>
        <w:t>采购标的应能实现下列功能:</w:t>
      </w:r>
      <w:bookmarkStart w:id="11" w:name="_GoBack"/>
      <w:bookmarkEnd w:id="11"/>
    </w:p>
    <w:p w14:paraId="5819BE22">
      <w:pPr>
        <w:spacing w:before="312" w:beforeLines="100" w:after="312" w:afterLines="100" w:line="360" w:lineRule="auto"/>
        <w:ind w:firstLine="420" w:firstLineChars="200"/>
        <w:rPr>
          <w:rFonts w:asciiTheme="minorEastAsia" w:hAnsiTheme="minorEastAsia" w:eastAsiaTheme="minorEastAsia"/>
          <w:bCs/>
          <w:szCs w:val="21"/>
          <w:lang w:val="en-GB"/>
        </w:rPr>
      </w:pPr>
      <w:r>
        <w:rPr>
          <w:rFonts w:hint="eastAsia" w:asciiTheme="minorEastAsia" w:hAnsiTheme="minorEastAsia" w:eastAsiaTheme="minorEastAsia"/>
          <w:color w:val="000000"/>
          <w:kern w:val="0"/>
          <w:szCs w:val="21"/>
        </w:rPr>
        <w:t>蛋白质组</w:t>
      </w:r>
      <w:bookmarkStart w:id="4" w:name="OLE_LINK4"/>
      <w:bookmarkStart w:id="5" w:name="OLE_LINK3"/>
      <w:r>
        <w:rPr>
          <w:rFonts w:hint="eastAsia" w:asciiTheme="minorEastAsia" w:hAnsiTheme="minorEastAsia" w:eastAsiaTheme="minorEastAsia"/>
          <w:color w:val="000000"/>
          <w:kern w:val="0"/>
          <w:szCs w:val="21"/>
        </w:rPr>
        <w:t>学</w:t>
      </w:r>
      <w:bookmarkEnd w:id="4"/>
      <w:bookmarkEnd w:id="5"/>
      <w:r>
        <w:rPr>
          <w:rFonts w:hint="eastAsia" w:asciiTheme="minorEastAsia" w:hAnsiTheme="minorEastAsia" w:eastAsiaTheme="minorEastAsia"/>
          <w:color w:val="000000"/>
          <w:kern w:val="0"/>
          <w:szCs w:val="21"/>
        </w:rPr>
        <w:t>样本前处理自动化工作站</w:t>
      </w:r>
      <w:r>
        <w:rPr>
          <w:rFonts w:hint="eastAsia" w:asciiTheme="minorEastAsia" w:hAnsiTheme="minorEastAsia" w:eastAsiaTheme="minorEastAsia"/>
          <w:bCs/>
          <w:szCs w:val="21"/>
          <w:lang w:val="en-GB"/>
        </w:rPr>
        <w:t>，集成移液工作站、机械臂于一体，无需人工中途干预，无需添加额外硬件模块即可实现：</w:t>
      </w:r>
    </w:p>
    <w:p w14:paraId="6EA00EBE">
      <w:pPr>
        <w:pStyle w:val="17"/>
        <w:numPr>
          <w:ilvl w:val="0"/>
          <w:numId w:val="1"/>
        </w:numPr>
        <w:spacing w:before="312" w:beforeLines="100" w:after="312" w:afterLines="100"/>
        <w:ind w:firstLineChars="0"/>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非标定量蛋白质组前处理；</w:t>
      </w:r>
    </w:p>
    <w:p w14:paraId="0D627A8D">
      <w:pPr>
        <w:pStyle w:val="17"/>
        <w:numPr>
          <w:ilvl w:val="0"/>
          <w:numId w:val="1"/>
        </w:numPr>
        <w:spacing w:before="312" w:beforeLines="100" w:after="312" w:afterLines="100"/>
        <w:ind w:firstLineChars="0"/>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TMT标记定量蛋白质组</w:t>
      </w:r>
      <w:r>
        <w:rPr>
          <w:rFonts w:hint="eastAsia" w:asciiTheme="minorEastAsia" w:hAnsiTheme="minorEastAsia" w:eastAsiaTheme="minorEastAsia"/>
          <w:color w:val="000000"/>
          <w:kern w:val="0"/>
          <w:szCs w:val="21"/>
        </w:rPr>
        <w:t>学</w:t>
      </w:r>
      <w:r>
        <w:rPr>
          <w:rFonts w:hint="eastAsia" w:asciiTheme="minorEastAsia" w:hAnsiTheme="minorEastAsia" w:eastAsiaTheme="minorEastAsia"/>
          <w:bCs/>
          <w:szCs w:val="21"/>
          <w:lang w:val="en-GB"/>
        </w:rPr>
        <w:t>前处理；</w:t>
      </w:r>
    </w:p>
    <w:p w14:paraId="16041984">
      <w:pPr>
        <w:pStyle w:val="17"/>
        <w:numPr>
          <w:ilvl w:val="0"/>
          <w:numId w:val="1"/>
        </w:numPr>
        <w:spacing w:before="312" w:beforeLines="100" w:after="312" w:afterLines="100"/>
        <w:ind w:firstLineChars="0"/>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微量蛋白质组</w:t>
      </w:r>
      <w:r>
        <w:rPr>
          <w:rFonts w:hint="eastAsia" w:asciiTheme="minorEastAsia" w:hAnsiTheme="minorEastAsia" w:eastAsiaTheme="minorEastAsia"/>
          <w:color w:val="000000"/>
          <w:kern w:val="0"/>
          <w:szCs w:val="21"/>
        </w:rPr>
        <w:t>学</w:t>
      </w:r>
      <w:r>
        <w:rPr>
          <w:rFonts w:hint="eastAsia" w:asciiTheme="minorEastAsia" w:hAnsiTheme="minorEastAsia" w:eastAsiaTheme="minorEastAsia"/>
          <w:bCs/>
          <w:szCs w:val="21"/>
          <w:lang w:val="en-GB"/>
        </w:rPr>
        <w:t>前处理；</w:t>
      </w:r>
    </w:p>
    <w:p w14:paraId="36538976">
      <w:pPr>
        <w:pStyle w:val="17"/>
        <w:numPr>
          <w:ilvl w:val="0"/>
          <w:numId w:val="1"/>
        </w:numPr>
        <w:spacing w:before="312" w:beforeLines="100" w:after="312" w:afterLines="100"/>
        <w:ind w:firstLineChars="0"/>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极微量蛋白质组</w:t>
      </w:r>
      <w:r>
        <w:rPr>
          <w:rFonts w:hint="eastAsia" w:asciiTheme="minorEastAsia" w:hAnsiTheme="minorEastAsia" w:eastAsiaTheme="minorEastAsia"/>
          <w:color w:val="000000"/>
          <w:kern w:val="0"/>
          <w:szCs w:val="21"/>
        </w:rPr>
        <w:t>学</w:t>
      </w:r>
      <w:r>
        <w:rPr>
          <w:rFonts w:hint="eastAsia" w:asciiTheme="minorEastAsia" w:hAnsiTheme="minorEastAsia" w:eastAsiaTheme="minorEastAsia"/>
          <w:bCs/>
          <w:szCs w:val="21"/>
          <w:lang w:val="en-GB"/>
        </w:rPr>
        <w:t>前处理；</w:t>
      </w:r>
    </w:p>
    <w:p w14:paraId="3DCD49A9">
      <w:pPr>
        <w:pStyle w:val="17"/>
        <w:numPr>
          <w:ilvl w:val="0"/>
          <w:numId w:val="1"/>
        </w:numPr>
        <w:spacing w:before="312" w:beforeLines="100" w:after="312" w:afterLines="100"/>
        <w:ind w:firstLineChars="0"/>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体液蛋白质组</w:t>
      </w:r>
      <w:r>
        <w:rPr>
          <w:rFonts w:hint="eastAsia" w:asciiTheme="minorEastAsia" w:hAnsiTheme="minorEastAsia" w:eastAsiaTheme="minorEastAsia"/>
          <w:color w:val="000000"/>
          <w:kern w:val="0"/>
          <w:szCs w:val="21"/>
        </w:rPr>
        <w:t>学</w:t>
      </w:r>
      <w:r>
        <w:rPr>
          <w:rFonts w:hint="eastAsia" w:asciiTheme="minorEastAsia" w:hAnsiTheme="minorEastAsia" w:eastAsiaTheme="minorEastAsia"/>
          <w:bCs/>
          <w:szCs w:val="21"/>
          <w:lang w:val="en-GB"/>
        </w:rPr>
        <w:t>前处理（含低丰度蛋白富集）；</w:t>
      </w:r>
    </w:p>
    <w:p w14:paraId="078FB16A">
      <w:pPr>
        <w:pStyle w:val="17"/>
        <w:numPr>
          <w:ilvl w:val="0"/>
          <w:numId w:val="1"/>
        </w:numPr>
        <w:spacing w:before="312" w:beforeLines="100" w:after="312" w:afterLines="100"/>
        <w:ind w:firstLineChars="0"/>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细胞外囊泡蛋白质组学前处理（含细胞外囊泡富集）；</w:t>
      </w:r>
    </w:p>
    <w:p w14:paraId="2E95DAE5">
      <w:pPr>
        <w:pStyle w:val="17"/>
        <w:numPr>
          <w:ilvl w:val="0"/>
          <w:numId w:val="1"/>
        </w:numPr>
        <w:spacing w:before="312" w:beforeLines="100" w:after="312" w:afterLines="100"/>
        <w:ind w:firstLineChars="0"/>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磷酸化蛋白质组</w:t>
      </w:r>
      <w:r>
        <w:rPr>
          <w:rFonts w:hint="eastAsia" w:asciiTheme="minorEastAsia" w:hAnsiTheme="minorEastAsia" w:eastAsiaTheme="minorEastAsia"/>
          <w:color w:val="000000"/>
          <w:kern w:val="0"/>
          <w:szCs w:val="21"/>
        </w:rPr>
        <w:t>学</w:t>
      </w:r>
      <w:r>
        <w:rPr>
          <w:rFonts w:hint="eastAsia" w:asciiTheme="minorEastAsia" w:hAnsiTheme="minorEastAsia" w:eastAsiaTheme="minorEastAsia"/>
          <w:bCs/>
          <w:szCs w:val="21"/>
          <w:lang w:val="en-GB"/>
        </w:rPr>
        <w:t>前处理（含磷酸化肽段富集）；</w:t>
      </w:r>
    </w:p>
    <w:p w14:paraId="45FB3D30">
      <w:pPr>
        <w:pStyle w:val="17"/>
        <w:numPr>
          <w:ilvl w:val="0"/>
          <w:numId w:val="1"/>
        </w:numPr>
        <w:spacing w:before="312" w:beforeLines="100" w:after="312" w:afterLines="100"/>
        <w:ind w:firstLineChars="0"/>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FFPE蛋白质组学前处理。</w:t>
      </w:r>
    </w:p>
    <w:p w14:paraId="5267248A">
      <w:pPr>
        <w:spacing w:before="312" w:beforeLines="100" w:after="312" w:afterLines="100" w:line="360" w:lineRule="auto"/>
        <w:ind w:firstLine="420" w:firstLineChars="200"/>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流程</w:t>
      </w:r>
      <w:r>
        <w:rPr>
          <w:rFonts w:hint="eastAsia" w:asciiTheme="minorEastAsia" w:hAnsiTheme="minorEastAsia" w:eastAsiaTheme="minorEastAsia"/>
          <w:bCs/>
          <w:szCs w:val="21"/>
        </w:rPr>
        <w:t>可</w:t>
      </w:r>
      <w:r>
        <w:rPr>
          <w:rFonts w:hint="eastAsia" w:asciiTheme="minorEastAsia" w:hAnsiTheme="minorEastAsia" w:eastAsiaTheme="minorEastAsia"/>
          <w:bCs/>
          <w:szCs w:val="21"/>
          <w:lang w:val="en-GB"/>
        </w:rPr>
        <w:t>直接对接高通量蛋白质组质谱检测，包括还原烷基化、孵育纯化、磁吸附富集、浓度归一化、酶解及终止，肽段同位素标记、脱盐、磷酸化肽段磁吸附富集等多种复杂的蛋白质组学样本前处理功能。</w:t>
      </w:r>
    </w:p>
    <w:p w14:paraId="59F1B49F">
      <w:pPr>
        <w:spacing w:before="312" w:beforeLines="100" w:after="312" w:afterLines="100" w:line="360" w:lineRule="auto"/>
        <w:rPr>
          <w:rFonts w:eastAsia="仿宋_GB2312"/>
          <w:bCs/>
          <w:sz w:val="24"/>
        </w:rPr>
      </w:pPr>
      <w:r>
        <w:rPr>
          <w:rFonts w:hint="eastAsia" w:ascii="宋体" w:hAnsi="宋体"/>
          <w:szCs w:val="21"/>
        </w:rPr>
        <w:t>采购标的技术参数及性能指标应满足，*项为重点关注项，不做废标处理：</w:t>
      </w:r>
    </w:p>
    <w:p w14:paraId="28AB2695">
      <w:pPr>
        <w:spacing w:before="312" w:beforeLines="100" w:after="312" w:afterLines="100" w:line="360" w:lineRule="auto"/>
        <w:ind w:firstLine="420" w:firstLineChars="200"/>
        <w:rPr>
          <w:bCs/>
          <w:szCs w:val="21"/>
          <w:lang w:val="en-GB"/>
        </w:rPr>
      </w:pPr>
      <w:bookmarkStart w:id="6" w:name="OLE_LINK5"/>
      <w:bookmarkStart w:id="7" w:name="OLE_LINK1"/>
      <w:bookmarkStart w:id="8" w:name="OLE_LINK2"/>
      <w:r>
        <w:rPr>
          <w:bCs/>
          <w:szCs w:val="21"/>
        </w:rPr>
        <w:t>1. *</w:t>
      </w:r>
      <w:r>
        <w:rPr>
          <w:bCs/>
          <w:szCs w:val="21"/>
          <w:lang w:val="en-GB"/>
        </w:rPr>
        <w:t>8小时内可</w:t>
      </w:r>
      <w:r>
        <w:rPr>
          <w:rFonts w:hint="eastAsia"/>
          <w:bCs/>
          <w:szCs w:val="21"/>
          <w:lang w:val="en-GB"/>
        </w:rPr>
        <w:t>连续自动</w:t>
      </w:r>
      <w:r>
        <w:rPr>
          <w:bCs/>
          <w:szCs w:val="21"/>
          <w:lang w:val="en-GB"/>
        </w:rPr>
        <w:t>处理192份以上样本：可处理生物样本包括血液、尿液等多种体液类型样本，细胞、组织样本，穿刺、石蜡切片、单细胞等微量、超微量样本，使用96孔板进行样本前处理，能在短时间内高通量处理不同类型样本</w:t>
      </w:r>
      <w:r>
        <w:rPr>
          <w:rFonts w:hint="eastAsia"/>
          <w:bCs/>
          <w:szCs w:val="21"/>
          <w:lang w:val="en-GB"/>
        </w:rPr>
        <w:t>，处理时间随样本可选可调</w:t>
      </w:r>
      <w:r>
        <w:rPr>
          <w:bCs/>
          <w:szCs w:val="21"/>
          <w:lang w:val="en-GB"/>
        </w:rPr>
        <w:t>。</w:t>
      </w:r>
    </w:p>
    <w:p w14:paraId="48F3EE68">
      <w:pPr>
        <w:spacing w:before="312" w:beforeLines="100" w:after="312" w:afterLines="100" w:line="360" w:lineRule="auto"/>
        <w:ind w:firstLine="420" w:firstLineChars="200"/>
        <w:rPr>
          <w:bCs/>
          <w:szCs w:val="21"/>
          <w:lang w:val="en-GB"/>
        </w:rPr>
      </w:pPr>
      <w:r>
        <w:rPr>
          <w:bCs/>
          <w:szCs w:val="21"/>
        </w:rPr>
        <w:t>2</w:t>
      </w:r>
      <w:r>
        <w:rPr>
          <w:bCs/>
          <w:szCs w:val="21"/>
          <w:lang w:val="en-GB"/>
        </w:rPr>
        <w:t>. 配备智能控制高清显示屏</w:t>
      </w:r>
      <w:r>
        <w:rPr>
          <w:rFonts w:hint="eastAsia"/>
          <w:bCs/>
          <w:color w:val="000000" w:themeColor="text1"/>
          <w:szCs w:val="21"/>
          <w:lang w:val="en-GB"/>
          <w14:textFill>
            <w14:solidFill>
              <w14:schemeClr w14:val="tx1"/>
            </w14:solidFill>
          </w14:textFill>
        </w:rPr>
        <w:t>（彩色屏幕，有存储功能）</w:t>
      </w:r>
      <w:r>
        <w:rPr>
          <w:bCs/>
          <w:color w:val="000000" w:themeColor="text1"/>
          <w:szCs w:val="21"/>
          <w:lang w:val="en-GB"/>
          <w14:textFill>
            <w14:solidFill>
              <w14:schemeClr w14:val="tx1"/>
            </w14:solidFill>
          </w14:textFill>
        </w:rPr>
        <w:t>或工作站电脑</w:t>
      </w:r>
      <w:r>
        <w:rPr>
          <w:rFonts w:hint="eastAsia"/>
          <w:bCs/>
          <w:color w:val="000000" w:themeColor="text1"/>
          <w:szCs w:val="21"/>
          <w:lang w:val="en-GB"/>
          <w14:textFill>
            <w14:solidFill>
              <w14:schemeClr w14:val="tx1"/>
            </w14:solidFill>
          </w14:textFill>
        </w:rPr>
        <w:t>（电脑配置优于windows</w:t>
      </w:r>
      <w:r>
        <w:rPr>
          <w:bCs/>
          <w:color w:val="000000" w:themeColor="text1"/>
          <w:szCs w:val="21"/>
          <w:lang w:val="en-GB"/>
          <w14:textFill>
            <w14:solidFill>
              <w14:schemeClr w14:val="tx1"/>
            </w14:solidFill>
          </w14:textFill>
        </w:rPr>
        <w:t>10</w:t>
      </w:r>
      <w:r>
        <w:rPr>
          <w:rFonts w:hint="eastAsia"/>
          <w:bCs/>
          <w:color w:val="000000" w:themeColor="text1"/>
          <w:szCs w:val="21"/>
          <w:lang w:val="en-GB"/>
          <w14:textFill>
            <w14:solidFill>
              <w14:schemeClr w14:val="tx1"/>
            </w14:solidFill>
          </w14:textFill>
        </w:rPr>
        <w:t>操作系统，内存8</w:t>
      </w:r>
      <w:r>
        <w:rPr>
          <w:bCs/>
          <w:color w:val="000000" w:themeColor="text1"/>
          <w:szCs w:val="21"/>
          <w:lang w:val="en-GB"/>
          <w14:textFill>
            <w14:solidFill>
              <w14:schemeClr w14:val="tx1"/>
            </w14:solidFill>
          </w14:textFill>
        </w:rPr>
        <w:t>GB</w:t>
      </w:r>
      <w:r>
        <w:rPr>
          <w:rFonts w:hint="eastAsia"/>
          <w:bCs/>
          <w:color w:val="000000" w:themeColor="text1"/>
          <w:szCs w:val="21"/>
          <w:lang w:val="en-GB"/>
          <w14:textFill>
            <w14:solidFill>
              <w14:schemeClr w14:val="tx1"/>
            </w14:solidFill>
          </w14:textFill>
        </w:rPr>
        <w:t>，硬盘5</w:t>
      </w:r>
      <w:r>
        <w:rPr>
          <w:bCs/>
          <w:color w:val="000000" w:themeColor="text1"/>
          <w:szCs w:val="21"/>
          <w:lang w:val="en-GB"/>
          <w14:textFill>
            <w14:solidFill>
              <w14:schemeClr w14:val="tx1"/>
            </w14:solidFill>
          </w14:textFill>
        </w:rPr>
        <w:t>00G</w:t>
      </w:r>
      <w:r>
        <w:rPr>
          <w:rFonts w:hint="eastAsia"/>
          <w:bCs/>
          <w:color w:val="000000" w:themeColor="text1"/>
          <w:szCs w:val="21"/>
          <w:lang w:val="en-GB"/>
          <w14:textFill>
            <w14:solidFill>
              <w14:schemeClr w14:val="tx1"/>
            </w14:solidFill>
          </w14:textFill>
        </w:rPr>
        <w:t>）</w:t>
      </w:r>
      <w:r>
        <w:rPr>
          <w:bCs/>
          <w:szCs w:val="21"/>
          <w:lang w:val="en-GB"/>
        </w:rPr>
        <w:t>，基于Windows系统用户界面友好，内置专门的控制软件，可兼容多种实验流程及试剂盒，可开放编辑实验流程，包括耗材类型调整（覆盖多种标准微孔板、定制容器等）、液体类型调整、移液位置调整、转移体积调整、转移板位调整、</w:t>
      </w:r>
      <w:r>
        <w:rPr>
          <w:rFonts w:hint="eastAsia"/>
          <w:bCs/>
          <w:szCs w:val="21"/>
          <w:lang w:val="en-GB"/>
        </w:rPr>
        <w:t>有盖升</w:t>
      </w:r>
      <w:r>
        <w:rPr>
          <w:bCs/>
          <w:szCs w:val="21"/>
          <w:lang w:val="en-GB"/>
        </w:rPr>
        <w:t>温</w:t>
      </w:r>
      <w:r>
        <w:rPr>
          <w:rFonts w:hint="eastAsia"/>
          <w:bCs/>
          <w:szCs w:val="21"/>
          <w:lang w:val="en-GB"/>
        </w:rPr>
        <w:t>孵育</w:t>
      </w:r>
      <w:r>
        <w:rPr>
          <w:bCs/>
          <w:szCs w:val="21"/>
          <w:lang w:val="en-GB"/>
        </w:rPr>
        <w:t>模块调整等，可根据需要保存已设定的序列，支持序列暂停恢复功能，自动生成详细的操作记录。</w:t>
      </w:r>
    </w:p>
    <w:p w14:paraId="510DE22C">
      <w:pPr>
        <w:spacing w:before="312" w:beforeLines="100" w:after="312" w:afterLines="100" w:line="360" w:lineRule="auto"/>
        <w:ind w:firstLine="420" w:firstLineChars="200"/>
        <w:rPr>
          <w:bCs/>
          <w:szCs w:val="21"/>
          <w:lang w:val="en-GB"/>
        </w:rPr>
      </w:pPr>
      <w:r>
        <w:rPr>
          <w:bCs/>
          <w:szCs w:val="21"/>
        </w:rPr>
        <w:t>3.</w:t>
      </w:r>
      <w:r>
        <w:rPr>
          <w:bCs/>
          <w:szCs w:val="21"/>
          <w:lang w:val="en-GB"/>
        </w:rPr>
        <w:t xml:space="preserve"> *移液工作站模块含8通道以上移液泵和机械抓手：移液范围优于5 μL~200 μL，准确度优于±10%（CV 5%），可实现精准吸液弃液、吹吸混匀；</w:t>
      </w:r>
    </w:p>
    <w:p w14:paraId="1CAA9C63">
      <w:pPr>
        <w:spacing w:before="312" w:beforeLines="100" w:after="312" w:afterLines="100" w:line="360" w:lineRule="auto"/>
        <w:ind w:firstLine="420" w:firstLineChars="200"/>
        <w:rPr>
          <w:bCs/>
          <w:szCs w:val="21"/>
          <w:lang w:val="en-GB"/>
        </w:rPr>
      </w:pPr>
      <w:r>
        <w:rPr>
          <w:bCs/>
          <w:szCs w:val="21"/>
          <w:lang w:val="en-GB"/>
        </w:rPr>
        <w:t>4. 支持除盐功能：配套吹吸式C18除盐模块或正压式除盐，可实现5 μg-20 μg肽段脱盐，机械抓手可实现酶标板、200 μL反应板、1.2 mL深孔板、2.0 mL深孔板、各种规格枪头盒准确移动，重复定位精度±0.2 mm。</w:t>
      </w:r>
    </w:p>
    <w:p w14:paraId="583E32BE">
      <w:pPr>
        <w:spacing w:before="312" w:beforeLines="100" w:after="312" w:afterLines="100" w:line="360" w:lineRule="auto"/>
        <w:ind w:firstLine="420" w:firstLineChars="200"/>
        <w:rPr>
          <w:bCs/>
          <w:szCs w:val="21"/>
          <w:lang w:val="en-GB"/>
        </w:rPr>
      </w:pPr>
      <w:r>
        <w:rPr>
          <w:bCs/>
          <w:szCs w:val="21"/>
        </w:rPr>
        <w:t>5</w:t>
      </w:r>
      <w:r>
        <w:rPr>
          <w:bCs/>
          <w:szCs w:val="21"/>
          <w:lang w:val="en-GB"/>
        </w:rPr>
        <w:t xml:space="preserve">. </w:t>
      </w:r>
      <w:bookmarkStart w:id="9" w:name="OLE_LINK6"/>
      <w:bookmarkStart w:id="10" w:name="OLE_LINK7"/>
      <w:r>
        <w:rPr>
          <w:bCs/>
          <w:szCs w:val="21"/>
          <w:lang w:val="en-GB"/>
        </w:rPr>
        <w:t>磁吸附模块为磁棒或96板，保证磁力均匀，可适配</w:t>
      </w:r>
      <w:r>
        <w:rPr>
          <w:rFonts w:hint="eastAsia"/>
          <w:bCs/>
          <w:szCs w:val="21"/>
          <w:lang w:val="en-GB"/>
        </w:rPr>
        <w:t>常规9</w:t>
      </w:r>
      <w:r>
        <w:rPr>
          <w:bCs/>
          <w:szCs w:val="21"/>
          <w:lang w:val="en-GB"/>
        </w:rPr>
        <w:t>6</w:t>
      </w:r>
      <w:r>
        <w:rPr>
          <w:rFonts w:hint="eastAsia"/>
          <w:bCs/>
          <w:szCs w:val="21"/>
          <w:lang w:val="en-GB"/>
        </w:rPr>
        <w:t>孔</w:t>
      </w:r>
      <w:r>
        <w:rPr>
          <w:bCs/>
          <w:szCs w:val="21"/>
          <w:lang w:val="en-GB"/>
        </w:rPr>
        <w:t>酶标板、200 μL反应板、1.2 mL、2.0 mL深孔板</w:t>
      </w:r>
      <w:r>
        <w:rPr>
          <w:rFonts w:hint="eastAsia"/>
          <w:bCs/>
          <w:szCs w:val="21"/>
          <w:lang w:val="en-GB"/>
        </w:rPr>
        <w:t>等</w:t>
      </w:r>
      <w:r>
        <w:rPr>
          <w:bCs/>
          <w:szCs w:val="21"/>
          <w:lang w:val="en-GB"/>
        </w:rPr>
        <w:t>，吸附力强</w:t>
      </w:r>
      <w:bookmarkEnd w:id="9"/>
      <w:bookmarkEnd w:id="10"/>
      <w:r>
        <w:rPr>
          <w:bCs/>
          <w:szCs w:val="21"/>
          <w:lang w:val="en-GB"/>
        </w:rPr>
        <w:t>，搭配商业化磁珠试剂盒可实现常规/微量蛋白质组学、体液蛋白质组学前处理（含低丰度蛋白富集）、细胞外囊泡蛋白质组学前处理（含细胞外囊泡富集）、磷酸化蛋白质组学前处理（含磷酸化肽段富集）自动化前处理。</w:t>
      </w:r>
    </w:p>
    <w:p w14:paraId="1E890B89">
      <w:pPr>
        <w:spacing w:before="312" w:beforeLines="100" w:after="312" w:afterLines="100" w:line="360" w:lineRule="auto"/>
        <w:ind w:firstLine="420" w:firstLineChars="200"/>
        <w:rPr>
          <w:bCs/>
          <w:szCs w:val="21"/>
          <w:lang w:val="en-GB"/>
        </w:rPr>
      </w:pPr>
      <w:r>
        <w:rPr>
          <w:bCs/>
          <w:szCs w:val="21"/>
        </w:rPr>
        <w:t>6</w:t>
      </w:r>
      <w:r>
        <w:rPr>
          <w:bCs/>
          <w:szCs w:val="21"/>
          <w:lang w:val="en-GB"/>
        </w:rPr>
        <w:t>. 加热震荡模块：包括震荡、加热，可实现定时震荡模式、连续工作模式、停止震荡三种工作模式，温度室温~100℃（±0.5 ℃），震荡频率最高超过2500 rpm，震荡时间可调</w:t>
      </w:r>
      <w:bookmarkEnd w:id="6"/>
      <w:bookmarkEnd w:id="7"/>
      <w:bookmarkEnd w:id="8"/>
      <w:r>
        <w:rPr>
          <w:bCs/>
          <w:szCs w:val="21"/>
          <w:lang w:val="en-GB"/>
        </w:rPr>
        <w:t>。</w:t>
      </w:r>
    </w:p>
    <w:p w14:paraId="0A8C4783">
      <w:pPr>
        <w:spacing w:before="312" w:beforeLines="100" w:after="312" w:afterLines="100" w:line="360" w:lineRule="auto"/>
        <w:ind w:firstLine="420" w:firstLineChars="200"/>
        <w:rPr>
          <w:bCs/>
          <w:szCs w:val="21"/>
          <w:lang w:val="en-GB"/>
        </w:rPr>
      </w:pPr>
      <w:r>
        <w:rPr>
          <w:bCs/>
          <w:szCs w:val="21"/>
          <w:lang w:val="en-GB"/>
        </w:rPr>
        <w:t>7.密闭工作站确保无接触和无污染要求，配置HEPA滤网（可拆卸）和紫外照射，可防止工作站内部病毒等生物威胁样本污染实验室环境</w:t>
      </w:r>
      <w:r>
        <w:rPr>
          <w:rFonts w:hint="eastAsia"/>
          <w:bCs/>
          <w:szCs w:val="21"/>
          <w:lang w:val="en-GB"/>
        </w:rPr>
        <w:t>。</w:t>
      </w:r>
    </w:p>
    <w:p w14:paraId="209CAA5B">
      <w:pPr>
        <w:spacing w:before="312" w:beforeLines="100" w:after="312" w:afterLines="100" w:line="360" w:lineRule="auto"/>
        <w:ind w:firstLine="420" w:firstLineChars="200"/>
        <w:rPr>
          <w:bCs/>
          <w:szCs w:val="21"/>
          <w:lang w:val="en-GB"/>
        </w:rPr>
      </w:pPr>
      <w:r>
        <w:rPr>
          <w:bCs/>
          <w:szCs w:val="21"/>
          <w:lang w:val="en-GB"/>
        </w:rPr>
        <w:t>8.*</w:t>
      </w:r>
      <w:r>
        <w:rPr>
          <w:rFonts w:hint="eastAsia"/>
          <w:bCs/>
          <w:szCs w:val="21"/>
          <w:lang w:val="en-GB"/>
        </w:rPr>
        <w:t>耗材：配套提供不低于</w:t>
      </w:r>
      <w:r>
        <w:rPr>
          <w:bCs/>
          <w:szCs w:val="21"/>
          <w:lang w:val="en-GB"/>
        </w:rPr>
        <w:t>45</w:t>
      </w:r>
      <w:r>
        <w:rPr>
          <w:rFonts w:hint="eastAsia"/>
          <w:bCs/>
          <w:szCs w:val="21"/>
          <w:lang w:val="en-GB"/>
        </w:rPr>
        <w:t>盒适配试剂盒（每盒可处理9</w:t>
      </w:r>
      <w:r>
        <w:rPr>
          <w:bCs/>
          <w:szCs w:val="21"/>
          <w:lang w:val="en-GB"/>
        </w:rPr>
        <w:t>6</w:t>
      </w:r>
      <w:r>
        <w:rPr>
          <w:rFonts w:hint="eastAsia"/>
          <w:bCs/>
          <w:szCs w:val="21"/>
          <w:lang w:val="en-GB"/>
        </w:rPr>
        <w:t>份样本）， H</w:t>
      </w:r>
      <w:r>
        <w:rPr>
          <w:bCs/>
          <w:szCs w:val="21"/>
          <w:lang w:val="en-GB"/>
        </w:rPr>
        <w:t>EPA</w:t>
      </w:r>
      <w:r>
        <w:rPr>
          <w:rFonts w:hint="eastAsia"/>
          <w:bCs/>
          <w:szCs w:val="21"/>
          <w:lang w:val="en-GB"/>
        </w:rPr>
        <w:t>滤网提供不低于3套，后续试剂盒和滤网提供折扣价；</w:t>
      </w:r>
    </w:p>
    <w:p w14:paraId="6DB7B030">
      <w:pPr>
        <w:spacing w:before="312" w:beforeLines="100" w:after="312" w:afterLines="100" w:line="360" w:lineRule="auto"/>
        <w:ind w:firstLine="420" w:firstLineChars="200"/>
        <w:rPr>
          <w:rFonts w:hint="eastAsia"/>
          <w:bCs/>
          <w:szCs w:val="21"/>
          <w:lang w:val="en-GB"/>
        </w:rPr>
      </w:pPr>
      <w:r>
        <w:rPr>
          <w:rFonts w:hint="eastAsia"/>
          <w:bCs/>
          <w:szCs w:val="21"/>
          <w:lang w:val="en-GB"/>
        </w:rPr>
        <w:t>9</w:t>
      </w:r>
      <w:r>
        <w:rPr>
          <w:bCs/>
          <w:szCs w:val="21"/>
          <w:lang w:val="en-GB"/>
        </w:rPr>
        <w:t>.</w:t>
      </w:r>
      <w:r>
        <w:rPr>
          <w:rFonts w:hint="eastAsia"/>
          <w:bCs/>
          <w:szCs w:val="21"/>
          <w:lang w:val="en-GB"/>
        </w:rPr>
        <w:t>若配套试剂盒需要除盐，则需提供一对适配赛默飞Sp</w:t>
      </w:r>
      <w:r>
        <w:rPr>
          <w:bCs/>
          <w:szCs w:val="21"/>
          <w:lang w:val="en-GB"/>
        </w:rPr>
        <w:t>eedVac SPD1030</w:t>
      </w:r>
      <w:r>
        <w:rPr>
          <w:rFonts w:hint="eastAsia"/>
          <w:bCs/>
          <w:szCs w:val="21"/>
          <w:lang w:val="en-GB"/>
        </w:rPr>
        <w:t>型号浓缩仪的9</w:t>
      </w:r>
      <w:r>
        <w:rPr>
          <w:bCs/>
          <w:szCs w:val="21"/>
          <w:lang w:val="en-GB"/>
        </w:rPr>
        <w:t>6</w:t>
      </w:r>
      <w:r>
        <w:rPr>
          <w:rFonts w:hint="eastAsia"/>
          <w:bCs/>
          <w:szCs w:val="21"/>
          <w:lang w:val="en-GB"/>
        </w:rPr>
        <w:t>孔板转子，型号R</w:t>
      </w:r>
      <w:r>
        <w:rPr>
          <w:bCs/>
          <w:szCs w:val="21"/>
          <w:lang w:val="en-GB"/>
        </w:rPr>
        <w:t>H2MP</w:t>
      </w:r>
      <w:r>
        <w:rPr>
          <w:rFonts w:hint="eastAsia"/>
          <w:bCs/>
          <w:szCs w:val="21"/>
          <w:lang w:val="en-GB"/>
        </w:rPr>
        <w:t>。</w:t>
      </w:r>
    </w:p>
    <w:p w14:paraId="42A01DAB">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139F01FD">
      <w:pPr>
        <w:numPr>
          <w:ilvl w:val="0"/>
          <w:numId w:val="2"/>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3  </w:t>
      </w:r>
      <w:r>
        <w:rPr>
          <w:rFonts w:hint="eastAsia" w:ascii="宋体" w:hAnsi="宋体"/>
          <w:szCs w:val="21"/>
        </w:rPr>
        <w:t>年，</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w:t>
      </w:r>
    </w:p>
    <w:p w14:paraId="561C0AB8">
      <w:pPr>
        <w:numPr>
          <w:ilvl w:val="0"/>
          <w:numId w:val="2"/>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0CD41D72">
      <w:pPr>
        <w:pStyle w:val="17"/>
        <w:numPr>
          <w:ilvl w:val="0"/>
          <w:numId w:val="2"/>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color w:val="000000" w:themeColor="text1"/>
          <w:u w:val="single"/>
          <w14:textFill>
            <w14:solidFill>
              <w14:schemeClr w14:val="tx1"/>
            </w14:solidFill>
          </w14:textFill>
        </w:rPr>
        <w:t xml:space="preserve"> 2</w:t>
      </w:r>
      <w:r>
        <w:rPr>
          <w:rFonts w:ascii="宋体" w:hAnsi="宋体" w:cs="宋体"/>
        </w:rPr>
        <w:t>名操作人员进行为期至少</w:t>
      </w:r>
      <w:r>
        <w:rPr>
          <w:rFonts w:ascii="宋体" w:hAnsi="宋体" w:cs="宋体"/>
          <w:color w:val="000000" w:themeColor="text1"/>
          <w:u w:val="single"/>
          <w14:textFill>
            <w14:solidFill>
              <w14:schemeClr w14:val="tx1"/>
            </w14:solidFill>
          </w14:textFill>
        </w:rPr>
        <w:t xml:space="preserve"> 3</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407A67C5">
      <w:pPr>
        <w:tabs>
          <w:tab w:val="left" w:pos="420"/>
          <w:tab w:val="left" w:pos="900"/>
        </w:tabs>
        <w:spacing w:before="156" w:beforeLines="50" w:line="360" w:lineRule="auto"/>
        <w:ind w:left="420"/>
        <w:rPr>
          <w:rFonts w:ascii="宋体" w:hAnsi="宋体"/>
          <w:b/>
          <w:szCs w:val="21"/>
        </w:rPr>
      </w:pPr>
    </w:p>
    <w:p w14:paraId="32EBC3BD">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1A82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19C0F4F7">
            <w:pPr>
              <w:widowControl/>
              <w:jc w:val="center"/>
              <w:textAlignment w:val="baseline"/>
              <w:rPr>
                <w:color w:val="000000"/>
                <w:kern w:val="0"/>
                <w:sz w:val="20"/>
                <w:szCs w:val="21"/>
              </w:rPr>
            </w:pPr>
            <w:r>
              <w:rPr>
                <w:color w:val="000000"/>
                <w:kern w:val="0"/>
                <w:sz w:val="20"/>
                <w:szCs w:val="21"/>
              </w:rPr>
              <w:t>现场的检验指标及方法</w:t>
            </w:r>
          </w:p>
        </w:tc>
      </w:tr>
      <w:tr w14:paraId="771F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726" w:type="dxa"/>
            <w:vAlign w:val="center"/>
          </w:tcPr>
          <w:p w14:paraId="19198D96">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45985C4">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796D749C">
            <w:pPr>
              <w:widowControl/>
              <w:jc w:val="center"/>
              <w:textAlignment w:val="baseline"/>
              <w:rPr>
                <w:color w:val="000000"/>
                <w:kern w:val="0"/>
                <w:sz w:val="20"/>
                <w:szCs w:val="21"/>
              </w:rPr>
            </w:pPr>
            <w:r>
              <w:rPr>
                <w:color w:val="000000"/>
                <w:kern w:val="0"/>
                <w:sz w:val="20"/>
                <w:szCs w:val="21"/>
              </w:rPr>
              <w:t>验收或测试方法</w:t>
            </w:r>
          </w:p>
        </w:tc>
      </w:tr>
      <w:tr w14:paraId="64F8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0E4AC1C9">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1123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C7EB304">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3A67FD6">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0583175A">
            <w:pPr>
              <w:widowControl/>
              <w:jc w:val="left"/>
              <w:textAlignment w:val="baseline"/>
              <w:rPr>
                <w:color w:val="000000"/>
                <w:kern w:val="0"/>
                <w:sz w:val="18"/>
                <w:szCs w:val="18"/>
              </w:rPr>
            </w:pPr>
            <w:r>
              <w:rPr>
                <w:color w:val="000000"/>
                <w:kern w:val="0"/>
                <w:sz w:val="18"/>
                <w:szCs w:val="18"/>
              </w:rPr>
              <w:t>现场核查</w:t>
            </w:r>
          </w:p>
        </w:tc>
      </w:tr>
      <w:tr w14:paraId="0B68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BD86612">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7D0943C">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77D39783">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53AC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15D56F1">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4DD4281">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74D185F">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20F1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2CC3A0A">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0FDB5AEA">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6D3B8F35">
            <w:pPr>
              <w:widowControl/>
              <w:textAlignment w:val="baseline"/>
              <w:rPr>
                <w:color w:val="000000"/>
                <w:kern w:val="0"/>
                <w:sz w:val="18"/>
                <w:szCs w:val="18"/>
              </w:rPr>
            </w:pPr>
            <w:r>
              <w:rPr>
                <w:color w:val="000000"/>
                <w:kern w:val="0"/>
                <w:sz w:val="18"/>
                <w:szCs w:val="18"/>
              </w:rPr>
              <w:t>现场核查</w:t>
            </w:r>
          </w:p>
        </w:tc>
      </w:tr>
      <w:tr w14:paraId="008B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946A026">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257ACEF0">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73618DD9">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5313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A9EE143">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0C34725A">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43F3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548C67A">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2ED3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C7840D1">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C5B8A44">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4389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55A3744">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4106F8F4">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2F9D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EEF0862">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03214D41">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23E2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54C4269">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99C7FE0">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1870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3EFB73E">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5E558FED">
            <w:pPr>
              <w:widowControl/>
              <w:textAlignment w:val="baseline"/>
              <w:rPr>
                <w:rFonts w:hint="eastAsia" w:eastAsia="宋体"/>
                <w:color w:val="000000"/>
                <w:kern w:val="0"/>
                <w:sz w:val="20"/>
                <w:szCs w:val="21"/>
                <w:lang w:eastAsia="zh-CN"/>
              </w:rPr>
            </w:pPr>
            <w:r>
              <w:rPr>
                <w:color w:val="000000"/>
                <w:kern w:val="0"/>
                <w:sz w:val="20"/>
                <w:szCs w:val="21"/>
              </w:rPr>
              <w:t>是</w:t>
            </w:r>
            <w:r>
              <w:rPr>
                <w:rFonts w:hint="eastAsia" w:cs="宋体" w:asciiTheme="minorEastAsia" w:hAnsiTheme="minorEastAsia"/>
                <w:color w:val="000000"/>
                <w:kern w:val="0"/>
                <w:sz w:val="20"/>
                <w:szCs w:val="21"/>
                <w:lang w:eastAsia="zh-CN"/>
              </w:rPr>
              <w:t>☑</w:t>
            </w:r>
          </w:p>
        </w:tc>
        <w:tc>
          <w:tcPr>
            <w:tcW w:w="2114" w:type="dxa"/>
            <w:vAlign w:val="center"/>
          </w:tcPr>
          <w:p w14:paraId="137F5F1A">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5049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209876A6">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140C869D">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3F94F360">
            <w:pPr>
              <w:widowControl/>
              <w:textAlignment w:val="baseline"/>
              <w:rPr>
                <w:rFonts w:hint="eastAsia" w:eastAsia="宋体"/>
                <w:color w:val="000000"/>
                <w:kern w:val="0"/>
                <w:sz w:val="20"/>
                <w:szCs w:val="21"/>
                <w:lang w:eastAsia="zh-CN"/>
              </w:rPr>
            </w:pPr>
            <w:r>
              <w:rPr>
                <w:color w:val="000000"/>
                <w:kern w:val="0"/>
                <w:sz w:val="20"/>
                <w:szCs w:val="21"/>
              </w:rPr>
              <w:t>否</w:t>
            </w:r>
            <w:r>
              <w:rPr>
                <w:rFonts w:hint="eastAsia" w:cs="宋体" w:asciiTheme="minorEastAsia" w:hAnsiTheme="minorEastAsia"/>
                <w:color w:val="000000"/>
                <w:kern w:val="0"/>
                <w:sz w:val="20"/>
                <w:szCs w:val="21"/>
                <w:lang w:eastAsia="zh-CN"/>
              </w:rPr>
              <w:t>☑</w:t>
            </w:r>
          </w:p>
        </w:tc>
      </w:tr>
      <w:tr w14:paraId="0FEE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3006CCE0">
            <w:pPr>
              <w:widowControl/>
              <w:textAlignment w:val="baseline"/>
              <w:rPr>
                <w:color w:val="000000"/>
                <w:kern w:val="0"/>
                <w:sz w:val="20"/>
                <w:szCs w:val="21"/>
              </w:rPr>
            </w:pPr>
            <w:r>
              <w:rPr>
                <w:color w:val="000000"/>
                <w:kern w:val="0"/>
                <w:sz w:val="20"/>
                <w:szCs w:val="21"/>
              </w:rPr>
              <w:t>除现场验收外，需提供的其他验收要求</w:t>
            </w:r>
          </w:p>
        </w:tc>
      </w:tr>
      <w:tr w14:paraId="0E08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4D6CD327">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lang w:eastAsia="zh-CN"/>
              </w:rPr>
              <w:t>☑</w:t>
            </w:r>
            <w:r>
              <w:rPr>
                <w:color w:val="000000"/>
                <w:kern w:val="0"/>
                <w:sz w:val="20"/>
                <w:szCs w:val="21"/>
              </w:rPr>
              <w:t>需提供第三方检测报告</w:t>
            </w:r>
          </w:p>
          <w:p w14:paraId="62ED4FB7">
            <w:pPr>
              <w:widowControl/>
              <w:spacing w:line="450" w:lineRule="atLeast"/>
              <w:textAlignment w:val="baseline"/>
              <w:rPr>
                <w:color w:val="000000"/>
                <w:kern w:val="0"/>
                <w:sz w:val="20"/>
                <w:szCs w:val="21"/>
              </w:rPr>
            </w:pPr>
          </w:p>
        </w:tc>
        <w:tc>
          <w:tcPr>
            <w:tcW w:w="4368" w:type="dxa"/>
            <w:gridSpan w:val="2"/>
            <w:vAlign w:val="center"/>
          </w:tcPr>
          <w:p w14:paraId="4518036F">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5489F00">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E417592"/>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A2705">
    <w:pPr>
      <w:pStyle w:val="4"/>
      <w:jc w:val="center"/>
    </w:pPr>
    <w:r>
      <w:fldChar w:fldCharType="begin"/>
    </w:r>
    <w:r>
      <w:instrText xml:space="preserve">PAGE   \* MERGEFORMAT</w:instrText>
    </w:r>
    <w:r>
      <w:fldChar w:fldCharType="separate"/>
    </w:r>
    <w:r>
      <w:rPr>
        <w:lang w:val="zh-CN"/>
      </w:rPr>
      <w:t>4</w:t>
    </w:r>
    <w:r>
      <w:fldChar w:fldCharType="end"/>
    </w:r>
  </w:p>
  <w:p w14:paraId="23C7CCF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2E2B"/>
    <w:multiLevelType w:val="multilevel"/>
    <w:tmpl w:val="0CAE2E2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2565C"/>
    <w:rsid w:val="000648FD"/>
    <w:rsid w:val="000677FB"/>
    <w:rsid w:val="00090056"/>
    <w:rsid w:val="000A209A"/>
    <w:rsid w:val="000A6495"/>
    <w:rsid w:val="000C588B"/>
    <w:rsid w:val="00105428"/>
    <w:rsid w:val="00107E6A"/>
    <w:rsid w:val="0012727F"/>
    <w:rsid w:val="001303B6"/>
    <w:rsid w:val="00140AF0"/>
    <w:rsid w:val="001507CE"/>
    <w:rsid w:val="00157667"/>
    <w:rsid w:val="001609FC"/>
    <w:rsid w:val="00162A76"/>
    <w:rsid w:val="00176534"/>
    <w:rsid w:val="0018461B"/>
    <w:rsid w:val="00184B32"/>
    <w:rsid w:val="00184F0A"/>
    <w:rsid w:val="0019262A"/>
    <w:rsid w:val="00192B6A"/>
    <w:rsid w:val="001B03C0"/>
    <w:rsid w:val="001B712C"/>
    <w:rsid w:val="001C0880"/>
    <w:rsid w:val="001C41C3"/>
    <w:rsid w:val="001C7C84"/>
    <w:rsid w:val="001E64A7"/>
    <w:rsid w:val="002204EA"/>
    <w:rsid w:val="00230C9F"/>
    <w:rsid w:val="00237253"/>
    <w:rsid w:val="00241E39"/>
    <w:rsid w:val="00247932"/>
    <w:rsid w:val="002815C8"/>
    <w:rsid w:val="002A4902"/>
    <w:rsid w:val="002A6571"/>
    <w:rsid w:val="002B3A1B"/>
    <w:rsid w:val="002C7137"/>
    <w:rsid w:val="002D68DE"/>
    <w:rsid w:val="003027D7"/>
    <w:rsid w:val="00310E17"/>
    <w:rsid w:val="003113D4"/>
    <w:rsid w:val="00312862"/>
    <w:rsid w:val="00322076"/>
    <w:rsid w:val="003458D7"/>
    <w:rsid w:val="00345D8D"/>
    <w:rsid w:val="003529E4"/>
    <w:rsid w:val="00353EC3"/>
    <w:rsid w:val="0036352F"/>
    <w:rsid w:val="003649AF"/>
    <w:rsid w:val="003750C0"/>
    <w:rsid w:val="00387F40"/>
    <w:rsid w:val="003B1B61"/>
    <w:rsid w:val="003B5C25"/>
    <w:rsid w:val="003D06DB"/>
    <w:rsid w:val="003E4113"/>
    <w:rsid w:val="003E4FDA"/>
    <w:rsid w:val="00426CB3"/>
    <w:rsid w:val="004304E0"/>
    <w:rsid w:val="00453832"/>
    <w:rsid w:val="004951D7"/>
    <w:rsid w:val="004A43F0"/>
    <w:rsid w:val="004B3DFE"/>
    <w:rsid w:val="004B4D4E"/>
    <w:rsid w:val="004E1AAF"/>
    <w:rsid w:val="004E36C2"/>
    <w:rsid w:val="004E4B14"/>
    <w:rsid w:val="00501176"/>
    <w:rsid w:val="0051081D"/>
    <w:rsid w:val="00510891"/>
    <w:rsid w:val="0052535A"/>
    <w:rsid w:val="0053111A"/>
    <w:rsid w:val="0054482E"/>
    <w:rsid w:val="00562C62"/>
    <w:rsid w:val="005633CE"/>
    <w:rsid w:val="00571ADE"/>
    <w:rsid w:val="00580825"/>
    <w:rsid w:val="005853E9"/>
    <w:rsid w:val="0059304A"/>
    <w:rsid w:val="005951EF"/>
    <w:rsid w:val="00597270"/>
    <w:rsid w:val="005A46DF"/>
    <w:rsid w:val="005B62C9"/>
    <w:rsid w:val="005C3DA0"/>
    <w:rsid w:val="005E6A0A"/>
    <w:rsid w:val="005F1571"/>
    <w:rsid w:val="005F401F"/>
    <w:rsid w:val="00611202"/>
    <w:rsid w:val="006237BE"/>
    <w:rsid w:val="00636F27"/>
    <w:rsid w:val="00640733"/>
    <w:rsid w:val="00667CDE"/>
    <w:rsid w:val="006878E9"/>
    <w:rsid w:val="006C2918"/>
    <w:rsid w:val="006C782C"/>
    <w:rsid w:val="006D095D"/>
    <w:rsid w:val="006E4F60"/>
    <w:rsid w:val="006F1D3D"/>
    <w:rsid w:val="00703AC6"/>
    <w:rsid w:val="00710AA5"/>
    <w:rsid w:val="00715B3F"/>
    <w:rsid w:val="00730129"/>
    <w:rsid w:val="00733E3B"/>
    <w:rsid w:val="007554BB"/>
    <w:rsid w:val="0076501A"/>
    <w:rsid w:val="007839AE"/>
    <w:rsid w:val="00785146"/>
    <w:rsid w:val="007A5DE1"/>
    <w:rsid w:val="007F4BD9"/>
    <w:rsid w:val="00800E12"/>
    <w:rsid w:val="00801053"/>
    <w:rsid w:val="0080610F"/>
    <w:rsid w:val="008153D5"/>
    <w:rsid w:val="00823CA9"/>
    <w:rsid w:val="00836F67"/>
    <w:rsid w:val="008403A0"/>
    <w:rsid w:val="0084652E"/>
    <w:rsid w:val="00860346"/>
    <w:rsid w:val="00870113"/>
    <w:rsid w:val="00873F09"/>
    <w:rsid w:val="0089621F"/>
    <w:rsid w:val="008B7ED4"/>
    <w:rsid w:val="008C0BE7"/>
    <w:rsid w:val="008D094B"/>
    <w:rsid w:val="008E7BC9"/>
    <w:rsid w:val="008F2ED3"/>
    <w:rsid w:val="00900D2F"/>
    <w:rsid w:val="00902581"/>
    <w:rsid w:val="00912013"/>
    <w:rsid w:val="00925E61"/>
    <w:rsid w:val="00946EF5"/>
    <w:rsid w:val="00960C84"/>
    <w:rsid w:val="0099177F"/>
    <w:rsid w:val="009920C0"/>
    <w:rsid w:val="00992D9A"/>
    <w:rsid w:val="00994B4F"/>
    <w:rsid w:val="00995789"/>
    <w:rsid w:val="00996E23"/>
    <w:rsid w:val="009B2EF0"/>
    <w:rsid w:val="009D1B7B"/>
    <w:rsid w:val="009D3518"/>
    <w:rsid w:val="009E065B"/>
    <w:rsid w:val="009E1479"/>
    <w:rsid w:val="009F6CAB"/>
    <w:rsid w:val="009F7A2C"/>
    <w:rsid w:val="00A047F0"/>
    <w:rsid w:val="00A161FC"/>
    <w:rsid w:val="00A23A5F"/>
    <w:rsid w:val="00A50CCC"/>
    <w:rsid w:val="00A61746"/>
    <w:rsid w:val="00A7543D"/>
    <w:rsid w:val="00A765E9"/>
    <w:rsid w:val="00A83CF3"/>
    <w:rsid w:val="00A85707"/>
    <w:rsid w:val="00A865ED"/>
    <w:rsid w:val="00AB48E9"/>
    <w:rsid w:val="00AC005D"/>
    <w:rsid w:val="00AC6F95"/>
    <w:rsid w:val="00AE1AFA"/>
    <w:rsid w:val="00AE67A6"/>
    <w:rsid w:val="00AF7468"/>
    <w:rsid w:val="00B015CE"/>
    <w:rsid w:val="00B151BE"/>
    <w:rsid w:val="00B43698"/>
    <w:rsid w:val="00B4481B"/>
    <w:rsid w:val="00B47D50"/>
    <w:rsid w:val="00B72BD6"/>
    <w:rsid w:val="00B91989"/>
    <w:rsid w:val="00B94A57"/>
    <w:rsid w:val="00BA115A"/>
    <w:rsid w:val="00BA359E"/>
    <w:rsid w:val="00BB2053"/>
    <w:rsid w:val="00BB469B"/>
    <w:rsid w:val="00BB7A38"/>
    <w:rsid w:val="00BC3D86"/>
    <w:rsid w:val="00BC7870"/>
    <w:rsid w:val="00BD0727"/>
    <w:rsid w:val="00BD2A79"/>
    <w:rsid w:val="00BE12E8"/>
    <w:rsid w:val="00BE5444"/>
    <w:rsid w:val="00C1098B"/>
    <w:rsid w:val="00C15054"/>
    <w:rsid w:val="00C323C9"/>
    <w:rsid w:val="00C36A51"/>
    <w:rsid w:val="00C50536"/>
    <w:rsid w:val="00C63818"/>
    <w:rsid w:val="00C65379"/>
    <w:rsid w:val="00C65F6B"/>
    <w:rsid w:val="00C82348"/>
    <w:rsid w:val="00C86B9C"/>
    <w:rsid w:val="00CA69DE"/>
    <w:rsid w:val="00CD153F"/>
    <w:rsid w:val="00CD2230"/>
    <w:rsid w:val="00CD4E49"/>
    <w:rsid w:val="00CD50E0"/>
    <w:rsid w:val="00D04B4C"/>
    <w:rsid w:val="00D168F9"/>
    <w:rsid w:val="00D324D9"/>
    <w:rsid w:val="00D41788"/>
    <w:rsid w:val="00D45ED1"/>
    <w:rsid w:val="00D56E82"/>
    <w:rsid w:val="00D9215C"/>
    <w:rsid w:val="00D94396"/>
    <w:rsid w:val="00D969F9"/>
    <w:rsid w:val="00D97FEA"/>
    <w:rsid w:val="00DB6ED1"/>
    <w:rsid w:val="00DC1928"/>
    <w:rsid w:val="00DC5621"/>
    <w:rsid w:val="00DD30EA"/>
    <w:rsid w:val="00DF1EA0"/>
    <w:rsid w:val="00DF5062"/>
    <w:rsid w:val="00E01AB2"/>
    <w:rsid w:val="00E02FC1"/>
    <w:rsid w:val="00E0581E"/>
    <w:rsid w:val="00E1130A"/>
    <w:rsid w:val="00E22081"/>
    <w:rsid w:val="00E4264C"/>
    <w:rsid w:val="00E720F2"/>
    <w:rsid w:val="00E73399"/>
    <w:rsid w:val="00E74CB1"/>
    <w:rsid w:val="00E7573D"/>
    <w:rsid w:val="00E821CF"/>
    <w:rsid w:val="00E840F6"/>
    <w:rsid w:val="00E85911"/>
    <w:rsid w:val="00E914D3"/>
    <w:rsid w:val="00E931F1"/>
    <w:rsid w:val="00EE43FB"/>
    <w:rsid w:val="00EF0A1D"/>
    <w:rsid w:val="00F00F12"/>
    <w:rsid w:val="00F02FA0"/>
    <w:rsid w:val="00F072C1"/>
    <w:rsid w:val="00F07693"/>
    <w:rsid w:val="00F10369"/>
    <w:rsid w:val="00F17DEA"/>
    <w:rsid w:val="00F35137"/>
    <w:rsid w:val="00F3574E"/>
    <w:rsid w:val="00F43286"/>
    <w:rsid w:val="00F57DCD"/>
    <w:rsid w:val="00F9789E"/>
    <w:rsid w:val="00FB00E1"/>
    <w:rsid w:val="00FC1111"/>
    <w:rsid w:val="00FC3BB8"/>
    <w:rsid w:val="00FE1B41"/>
    <w:rsid w:val="00FF21F2"/>
    <w:rsid w:val="00FF339E"/>
    <w:rsid w:val="00FF47AD"/>
    <w:rsid w:val="00FF698C"/>
    <w:rsid w:val="1BC72B84"/>
    <w:rsid w:val="2E601D74"/>
    <w:rsid w:val="4E9623A2"/>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link w:val="2"/>
    <w:qFormat/>
    <w:uiPriority w:val="0"/>
    <w:rPr>
      <w:rFonts w:ascii="宋体" w:hAnsi="Courier New" w:eastAsia="宋体"/>
    </w:rPr>
  </w:style>
  <w:style w:type="character" w:customStyle="1" w:styleId="11">
    <w:name w:val="页脚 字符"/>
    <w:link w:val="4"/>
    <w:qFormat/>
    <w:uiPriority w:val="0"/>
    <w:rPr>
      <w:sz w:val="18"/>
    </w:rPr>
  </w:style>
  <w:style w:type="character" w:customStyle="1" w:styleId="12">
    <w:name w:val="标题 字符"/>
    <w:link w:val="6"/>
    <w:qFormat/>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字符"/>
    <w:basedOn w:val="9"/>
    <w:link w:val="5"/>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 w:type="character" w:customStyle="1" w:styleId="18">
    <w:name w:val="批注框文本 字符"/>
    <w:basedOn w:val="9"/>
    <w:link w:val="3"/>
    <w:semiHidden/>
    <w:qFormat/>
    <w:uiPriority w:val="99"/>
    <w:rPr>
      <w:rFonts w:ascii="Times New Roman" w:hAnsi="Times New Roman" w:eastAsia="宋体" w:cs="Times New Roman"/>
      <w:sz w:val="18"/>
      <w:szCs w:val="18"/>
    </w:rPr>
  </w:style>
  <w:style w:type="paragraph" w:customStyle="1" w:styleId="19">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2910</Words>
  <Characters>3048</Characters>
  <Lines>15</Lines>
  <Paragraphs>90</Paragraphs>
  <TotalTime>1756</TotalTime>
  <ScaleCrop>false</ScaleCrop>
  <LinksUpToDate>false</LinksUpToDate>
  <CharactersWithSpaces>3144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薄荷叶</cp:lastModifiedBy>
  <dcterms:modified xsi:type="dcterms:W3CDTF">2025-05-08T02:28:33Z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FD47254428C546C79753499200788EBF</vt:lpwstr>
  </property>
  <property fmtid="{D5CDD505-2E9C-101B-9397-08002B2CF9AE}" pid="4" name="KSOTemplateDocerSaveRecord">
    <vt:lpwstr>eyJoZGlkIjoiMmY4YTcxOWEwZDk0NGRmMmQ0YjFhZTQzNTFkYTY1ZjQiLCJ1c2VySWQiOiI0ODU3Mzg1NjkifQ==</vt:lpwstr>
  </property>
</Properties>
</file>