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sz w:val="36"/>
        </w:rPr>
      </w:pPr>
      <w:bookmarkStart w:id="0" w:name="_Toc38367762"/>
      <w:r>
        <w:rPr>
          <w:rFonts w:hint="eastAsia" w:ascii="宋体" w:hAnsi="宋体"/>
          <w:sz w:val="36"/>
        </w:rPr>
        <w:t>【西安交通大学2025年</w:t>
      </w:r>
      <w:r>
        <w:rPr>
          <w:rFonts w:ascii="宋体" w:hAnsi="宋体"/>
          <w:sz w:val="36"/>
        </w:rPr>
        <w:t>教职工</w:t>
      </w:r>
      <w:r>
        <w:rPr>
          <w:rFonts w:hint="eastAsia" w:ascii="宋体" w:hAnsi="宋体"/>
          <w:sz w:val="36"/>
        </w:rPr>
        <w:t>体检】</w:t>
      </w:r>
      <w:r>
        <w:rPr>
          <w:rFonts w:ascii="宋体" w:hAnsi="宋体"/>
          <w:sz w:val="36"/>
        </w:rPr>
        <w:t>采购需求</w:t>
      </w:r>
      <w:bookmarkEnd w:id="0"/>
    </w:p>
    <w:p>
      <w:pPr>
        <w:tabs>
          <w:tab w:val="left" w:pos="900"/>
        </w:tabs>
        <w:spacing w:before="156" w:beforeLines="50" w:line="360" w:lineRule="auto"/>
        <w:rPr>
          <w:b/>
          <w:szCs w:val="21"/>
        </w:rPr>
      </w:pPr>
      <w:bookmarkStart w:id="1" w:name="_Toc219271393"/>
      <w:bookmarkStart w:id="2" w:name="_Toc158978330"/>
      <w:bookmarkStart w:id="3" w:name="_Toc172360661"/>
      <w:r>
        <w:rPr>
          <w:rFonts w:hint="eastAsia" w:hAnsi="宋体"/>
          <w:b/>
          <w:szCs w:val="21"/>
        </w:rPr>
        <w:t>一、</w:t>
      </w:r>
      <w:r>
        <w:rPr>
          <w:rFonts w:hAnsi="宋体"/>
          <w:b/>
          <w:szCs w:val="21"/>
        </w:rPr>
        <w:t>采购</w:t>
      </w:r>
      <w:r>
        <w:rPr>
          <w:rFonts w:hint="eastAsia" w:hAnsi="宋体"/>
          <w:b/>
          <w:szCs w:val="21"/>
        </w:rPr>
        <w:t>标的</w:t>
      </w:r>
      <w:r>
        <w:rPr>
          <w:rFonts w:hAnsi="宋体"/>
          <w:b/>
          <w:szCs w:val="21"/>
        </w:rPr>
        <w:t>需实现的功能或者目标，以及为落实政府采购政策需满足的要求：</w:t>
      </w:r>
    </w:p>
    <w:p>
      <w:pPr>
        <w:tabs>
          <w:tab w:val="left" w:pos="900"/>
        </w:tabs>
        <w:spacing w:before="156" w:beforeLines="50" w:line="360" w:lineRule="auto"/>
        <w:rPr>
          <w:b/>
          <w:szCs w:val="21"/>
        </w:rPr>
      </w:pPr>
      <w:r>
        <w:rPr>
          <w:rFonts w:hAnsi="宋体"/>
          <w:b/>
          <w:szCs w:val="21"/>
        </w:rPr>
        <w:t>（一）采购</w:t>
      </w:r>
      <w:r>
        <w:rPr>
          <w:rFonts w:hint="eastAsia" w:hAnsi="宋体"/>
          <w:b/>
          <w:szCs w:val="21"/>
        </w:rPr>
        <w:t>标的</w:t>
      </w:r>
      <w:r>
        <w:rPr>
          <w:rFonts w:hAnsi="宋体"/>
          <w:b/>
          <w:szCs w:val="21"/>
        </w:rPr>
        <w:t>需实现的功能或者目标</w:t>
      </w:r>
    </w:p>
    <w:p>
      <w:pPr>
        <w:autoSpaceDE w:val="0"/>
        <w:autoSpaceDN w:val="0"/>
        <w:adjustRightInd w:val="0"/>
        <w:spacing w:before="50" w:line="360" w:lineRule="auto"/>
        <w:ind w:firstLine="420" w:firstLineChars="200"/>
        <w:rPr>
          <w:rFonts w:hAnsi="宋体"/>
        </w:rPr>
      </w:pPr>
      <w:r>
        <w:rPr>
          <w:rFonts w:hint="eastAsia" w:hAnsi="宋体"/>
        </w:rPr>
        <w:t>学校工会为教职工购买2025年健康体检服务。</w:t>
      </w:r>
    </w:p>
    <w:p>
      <w:pPr>
        <w:autoSpaceDE w:val="0"/>
        <w:autoSpaceDN w:val="0"/>
        <w:adjustRightInd w:val="0"/>
        <w:spacing w:before="50" w:line="400" w:lineRule="exact"/>
        <w:ind w:firstLine="420" w:firstLineChars="200"/>
        <w:rPr>
          <w:rFonts w:hAnsi="宋体"/>
          <w:szCs w:val="21"/>
        </w:rPr>
      </w:pPr>
      <w:r>
        <w:rPr>
          <w:rFonts w:hint="eastAsia" w:hAnsi="宋体"/>
          <w:szCs w:val="21"/>
        </w:rPr>
        <w:t>拟遴选最多三家单位承接本项服务。有效投标人数量N：当</w:t>
      </w:r>
      <w:r>
        <w:rPr>
          <w:rFonts w:hint="eastAsia" w:hAnsi="宋体"/>
        </w:rPr>
        <w:t>N</w:t>
      </w:r>
      <w:r>
        <w:t>&gt;</w:t>
      </w:r>
      <w:r>
        <w:rPr>
          <w:rFonts w:hint="eastAsia" w:hAnsi="宋体"/>
        </w:rPr>
        <w:t>4时，遴选3家符合条件的单位；</w:t>
      </w:r>
      <w:r>
        <w:rPr>
          <w:rFonts w:hint="eastAsia" w:hAnsi="宋体"/>
          <w:szCs w:val="21"/>
        </w:rPr>
        <w:t>当2</w:t>
      </w:r>
      <w:r>
        <w:rPr>
          <w:rFonts w:hint="eastAsia" w:hAnsi="宋体"/>
        </w:rPr>
        <w:t>＜N≤4</w:t>
      </w:r>
      <w:r>
        <w:rPr>
          <w:rFonts w:hint="eastAsia" w:hAnsi="宋体"/>
          <w:szCs w:val="21"/>
        </w:rPr>
        <w:t>时，</w:t>
      </w:r>
      <w:r>
        <w:rPr>
          <w:rFonts w:hint="eastAsia" w:hAnsi="宋体"/>
        </w:rPr>
        <w:t>遴选N-2家符合条件的单位</w:t>
      </w:r>
      <w:r>
        <w:rPr>
          <w:rFonts w:hint="eastAsia" w:hAnsi="宋体"/>
          <w:szCs w:val="21"/>
        </w:rPr>
        <w:t>；当N</w:t>
      </w:r>
      <w:r>
        <w:rPr>
          <w:rFonts w:hint="eastAsia" w:hAnsi="宋体"/>
        </w:rPr>
        <w:t>≤2</w:t>
      </w:r>
      <w:r>
        <w:rPr>
          <w:rFonts w:hint="eastAsia" w:hAnsi="宋体"/>
          <w:szCs w:val="21"/>
        </w:rPr>
        <w:t>时，项目终止。</w:t>
      </w:r>
    </w:p>
    <w:p>
      <w:pPr>
        <w:tabs>
          <w:tab w:val="left" w:pos="900"/>
        </w:tabs>
        <w:spacing w:before="156" w:beforeLines="50" w:line="360" w:lineRule="auto"/>
        <w:rPr>
          <w:b/>
          <w:szCs w:val="21"/>
        </w:rPr>
      </w:pPr>
      <w:r>
        <w:rPr>
          <w:rFonts w:hAnsi="宋体"/>
          <w:b/>
          <w:szCs w:val="21"/>
        </w:rPr>
        <w:t>（二）为落实政府采购政策需满足的要求</w:t>
      </w:r>
    </w:p>
    <w:p>
      <w:pPr>
        <w:tabs>
          <w:tab w:val="left" w:pos="900"/>
        </w:tabs>
        <w:spacing w:before="156" w:beforeLines="50" w:line="360" w:lineRule="auto"/>
        <w:ind w:firstLine="420" w:firstLineChars="200"/>
        <w:rPr>
          <w:rFonts w:hAnsi="宋体"/>
          <w:szCs w:val="21"/>
        </w:rPr>
      </w:pPr>
      <w:r>
        <w:rPr>
          <w:rFonts w:hAnsi="宋体"/>
          <w:szCs w:val="24"/>
        </w:rPr>
        <w:t>根据</w:t>
      </w:r>
      <w:r>
        <w:rPr>
          <w:szCs w:val="21"/>
        </w:rPr>
        <w:t>《政府采购促进中小企业发展管理办法》</w:t>
      </w:r>
      <w:r>
        <w:rPr>
          <w:rFonts w:hint="eastAsia" w:hAnsi="宋体"/>
        </w:rPr>
        <w:t>（财库【2</w:t>
      </w:r>
      <w:r>
        <w:rPr>
          <w:rFonts w:hAnsi="宋体"/>
        </w:rPr>
        <w:t>020</w:t>
      </w:r>
      <w:r>
        <w:rPr>
          <w:rFonts w:hint="eastAsia" w:hAnsi="宋体"/>
        </w:rPr>
        <w:t>】4</w:t>
      </w:r>
      <w:r>
        <w:rPr>
          <w:rFonts w:hAnsi="宋体"/>
        </w:rPr>
        <w:t>6</w:t>
      </w:r>
      <w:r>
        <w:rPr>
          <w:rFonts w:hint="eastAsia" w:hAnsi="宋体"/>
        </w:rPr>
        <w:t>号）</w:t>
      </w:r>
      <w:r>
        <w:rPr>
          <w:rFonts w:hAnsi="宋体"/>
        </w:rPr>
        <w:t>规定，本项目</w:t>
      </w:r>
      <w:r>
        <w:rPr>
          <w:rFonts w:hint="eastAsia" w:hAnsi="宋体"/>
        </w:rPr>
        <w:t>采购标的</w:t>
      </w:r>
      <w:r>
        <w:rPr>
          <w:rFonts w:hAnsi="宋体"/>
        </w:rPr>
        <w:t>为</w:t>
      </w:r>
      <w:r>
        <w:rPr>
          <w:rFonts w:hint="eastAsia" w:hAnsi="宋体"/>
        </w:rPr>
        <w:t>中小</w:t>
      </w:r>
      <w:r>
        <w:rPr>
          <w:rFonts w:hAnsi="宋体"/>
        </w:rPr>
        <w:t>型企业</w:t>
      </w:r>
      <w:r>
        <w:rPr>
          <w:rFonts w:hint="eastAsia" w:hAnsi="宋体"/>
        </w:rPr>
        <w:t>制造、承建或承接</w:t>
      </w:r>
      <w:r>
        <w:rPr>
          <w:rFonts w:hAnsi="宋体"/>
          <w:szCs w:val="24"/>
        </w:rPr>
        <w:t>的，</w:t>
      </w:r>
      <w:r>
        <w:rPr>
          <w:rFonts w:hAnsi="宋体"/>
        </w:rPr>
        <w:t>投标人应</w:t>
      </w:r>
      <w:r>
        <w:rPr>
          <w:rFonts w:hint="eastAsia" w:hAnsi="宋体"/>
        </w:rPr>
        <w:t>提供办法规定的</w:t>
      </w:r>
      <w:r>
        <w:rPr>
          <w:rFonts w:hAnsi="宋体"/>
          <w:szCs w:val="21"/>
        </w:rPr>
        <w:t>《中小企业声明函》</w:t>
      </w:r>
      <w:r>
        <w:rPr>
          <w:rFonts w:hint="eastAsia" w:hAnsi="宋体"/>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pPr>
        <w:tabs>
          <w:tab w:val="left" w:pos="900"/>
        </w:tabs>
        <w:spacing w:line="360" w:lineRule="auto"/>
        <w:ind w:left="420"/>
        <w:rPr>
          <w:rFonts w:hAnsi="宋体"/>
          <w:szCs w:val="24"/>
        </w:rPr>
      </w:pPr>
      <w:r>
        <w:rPr>
          <w:rFonts w:hint="eastAsia" w:hAnsi="宋体"/>
          <w:szCs w:val="24"/>
        </w:rPr>
        <w:t>本项目采购标的对应的《中小企业划型标准规定》所属行业为：</w:t>
      </w:r>
      <w:r>
        <w:rPr>
          <w:rFonts w:hint="eastAsia" w:hAnsi="宋体"/>
          <w:szCs w:val="24"/>
          <w:u w:val="single"/>
        </w:rPr>
        <w:t xml:space="preserve"> </w:t>
      </w:r>
      <w:r>
        <w:rPr>
          <w:rFonts w:hAnsi="宋体"/>
          <w:szCs w:val="24"/>
          <w:u w:val="single"/>
        </w:rPr>
        <w:t xml:space="preserve"> </w:t>
      </w:r>
      <w:r>
        <w:rPr>
          <w:rFonts w:hint="eastAsia" w:hAnsi="宋体"/>
          <w:szCs w:val="24"/>
          <w:u w:val="single"/>
        </w:rPr>
        <w:t>其他未列明行业</w:t>
      </w:r>
      <w:r>
        <w:rPr>
          <w:rFonts w:hAnsi="宋体"/>
          <w:szCs w:val="24"/>
          <w:u w:val="single"/>
        </w:rPr>
        <w:t xml:space="preserve">     </w:t>
      </w:r>
      <w:r>
        <w:rPr>
          <w:rFonts w:hint="eastAsia" w:hAnsi="宋体"/>
          <w:szCs w:val="24"/>
        </w:rPr>
        <w:t>。</w:t>
      </w:r>
    </w:p>
    <w:p>
      <w:pPr>
        <w:tabs>
          <w:tab w:val="left" w:pos="900"/>
        </w:tabs>
        <w:spacing w:before="156" w:beforeLines="50" w:line="360" w:lineRule="auto"/>
        <w:rPr>
          <w:rFonts w:hAnsi="宋体"/>
          <w:b/>
          <w:szCs w:val="21"/>
        </w:rPr>
      </w:pPr>
      <w:r>
        <w:rPr>
          <w:rFonts w:hint="eastAsia" w:hAnsi="宋体"/>
          <w:b/>
          <w:szCs w:val="21"/>
        </w:rPr>
        <w:t>二、</w:t>
      </w:r>
      <w:r>
        <w:rPr>
          <w:rFonts w:hAnsi="宋体"/>
          <w:b/>
          <w:szCs w:val="21"/>
        </w:rPr>
        <w:t>采购</w:t>
      </w:r>
      <w:r>
        <w:rPr>
          <w:rFonts w:hint="eastAsia" w:hAnsi="宋体"/>
          <w:b/>
          <w:szCs w:val="21"/>
        </w:rPr>
        <w:t>标的</w:t>
      </w:r>
      <w:r>
        <w:rPr>
          <w:rFonts w:hAnsi="宋体"/>
          <w:b/>
          <w:szCs w:val="21"/>
        </w:rPr>
        <w:t>需执行的国家相关标准、行业标准、地方标准或者其他标准、规范：</w:t>
      </w:r>
    </w:p>
    <w:p>
      <w:pPr>
        <w:tabs>
          <w:tab w:val="left" w:pos="900"/>
        </w:tabs>
        <w:spacing w:before="156" w:beforeLines="50" w:line="360" w:lineRule="auto"/>
        <w:ind w:firstLine="420" w:firstLineChars="20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w:t>
      </w:r>
    </w:p>
    <w:p>
      <w:pPr>
        <w:tabs>
          <w:tab w:val="left" w:pos="900"/>
        </w:tabs>
        <w:spacing w:before="156" w:beforeLines="50" w:line="360" w:lineRule="auto"/>
        <w:rPr>
          <w:rFonts w:hAnsi="宋体"/>
          <w:b/>
          <w:szCs w:val="21"/>
        </w:rPr>
      </w:pPr>
      <w:r>
        <w:rPr>
          <w:rFonts w:hint="eastAsia" w:hAnsi="宋体"/>
          <w:b/>
          <w:szCs w:val="21"/>
        </w:rPr>
        <w:t>三、采购标的概况</w:t>
      </w:r>
    </w:p>
    <w:p>
      <w:pPr>
        <w:spacing w:before="156" w:beforeLines="50" w:line="360" w:lineRule="auto"/>
        <w:rPr>
          <w:rFonts w:hAnsi="宋体"/>
          <w:szCs w:val="21"/>
        </w:rPr>
      </w:pPr>
      <w:r>
        <w:rPr>
          <w:rFonts w:hint="eastAsia" w:ascii="宋体" w:hAnsi="宋体"/>
          <w:szCs w:val="21"/>
        </w:rPr>
        <w:t>（一）采购项目名称：</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西安交通大学2025年教职工体检</w:t>
      </w:r>
      <w:r>
        <w:rPr>
          <w:rFonts w:ascii="宋体" w:hAnsi="宋体"/>
          <w:szCs w:val="21"/>
          <w:u w:val="single"/>
        </w:rPr>
        <w:t xml:space="preserve">      </w:t>
      </w:r>
    </w:p>
    <w:p>
      <w:pPr>
        <w:spacing w:before="156" w:beforeLines="50" w:line="360" w:lineRule="auto"/>
        <w:rPr>
          <w:rFonts w:hAnsi="宋体"/>
          <w:szCs w:val="21"/>
          <w:u w:val="single"/>
        </w:rPr>
      </w:pPr>
      <w:r>
        <w:rPr>
          <w:rFonts w:hint="eastAsia" w:hAnsi="宋体"/>
          <w:szCs w:val="21"/>
        </w:rPr>
        <w:t>（二）采购数量及计量单位：</w:t>
      </w:r>
      <w:r>
        <w:rPr>
          <w:rFonts w:hAnsi="宋体"/>
          <w:szCs w:val="21"/>
          <w:u w:val="single"/>
        </w:rPr>
        <w:t xml:space="preserve">   </w:t>
      </w:r>
      <w:r>
        <w:rPr>
          <w:rFonts w:hint="eastAsia" w:hAnsi="宋体"/>
          <w:szCs w:val="21"/>
          <w:u w:val="single"/>
        </w:rPr>
        <w:t>预估</w:t>
      </w:r>
      <w:r>
        <w:rPr>
          <w:rFonts w:hAnsi="宋体"/>
          <w:szCs w:val="21"/>
          <w:u w:val="single"/>
        </w:rPr>
        <w:t>6</w:t>
      </w:r>
      <w:r>
        <w:rPr>
          <w:rFonts w:hint="eastAsia" w:hAnsi="宋体"/>
          <w:szCs w:val="21"/>
          <w:u w:val="single"/>
        </w:rPr>
        <w:t>6</w:t>
      </w:r>
      <w:r>
        <w:rPr>
          <w:rFonts w:hAnsi="宋体"/>
          <w:szCs w:val="21"/>
          <w:u w:val="single"/>
        </w:rPr>
        <w:t>00</w:t>
      </w:r>
      <w:r>
        <w:rPr>
          <w:rFonts w:hint="eastAsia" w:hAnsi="宋体"/>
          <w:szCs w:val="21"/>
          <w:u w:val="single"/>
        </w:rPr>
        <w:t>人</w:t>
      </w:r>
      <w:r>
        <w:rPr>
          <w:rFonts w:hAnsi="宋体"/>
          <w:szCs w:val="21"/>
          <w:u w:val="single"/>
        </w:rPr>
        <w:t xml:space="preserve">      </w:t>
      </w:r>
    </w:p>
    <w:p>
      <w:pPr>
        <w:spacing w:before="156" w:beforeLines="50" w:line="360" w:lineRule="auto"/>
        <w:rPr>
          <w:rFonts w:hAnsi="宋体"/>
          <w:szCs w:val="21"/>
        </w:rPr>
      </w:pPr>
      <w:r>
        <w:rPr>
          <w:rFonts w:hint="eastAsia" w:hAnsi="宋体"/>
          <w:szCs w:val="21"/>
        </w:rPr>
        <w:t>（三）最高限价：人民币</w:t>
      </w:r>
      <w:r>
        <w:rPr>
          <w:rFonts w:hint="eastAsia" w:hAnsi="宋体"/>
          <w:szCs w:val="21"/>
          <w:u w:val="single"/>
        </w:rPr>
        <w:t xml:space="preserve"> </w:t>
      </w:r>
      <w:r>
        <w:rPr>
          <w:rFonts w:hAnsi="宋体"/>
          <w:szCs w:val="21"/>
          <w:u w:val="single"/>
        </w:rPr>
        <w:t xml:space="preserve"> </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660万</w:t>
      </w:r>
      <w:r>
        <w:rPr>
          <w:rFonts w:hAnsi="宋体"/>
          <w:color w:val="000000" w:themeColor="text1"/>
          <w:szCs w:val="21"/>
          <w:u w:val="single"/>
          <w14:textFill>
            <w14:solidFill>
              <w14:schemeClr w14:val="tx1"/>
            </w14:solidFill>
          </w14:textFill>
        </w:rPr>
        <w:t xml:space="preserve">  </w:t>
      </w:r>
      <w:r>
        <w:rPr>
          <w:rFonts w:hAnsi="宋体"/>
          <w:szCs w:val="21"/>
          <w:u w:val="single"/>
        </w:rPr>
        <w:t xml:space="preserve">   </w:t>
      </w:r>
      <w:r>
        <w:rPr>
          <w:rFonts w:hAnsi="宋体"/>
          <w:szCs w:val="21"/>
        </w:rPr>
        <w:t xml:space="preserve"> </w:t>
      </w:r>
      <w:r>
        <w:rPr>
          <w:rFonts w:hint="eastAsia" w:hAnsi="宋体"/>
          <w:szCs w:val="21"/>
        </w:rPr>
        <w:t>元</w:t>
      </w:r>
    </w:p>
    <w:p>
      <w:pPr>
        <w:spacing w:before="156" w:beforeLines="50" w:line="360" w:lineRule="auto"/>
        <w:rPr>
          <w:szCs w:val="21"/>
        </w:rPr>
      </w:pPr>
      <w:r>
        <w:rPr>
          <w:rFonts w:hint="eastAsia" w:hAnsi="宋体"/>
          <w:szCs w:val="21"/>
        </w:rPr>
        <w:t>（四）</w:t>
      </w:r>
      <w:r>
        <w:rPr>
          <w:rFonts w:hAnsi="宋体"/>
          <w:szCs w:val="21"/>
        </w:rPr>
        <w:t>服务期</w:t>
      </w:r>
      <w:r>
        <w:rPr>
          <w:rFonts w:hint="eastAsia" w:hAnsi="宋体"/>
          <w:szCs w:val="21"/>
        </w:rPr>
        <w:t>限</w:t>
      </w:r>
      <w:r>
        <w:rPr>
          <w:rFonts w:hAnsi="宋体"/>
          <w:szCs w:val="21"/>
        </w:rPr>
        <w:t>：</w:t>
      </w:r>
      <w:r>
        <w:rPr>
          <w:rFonts w:hint="eastAsia" w:hAnsi="宋体"/>
          <w:color w:val="000000" w:themeColor="text1"/>
          <w:u w:val="single"/>
          <w14:textFill>
            <w14:solidFill>
              <w14:schemeClr w14:val="tx1"/>
            </w14:solidFill>
          </w14:textFill>
        </w:rPr>
        <w:t xml:space="preserve"> 合同签订后300天内 </w:t>
      </w:r>
      <w:r>
        <w:rPr>
          <w:rFonts w:hint="eastAsia" w:hAnsi="宋体"/>
          <w:u w:val="single"/>
        </w:rPr>
        <w:t xml:space="preserve"> </w:t>
      </w:r>
    </w:p>
    <w:p>
      <w:pPr>
        <w:tabs>
          <w:tab w:val="left" w:pos="900"/>
        </w:tabs>
        <w:spacing w:before="156" w:beforeLines="50" w:line="360" w:lineRule="auto"/>
        <w:rPr>
          <w:rFonts w:hAnsi="宋体"/>
          <w:szCs w:val="21"/>
        </w:rPr>
      </w:pPr>
      <w:r>
        <w:rPr>
          <w:rFonts w:hint="eastAsia" w:hAnsi="宋体"/>
          <w:szCs w:val="21"/>
        </w:rPr>
        <w:t>（五）服务</w:t>
      </w:r>
      <w:r>
        <w:rPr>
          <w:rFonts w:hAnsi="宋体"/>
          <w:szCs w:val="21"/>
        </w:rPr>
        <w:t>地点：</w:t>
      </w:r>
      <w:r>
        <w:rPr>
          <w:rFonts w:hint="eastAsia" w:hAnsi="宋体"/>
          <w:szCs w:val="21"/>
          <w:u w:val="single"/>
        </w:rPr>
        <w:t xml:space="preserve">  </w:t>
      </w:r>
      <w:r>
        <w:rPr>
          <w:rFonts w:hAnsi="宋体"/>
          <w:szCs w:val="21"/>
          <w:u w:val="single"/>
        </w:rPr>
        <w:t xml:space="preserve">  </w:t>
      </w:r>
      <w:r>
        <w:rPr>
          <w:rFonts w:hint="eastAsia" w:hAnsi="宋体"/>
          <w:szCs w:val="21"/>
          <w:u w:val="single"/>
        </w:rPr>
        <w:t>各体检机构</w:t>
      </w:r>
      <w:r>
        <w:rPr>
          <w:rFonts w:hAnsi="宋体"/>
          <w:szCs w:val="21"/>
          <w:u w:val="single"/>
        </w:rPr>
        <w:t xml:space="preserve">         </w:t>
      </w:r>
    </w:p>
    <w:p>
      <w:pPr>
        <w:tabs>
          <w:tab w:val="left" w:pos="900"/>
        </w:tabs>
        <w:spacing w:before="156" w:beforeLines="50" w:line="360" w:lineRule="auto"/>
        <w:rPr>
          <w:rFonts w:hAnsi="宋体"/>
          <w:szCs w:val="21"/>
        </w:rPr>
      </w:pPr>
      <w:r>
        <w:rPr>
          <w:rFonts w:hint="eastAsia" w:hAnsi="宋体"/>
          <w:szCs w:val="21"/>
        </w:rPr>
        <w:t>（六）付款进度安排：</w:t>
      </w:r>
      <w:r>
        <w:rPr>
          <w:rFonts w:hint="eastAsia" w:hAnsi="宋体"/>
          <w:szCs w:val="21"/>
          <w:u w:val="single"/>
        </w:rPr>
        <w:t xml:space="preserve">  </w:t>
      </w:r>
      <w:r>
        <w:rPr>
          <w:rFonts w:hAnsi="宋体"/>
          <w:szCs w:val="21"/>
          <w:u w:val="single"/>
        </w:rPr>
        <w:t xml:space="preserve">    </w:t>
      </w:r>
      <w:r>
        <w:rPr>
          <w:rFonts w:hint="eastAsia" w:hAnsi="宋体"/>
          <w:szCs w:val="21"/>
          <w:u w:val="single"/>
        </w:rPr>
        <w:t>采购人不对</w:t>
      </w:r>
      <w:r>
        <w:rPr>
          <w:rFonts w:hint="eastAsia" w:hAnsi="宋体"/>
          <w:szCs w:val="21"/>
          <w:u w:val="single"/>
          <w:lang w:val="en-US" w:eastAsia="zh-CN"/>
        </w:rPr>
        <w:t>入围</w:t>
      </w:r>
      <w:r>
        <w:rPr>
          <w:rFonts w:hint="eastAsia" w:hAnsi="宋体"/>
          <w:szCs w:val="21"/>
          <w:u w:val="single"/>
        </w:rPr>
        <w:t>单位的业务量做出承诺，</w:t>
      </w:r>
      <w:r>
        <w:rPr>
          <w:rFonts w:hint="eastAsia" w:hAnsi="宋体"/>
          <w:szCs w:val="21"/>
          <w:u w:val="single"/>
          <w:lang w:val="en-US" w:eastAsia="zh-CN"/>
        </w:rPr>
        <w:t>入围</w:t>
      </w:r>
      <w:r>
        <w:rPr>
          <w:rFonts w:hint="eastAsia" w:hAnsi="宋体"/>
          <w:szCs w:val="21"/>
          <w:u w:val="single"/>
        </w:rPr>
        <w:t>单位的业务量根据教职工个人选择而定，结算时以实际</w:t>
      </w:r>
      <w:r>
        <w:rPr>
          <w:rFonts w:hint="eastAsia" w:hAnsi="宋体"/>
          <w:szCs w:val="21"/>
          <w:u w:val="single"/>
          <w:lang w:val="en-US" w:eastAsia="zh-CN"/>
        </w:rPr>
        <w:t>体检人数</w:t>
      </w:r>
      <w:r>
        <w:rPr>
          <w:rFonts w:hint="eastAsia" w:hAnsi="宋体"/>
          <w:szCs w:val="21"/>
          <w:u w:val="single"/>
        </w:rPr>
        <w:t>为准，</w:t>
      </w:r>
      <w:r>
        <w:rPr>
          <w:rFonts w:hint="eastAsia" w:hAnsi="宋体"/>
          <w:szCs w:val="21"/>
          <w:u w:val="single"/>
          <w:lang w:val="en-US" w:eastAsia="zh-CN"/>
        </w:rPr>
        <w:t>双方确认无误后据实结算。</w:t>
      </w:r>
      <w:r>
        <w:rPr>
          <w:rFonts w:hAnsi="宋体"/>
          <w:szCs w:val="21"/>
          <w:u w:val="single"/>
        </w:rPr>
        <w:t xml:space="preserve">      </w:t>
      </w:r>
    </w:p>
    <w:p>
      <w:pPr>
        <w:tabs>
          <w:tab w:val="left" w:pos="900"/>
        </w:tabs>
        <w:spacing w:before="156" w:beforeLines="50" w:line="360" w:lineRule="auto"/>
        <w:rPr>
          <w:rFonts w:hAnsi="宋体"/>
          <w:bCs/>
          <w:szCs w:val="21"/>
        </w:rPr>
      </w:pPr>
      <w:r>
        <w:rPr>
          <w:rFonts w:hint="eastAsia" w:hAnsi="宋体"/>
          <w:b/>
          <w:szCs w:val="21"/>
        </w:rPr>
        <w:t>四、体检套餐</w:t>
      </w:r>
    </w:p>
    <w:p>
      <w:pPr>
        <w:tabs>
          <w:tab w:val="left" w:pos="900"/>
        </w:tabs>
        <w:spacing w:before="156" w:beforeLines="50" w:line="360" w:lineRule="auto"/>
        <w:ind w:firstLine="420" w:firstLineChars="200"/>
        <w:rPr>
          <w:rFonts w:hAnsi="宋体"/>
          <w:bCs/>
          <w:szCs w:val="21"/>
        </w:rPr>
      </w:pPr>
      <w:r>
        <w:rPr>
          <w:rFonts w:hint="eastAsia" w:ascii="宋体" w:hAnsi="宋体"/>
          <w:szCs w:val="21"/>
        </w:rPr>
        <w:t>（一）</w:t>
      </w:r>
      <w:r>
        <w:rPr>
          <w:rFonts w:hint="eastAsia" w:hAnsi="宋体"/>
          <w:szCs w:val="21"/>
        </w:rPr>
        <w:t>投标单位需提供</w:t>
      </w:r>
      <w:r>
        <w:rPr>
          <w:rFonts w:hint="eastAsia" w:hAnsi="宋体"/>
          <w:bCs/>
          <w:szCs w:val="21"/>
        </w:rPr>
        <w:t>“男”、“女”两项体检套餐，</w:t>
      </w:r>
      <w:r>
        <w:rPr>
          <w:rFonts w:hint="eastAsia" w:ascii="宋体" w:hAnsi="宋体"/>
          <w:szCs w:val="21"/>
        </w:rPr>
        <w:t>套餐价格固定为1000元，</w:t>
      </w:r>
      <w:r>
        <w:rPr>
          <w:rFonts w:hint="eastAsia" w:hAnsi="宋体"/>
          <w:bCs/>
          <w:szCs w:val="21"/>
        </w:rPr>
        <w:t>两项套餐中必须包含下表中相应的基础体检项目。在基础项目之</w:t>
      </w:r>
      <w:r>
        <w:rPr>
          <w:rFonts w:hint="eastAsia" w:hAnsi="宋体"/>
          <w:bCs/>
          <w:szCs w:val="21"/>
          <w:lang w:val="en-US" w:eastAsia="zh-CN"/>
        </w:rPr>
        <w:t>外</w:t>
      </w:r>
      <w:r>
        <w:rPr>
          <w:rFonts w:hint="eastAsia" w:hAnsi="宋体"/>
          <w:bCs/>
          <w:szCs w:val="21"/>
        </w:rPr>
        <w:t>，</w:t>
      </w:r>
      <w:r>
        <w:rPr>
          <w:rFonts w:hint="eastAsia" w:hAnsi="宋体"/>
          <w:szCs w:val="21"/>
        </w:rPr>
        <w:t>投标单位可自行增加体检项目，</w:t>
      </w:r>
      <w:r>
        <w:rPr>
          <w:rFonts w:hint="eastAsia" w:hAnsi="宋体"/>
          <w:bCs/>
          <w:szCs w:val="21"/>
        </w:rPr>
        <w:t>增加后投标价格同样为100</w:t>
      </w:r>
      <w:r>
        <w:rPr>
          <w:rFonts w:hint="eastAsia" w:hAnsi="宋体"/>
          <w:bCs/>
          <w:szCs w:val="21"/>
          <w:lang w:val="en-US" w:eastAsia="zh-CN"/>
        </w:rPr>
        <w:t>0</w:t>
      </w:r>
      <w:r>
        <w:rPr>
          <w:rFonts w:hint="eastAsia" w:hAnsi="宋体"/>
          <w:bCs/>
          <w:szCs w:val="21"/>
        </w:rPr>
        <w:t>元。</w:t>
      </w:r>
    </w:p>
    <w:p>
      <w:pPr>
        <w:keepNext w:val="0"/>
        <w:keepLines w:val="0"/>
        <w:pageBreakBefore w:val="0"/>
        <w:widowControl w:val="0"/>
        <w:tabs>
          <w:tab w:val="left" w:pos="900"/>
        </w:tabs>
        <w:kinsoku/>
        <w:wordWrap/>
        <w:overflowPunct/>
        <w:topLinePunct w:val="0"/>
        <w:autoSpaceDE/>
        <w:autoSpaceDN/>
        <w:bidi w:val="0"/>
        <w:adjustRightInd/>
        <w:snapToGrid/>
        <w:spacing w:before="156" w:beforeLines="50" w:line="300" w:lineRule="exact"/>
        <w:ind w:firstLine="442" w:firstLineChars="200"/>
        <w:jc w:val="center"/>
        <w:textAlignment w:val="auto"/>
        <w:rPr>
          <w:rFonts w:hint="eastAsia" w:hAnsi="宋体"/>
          <w:b/>
          <w:bCs/>
          <w:sz w:val="22"/>
          <w:szCs w:val="21"/>
        </w:rPr>
      </w:pPr>
      <w:r>
        <w:rPr>
          <w:rFonts w:hint="eastAsia" w:hAnsi="宋体"/>
          <w:b/>
          <w:bCs/>
          <w:sz w:val="22"/>
          <w:szCs w:val="21"/>
        </w:rPr>
        <w:t>基础体检项目</w:t>
      </w:r>
    </w:p>
    <w:tbl>
      <w:tblPr>
        <w:tblStyle w:val="7"/>
        <w:tblpPr w:leftFromText="180" w:rightFromText="180" w:vertAnchor="text" w:horzAnchor="margin" w:tblpXSpec="center" w:tblpY="176"/>
        <w:tblOverlap w:val="never"/>
        <w:tblW w:w="8195" w:type="dxa"/>
        <w:jc w:val="center"/>
        <w:tblInd w:w="0" w:type="dxa"/>
        <w:tblLayout w:type="fixed"/>
        <w:tblCellMar>
          <w:top w:w="0" w:type="dxa"/>
          <w:left w:w="108" w:type="dxa"/>
          <w:bottom w:w="0" w:type="dxa"/>
          <w:right w:w="108" w:type="dxa"/>
        </w:tblCellMar>
      </w:tblPr>
      <w:tblGrid>
        <w:gridCol w:w="1101"/>
        <w:gridCol w:w="68"/>
        <w:gridCol w:w="1419"/>
        <w:gridCol w:w="4183"/>
        <w:gridCol w:w="718"/>
        <w:gridCol w:w="706"/>
      </w:tblGrid>
      <w:tr>
        <w:tblPrEx>
          <w:tblLayout w:type="fixed"/>
          <w:tblCellMar>
            <w:top w:w="0" w:type="dxa"/>
            <w:left w:w="108" w:type="dxa"/>
            <w:bottom w:w="0" w:type="dxa"/>
            <w:right w:w="108" w:type="dxa"/>
          </w:tblCellMar>
        </w:tblPrEx>
        <w:trPr>
          <w:trHeight w:val="280" w:hRule="atLeast"/>
          <w:jc w:val="center"/>
        </w:trPr>
        <w:tc>
          <w:tcPr>
            <w:tcW w:w="116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物理检查</w:t>
            </w:r>
          </w:p>
          <w:p>
            <w:pPr>
              <w:widowControl/>
              <w:jc w:val="center"/>
              <w:rPr>
                <w:rFonts w:ascii="宋体" w:hAnsi="宋体"/>
                <w:kern w:val="0"/>
                <w:szCs w:val="21"/>
              </w:rPr>
            </w:pPr>
            <w:r>
              <w:rPr>
                <w:rFonts w:hint="eastAsia" w:ascii="宋体" w:hAnsi="宋体"/>
                <w:kern w:val="0"/>
                <w:szCs w:val="21"/>
              </w:rPr>
              <w:t>+</w:t>
            </w:r>
          </w:p>
          <w:p>
            <w:pPr>
              <w:widowControl/>
              <w:jc w:val="center"/>
              <w:rPr>
                <w:rFonts w:ascii="宋体" w:hAnsi="宋体"/>
                <w:kern w:val="0"/>
                <w:szCs w:val="21"/>
              </w:rPr>
            </w:pPr>
            <w:r>
              <w:rPr>
                <w:rFonts w:hint="eastAsia" w:ascii="宋体" w:hAnsi="宋体"/>
                <w:kern w:val="0"/>
                <w:szCs w:val="21"/>
              </w:rPr>
              <w:t>健康体检</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tabs>
                <w:tab w:val="left" w:pos="900"/>
              </w:tabs>
              <w:spacing w:line="400" w:lineRule="exact"/>
              <w:jc w:val="center"/>
              <w:rPr>
                <w:rFonts w:ascii="宋体" w:hAnsi="宋体"/>
                <w:kern w:val="0"/>
                <w:szCs w:val="21"/>
              </w:rPr>
            </w:pPr>
            <w:r>
              <w:rPr>
                <w:rFonts w:hint="eastAsia"/>
                <w:b/>
                <w:szCs w:val="21"/>
              </w:rPr>
              <w:t>项目类别</w:t>
            </w:r>
          </w:p>
        </w:tc>
        <w:tc>
          <w:tcPr>
            <w:tcW w:w="4183" w:type="dxa"/>
            <w:tcBorders>
              <w:top w:val="single" w:color="auto" w:sz="4" w:space="0"/>
              <w:left w:val="nil"/>
              <w:bottom w:val="single" w:color="auto" w:sz="4" w:space="0"/>
              <w:right w:val="single" w:color="auto" w:sz="4" w:space="0"/>
            </w:tcBorders>
            <w:shd w:val="clear" w:color="auto" w:fill="auto"/>
            <w:noWrap/>
            <w:vAlign w:val="center"/>
          </w:tcPr>
          <w:p>
            <w:pPr>
              <w:tabs>
                <w:tab w:val="left" w:pos="900"/>
              </w:tabs>
              <w:spacing w:line="400" w:lineRule="exact"/>
              <w:jc w:val="center"/>
              <w:rPr>
                <w:rFonts w:ascii="宋体" w:hAnsi="宋体"/>
                <w:kern w:val="0"/>
                <w:szCs w:val="21"/>
              </w:rPr>
            </w:pPr>
            <w:r>
              <w:rPr>
                <w:rFonts w:hint="eastAsia"/>
                <w:b/>
                <w:szCs w:val="21"/>
              </w:rPr>
              <w:t>项目内容</w:t>
            </w:r>
          </w:p>
        </w:tc>
        <w:tc>
          <w:tcPr>
            <w:tcW w:w="71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
                <w:kern w:val="0"/>
                <w:szCs w:val="21"/>
              </w:rPr>
            </w:pPr>
            <w:r>
              <w:rPr>
                <w:rFonts w:hint="eastAsia" w:ascii="宋体" w:hAnsi="宋体"/>
                <w:b/>
                <w:kern w:val="0"/>
                <w:szCs w:val="21"/>
              </w:rPr>
              <w:t>男</w:t>
            </w:r>
          </w:p>
        </w:tc>
        <w:tc>
          <w:tcPr>
            <w:tcW w:w="7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
                <w:kern w:val="0"/>
                <w:szCs w:val="21"/>
              </w:rPr>
            </w:pPr>
            <w:r>
              <w:rPr>
                <w:rFonts w:hint="eastAsia" w:ascii="宋体" w:hAnsi="宋体"/>
                <w:b/>
                <w:kern w:val="0"/>
                <w:szCs w:val="21"/>
              </w:rPr>
              <w:t>女</w:t>
            </w:r>
          </w:p>
        </w:tc>
      </w:tr>
      <w:tr>
        <w:tblPrEx>
          <w:tblLayout w:type="fixed"/>
          <w:tblCellMar>
            <w:top w:w="0" w:type="dxa"/>
            <w:left w:w="108" w:type="dxa"/>
            <w:bottom w:w="0" w:type="dxa"/>
            <w:right w:w="108" w:type="dxa"/>
          </w:tblCellMar>
        </w:tblPrEx>
        <w:trPr>
          <w:trHeight w:val="280" w:hRule="atLeast"/>
          <w:jc w:val="center"/>
        </w:trPr>
        <w:tc>
          <w:tcPr>
            <w:tcW w:w="116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一般项目</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color w:val="000000"/>
                <w:kern w:val="0"/>
                <w:szCs w:val="21"/>
              </w:rPr>
              <w:t>测身高、体重、心率、腰围、血压</w:t>
            </w:r>
          </w:p>
        </w:tc>
        <w:tc>
          <w:tcPr>
            <w:tcW w:w="718" w:type="dxa"/>
            <w:vMerge w:val="restart"/>
            <w:tcBorders>
              <w:top w:val="nil"/>
              <w:left w:val="nil"/>
              <w:right w:val="single" w:color="auto" w:sz="4" w:space="0"/>
            </w:tcBorders>
            <w:shd w:val="clear" w:color="auto" w:fill="auto"/>
            <w:noWrap/>
            <w:vAlign w:val="center"/>
          </w:tcPr>
          <w:p>
            <w:pPr>
              <w:jc w:val="center"/>
              <w:rPr>
                <w:rFonts w:ascii="宋体" w:hAnsi="宋体"/>
                <w:kern w:val="0"/>
                <w:szCs w:val="21"/>
              </w:rPr>
            </w:pPr>
            <w:r>
              <w:rPr>
                <w:rFonts w:hint="eastAsia" w:ascii="宋体" w:hAnsi="宋体"/>
                <w:kern w:val="0"/>
                <w:szCs w:val="21"/>
              </w:rPr>
              <w:t>√</w:t>
            </w:r>
          </w:p>
        </w:tc>
        <w:tc>
          <w:tcPr>
            <w:tcW w:w="706" w:type="dxa"/>
            <w:vMerge w:val="restart"/>
            <w:tcBorders>
              <w:top w:val="nil"/>
              <w:left w:val="nil"/>
              <w:right w:val="single" w:color="auto" w:sz="4" w:space="0"/>
            </w:tcBorders>
            <w:shd w:val="clear" w:color="auto" w:fill="auto"/>
            <w:noWrap/>
            <w:vAlign w:val="center"/>
          </w:tcPr>
          <w:p>
            <w:pPr>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116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内科</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color w:val="000000"/>
                <w:kern w:val="0"/>
                <w:szCs w:val="21"/>
              </w:rPr>
              <w:t>心肺听诊、肝脾触诊、肾区叩诊</w:t>
            </w:r>
          </w:p>
        </w:tc>
        <w:tc>
          <w:tcPr>
            <w:tcW w:w="718" w:type="dxa"/>
            <w:vMerge w:val="continue"/>
            <w:tcBorders>
              <w:left w:val="nil"/>
              <w:right w:val="single" w:color="auto" w:sz="4" w:space="0"/>
            </w:tcBorders>
            <w:shd w:val="clear" w:color="auto" w:fill="auto"/>
            <w:noWrap/>
            <w:vAlign w:val="bottom"/>
          </w:tcPr>
          <w:p>
            <w:pPr>
              <w:jc w:val="center"/>
              <w:rPr>
                <w:rFonts w:ascii="宋体" w:hAnsi="宋体"/>
                <w:kern w:val="0"/>
                <w:szCs w:val="21"/>
              </w:rPr>
            </w:pPr>
          </w:p>
        </w:tc>
        <w:tc>
          <w:tcPr>
            <w:tcW w:w="706" w:type="dxa"/>
            <w:vMerge w:val="continue"/>
            <w:tcBorders>
              <w:left w:val="nil"/>
              <w:right w:val="single" w:color="auto" w:sz="4" w:space="0"/>
            </w:tcBorders>
            <w:shd w:val="clear" w:color="auto" w:fill="auto"/>
            <w:noWrap/>
            <w:vAlign w:val="bottom"/>
          </w:tcPr>
          <w:p>
            <w:pPr>
              <w:jc w:val="center"/>
              <w:rPr>
                <w:rFonts w:ascii="宋体" w:hAnsi="宋体"/>
                <w:kern w:val="0"/>
                <w:szCs w:val="21"/>
              </w:rPr>
            </w:pPr>
          </w:p>
        </w:tc>
      </w:tr>
      <w:tr>
        <w:tblPrEx>
          <w:tblLayout w:type="fixed"/>
          <w:tblCellMar>
            <w:top w:w="0" w:type="dxa"/>
            <w:left w:w="108" w:type="dxa"/>
            <w:bottom w:w="0" w:type="dxa"/>
            <w:right w:w="108" w:type="dxa"/>
          </w:tblCellMar>
        </w:tblPrEx>
        <w:trPr>
          <w:trHeight w:val="280" w:hRule="atLeast"/>
          <w:jc w:val="center"/>
        </w:trPr>
        <w:tc>
          <w:tcPr>
            <w:tcW w:w="116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外科</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color w:val="000000"/>
                <w:kern w:val="0"/>
                <w:szCs w:val="21"/>
              </w:rPr>
              <w:t>淋巴结、甲状腺、脊柱、四肢</w:t>
            </w:r>
          </w:p>
        </w:tc>
        <w:tc>
          <w:tcPr>
            <w:tcW w:w="718" w:type="dxa"/>
            <w:vMerge w:val="continue"/>
            <w:tcBorders>
              <w:left w:val="nil"/>
              <w:right w:val="single" w:color="auto" w:sz="4" w:space="0"/>
            </w:tcBorders>
            <w:shd w:val="clear" w:color="auto" w:fill="auto"/>
            <w:noWrap/>
            <w:vAlign w:val="bottom"/>
          </w:tcPr>
          <w:p>
            <w:pPr>
              <w:jc w:val="center"/>
              <w:rPr>
                <w:rFonts w:ascii="宋体" w:hAnsi="宋体"/>
                <w:kern w:val="0"/>
                <w:szCs w:val="21"/>
              </w:rPr>
            </w:pPr>
          </w:p>
        </w:tc>
        <w:tc>
          <w:tcPr>
            <w:tcW w:w="706" w:type="dxa"/>
            <w:vMerge w:val="continue"/>
            <w:tcBorders>
              <w:left w:val="nil"/>
              <w:right w:val="single" w:color="auto" w:sz="4" w:space="0"/>
            </w:tcBorders>
            <w:shd w:val="clear" w:color="auto" w:fill="auto"/>
            <w:noWrap/>
            <w:vAlign w:val="bottom"/>
          </w:tcPr>
          <w:p>
            <w:pPr>
              <w:jc w:val="center"/>
              <w:rPr>
                <w:rFonts w:ascii="宋体" w:hAnsi="宋体"/>
                <w:kern w:val="0"/>
                <w:szCs w:val="21"/>
              </w:rPr>
            </w:pPr>
          </w:p>
        </w:tc>
      </w:tr>
      <w:tr>
        <w:tblPrEx>
          <w:tblLayout w:type="fixed"/>
          <w:tblCellMar>
            <w:top w:w="0" w:type="dxa"/>
            <w:left w:w="108" w:type="dxa"/>
            <w:bottom w:w="0" w:type="dxa"/>
            <w:right w:w="108" w:type="dxa"/>
          </w:tblCellMar>
        </w:tblPrEx>
        <w:trPr>
          <w:trHeight w:val="280" w:hRule="atLeast"/>
          <w:jc w:val="center"/>
        </w:trPr>
        <w:tc>
          <w:tcPr>
            <w:tcW w:w="116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眼科</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color w:val="000000"/>
                <w:kern w:val="0"/>
                <w:szCs w:val="21"/>
              </w:rPr>
              <w:t>视力、辨色力</w:t>
            </w:r>
          </w:p>
        </w:tc>
        <w:tc>
          <w:tcPr>
            <w:tcW w:w="718" w:type="dxa"/>
            <w:vMerge w:val="continue"/>
            <w:tcBorders>
              <w:left w:val="nil"/>
              <w:right w:val="single" w:color="auto" w:sz="4" w:space="0"/>
            </w:tcBorders>
            <w:shd w:val="clear" w:color="auto" w:fill="auto"/>
            <w:noWrap/>
            <w:vAlign w:val="bottom"/>
          </w:tcPr>
          <w:p>
            <w:pPr>
              <w:widowControl/>
              <w:jc w:val="center"/>
              <w:rPr>
                <w:rFonts w:ascii="宋体" w:hAnsi="宋体"/>
                <w:kern w:val="0"/>
                <w:szCs w:val="21"/>
              </w:rPr>
            </w:pPr>
          </w:p>
        </w:tc>
        <w:tc>
          <w:tcPr>
            <w:tcW w:w="706" w:type="dxa"/>
            <w:vMerge w:val="continue"/>
            <w:tcBorders>
              <w:left w:val="nil"/>
              <w:right w:val="single" w:color="auto" w:sz="4" w:space="0"/>
            </w:tcBorders>
            <w:shd w:val="clear" w:color="auto" w:fill="auto"/>
            <w:noWrap/>
            <w:vAlign w:val="bottom"/>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280" w:hRule="atLeast"/>
          <w:jc w:val="center"/>
        </w:trPr>
        <w:tc>
          <w:tcPr>
            <w:tcW w:w="116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耳鼻喉科</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color w:val="000000"/>
                <w:kern w:val="0"/>
                <w:szCs w:val="21"/>
              </w:rPr>
              <w:t>耳鼻喉</w:t>
            </w:r>
          </w:p>
        </w:tc>
        <w:tc>
          <w:tcPr>
            <w:tcW w:w="718" w:type="dxa"/>
            <w:vMerge w:val="continue"/>
            <w:tcBorders>
              <w:left w:val="nil"/>
              <w:right w:val="single" w:color="auto" w:sz="4" w:space="0"/>
            </w:tcBorders>
            <w:shd w:val="clear" w:color="auto" w:fill="auto"/>
            <w:noWrap/>
            <w:vAlign w:val="bottom"/>
          </w:tcPr>
          <w:p>
            <w:pPr>
              <w:widowControl/>
              <w:jc w:val="center"/>
              <w:rPr>
                <w:rFonts w:ascii="宋体" w:hAnsi="宋体"/>
                <w:kern w:val="0"/>
                <w:szCs w:val="21"/>
              </w:rPr>
            </w:pPr>
          </w:p>
        </w:tc>
        <w:tc>
          <w:tcPr>
            <w:tcW w:w="706" w:type="dxa"/>
            <w:vMerge w:val="continue"/>
            <w:tcBorders>
              <w:left w:val="nil"/>
              <w:right w:val="single" w:color="auto" w:sz="4" w:space="0"/>
            </w:tcBorders>
            <w:shd w:val="clear" w:color="auto" w:fill="auto"/>
            <w:noWrap/>
            <w:vAlign w:val="bottom"/>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280" w:hRule="atLeast"/>
          <w:jc w:val="center"/>
        </w:trPr>
        <w:tc>
          <w:tcPr>
            <w:tcW w:w="116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健康体检</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color w:val="000000"/>
                <w:kern w:val="0"/>
                <w:szCs w:val="21"/>
              </w:rPr>
              <w:t>总检结论、健康建议、电子档案、报告解读</w:t>
            </w:r>
          </w:p>
        </w:tc>
        <w:tc>
          <w:tcPr>
            <w:tcW w:w="718" w:type="dxa"/>
            <w:vMerge w:val="continue"/>
            <w:tcBorders>
              <w:left w:val="nil"/>
              <w:bottom w:val="single" w:color="auto" w:sz="4" w:space="0"/>
              <w:right w:val="single" w:color="auto" w:sz="4" w:space="0"/>
            </w:tcBorders>
            <w:shd w:val="clear" w:color="auto" w:fill="auto"/>
            <w:noWrap/>
            <w:vAlign w:val="bottom"/>
          </w:tcPr>
          <w:p>
            <w:pPr>
              <w:widowControl/>
              <w:jc w:val="center"/>
              <w:rPr>
                <w:rFonts w:ascii="宋体" w:hAnsi="宋体"/>
                <w:kern w:val="0"/>
                <w:szCs w:val="21"/>
              </w:rPr>
            </w:pPr>
          </w:p>
        </w:tc>
        <w:tc>
          <w:tcPr>
            <w:tcW w:w="706" w:type="dxa"/>
            <w:vMerge w:val="continue"/>
            <w:tcBorders>
              <w:left w:val="nil"/>
              <w:bottom w:val="single" w:color="auto" w:sz="4" w:space="0"/>
              <w:right w:val="single" w:color="auto" w:sz="4" w:space="0"/>
            </w:tcBorders>
            <w:shd w:val="clear" w:color="auto" w:fill="auto"/>
            <w:noWrap/>
            <w:vAlign w:val="bottom"/>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280" w:hRule="atLeast"/>
          <w:jc w:val="center"/>
        </w:trPr>
        <w:tc>
          <w:tcPr>
            <w:tcW w:w="25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color w:val="000000"/>
                <w:kern w:val="0"/>
                <w:szCs w:val="21"/>
              </w:rPr>
              <w:t>眼科</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color w:val="000000"/>
                <w:kern w:val="0"/>
                <w:szCs w:val="21"/>
              </w:rPr>
              <w:t>眼底</w:t>
            </w:r>
            <w:bookmarkStart w:id="4" w:name="_GoBack"/>
            <w:bookmarkEnd w:id="4"/>
            <w:r>
              <w:rPr>
                <w:rFonts w:hint="eastAsia" w:ascii="宋体" w:hAnsi="宋体"/>
                <w:color w:val="000000"/>
                <w:kern w:val="0"/>
                <w:szCs w:val="21"/>
              </w:rPr>
              <w:t>+眼压+裂隙灯</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彩色B超</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腹部B超</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firstLineChars="200"/>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妇科B超</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firstLineChars="200"/>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乳腺彩超</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firstLineChars="200"/>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泌尿系统B超</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280" w:hRule="atLeast"/>
          <w:jc w:val="center"/>
        </w:trPr>
        <w:tc>
          <w:tcPr>
            <w:tcW w:w="258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firstLineChars="200"/>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甲状腺彩超</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301" w:hRule="atLeast"/>
          <w:jc w:val="center"/>
        </w:trPr>
        <w:tc>
          <w:tcPr>
            <w:tcW w:w="11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血液检查</w:t>
            </w:r>
          </w:p>
        </w:tc>
        <w:tc>
          <w:tcPr>
            <w:tcW w:w="148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kern w:val="0"/>
                <w:szCs w:val="21"/>
              </w:rPr>
            </w:pPr>
            <w:r>
              <w:rPr>
                <w:rFonts w:hint="eastAsia" w:ascii="宋体" w:hAnsi="宋体"/>
                <w:kern w:val="0"/>
                <w:szCs w:val="21"/>
              </w:rPr>
              <w:t>常规检查</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血常规</w:t>
            </w:r>
          </w:p>
        </w:tc>
        <w:tc>
          <w:tcPr>
            <w:tcW w:w="7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301"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尿液分析</w:t>
            </w:r>
          </w:p>
        </w:tc>
        <w:tc>
          <w:tcPr>
            <w:tcW w:w="71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生化检查</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肝功九项</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vMerge w:val="continue"/>
            <w:tcBorders>
              <w:left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肾功三项</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vMerge w:val="continue"/>
            <w:tcBorders>
              <w:left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血脂四项</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vMerge w:val="continue"/>
            <w:tcBorders>
              <w:left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空腹血糖</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同型半胱氨酸</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心脏检查</w:t>
            </w:r>
          </w:p>
        </w:tc>
        <w:tc>
          <w:tcPr>
            <w:tcW w:w="4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心肌酶谱三项</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kern w:val="0"/>
                <w:szCs w:val="21"/>
              </w:rPr>
            </w:pPr>
            <w:r>
              <w:rPr>
                <w:rFonts w:hint="eastAsia" w:ascii="宋体" w:hAnsi="宋体"/>
                <w:kern w:val="0"/>
                <w:szCs w:val="21"/>
              </w:rPr>
              <w:t>肿瘤</w:t>
            </w:r>
          </w:p>
          <w:p>
            <w:pPr>
              <w:jc w:val="center"/>
              <w:rPr>
                <w:rFonts w:ascii="宋体" w:hAnsi="宋体"/>
                <w:kern w:val="0"/>
                <w:szCs w:val="21"/>
              </w:rPr>
            </w:pPr>
            <w:r>
              <w:rPr>
                <w:rFonts w:hint="eastAsia" w:ascii="宋体" w:hAnsi="宋体"/>
                <w:kern w:val="0"/>
                <w:szCs w:val="21"/>
              </w:rPr>
              <w:t>标志物</w:t>
            </w:r>
          </w:p>
        </w:tc>
        <w:tc>
          <w:tcPr>
            <w:tcW w:w="4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CEA、AFP、PSA、CA199</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280" w:hRule="atLeast"/>
          <w:jc w:val="center"/>
        </w:trPr>
        <w:tc>
          <w:tcPr>
            <w:tcW w:w="110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148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kern w:val="0"/>
                <w:szCs w:val="21"/>
              </w:rPr>
            </w:pPr>
          </w:p>
        </w:tc>
        <w:tc>
          <w:tcPr>
            <w:tcW w:w="4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CEA、AFP、CA125</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7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心电图</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十二导联</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体脂分析</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体脂分析</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肝纤维化检查</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无创肝纤维化</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280" w:hRule="atLeast"/>
          <w:jc w:val="center"/>
        </w:trPr>
        <w:tc>
          <w:tcPr>
            <w:tcW w:w="25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骨密度检查</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超声骨密度</w:t>
            </w:r>
          </w:p>
        </w:tc>
        <w:tc>
          <w:tcPr>
            <w:tcW w:w="7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CT检查</w:t>
            </w:r>
          </w:p>
        </w:tc>
        <w:tc>
          <w:tcPr>
            <w:tcW w:w="41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胸部CT</w:t>
            </w:r>
          </w:p>
        </w:tc>
        <w:tc>
          <w:tcPr>
            <w:tcW w:w="7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c>
          <w:tcPr>
            <w:tcW w:w="7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r>
        <w:tblPrEx>
          <w:tblLayout w:type="fixed"/>
          <w:tblCellMar>
            <w:top w:w="0" w:type="dxa"/>
            <w:left w:w="108" w:type="dxa"/>
            <w:bottom w:w="0" w:type="dxa"/>
            <w:right w:w="108" w:type="dxa"/>
          </w:tblCellMar>
        </w:tblPrEx>
        <w:trPr>
          <w:trHeight w:val="280" w:hRule="atLeast"/>
          <w:jc w:val="center"/>
        </w:trPr>
        <w:tc>
          <w:tcPr>
            <w:tcW w:w="258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妇科检查（选做）</w:t>
            </w:r>
          </w:p>
        </w:tc>
        <w:tc>
          <w:tcPr>
            <w:tcW w:w="4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妇科+液基细胞检查</w:t>
            </w:r>
          </w:p>
        </w:tc>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hint="eastAsia" w:ascii="宋体" w:hAnsi="宋体"/>
                <w:kern w:val="0"/>
                <w:szCs w:val="21"/>
              </w:rPr>
              <w:t>√</w:t>
            </w:r>
          </w:p>
        </w:tc>
      </w:tr>
    </w:tbl>
    <w:p>
      <w:pPr>
        <w:tabs>
          <w:tab w:val="left" w:pos="900"/>
        </w:tabs>
        <w:spacing w:before="156" w:beforeLines="50" w:line="360" w:lineRule="auto"/>
        <w:ind w:firstLine="420" w:firstLineChars="200"/>
        <w:rPr>
          <w:rFonts w:hAnsi="宋体"/>
          <w:bCs/>
          <w:szCs w:val="21"/>
        </w:rPr>
      </w:pPr>
      <w:r>
        <w:rPr>
          <w:rFonts w:hint="eastAsia" w:ascii="宋体" w:hAnsi="宋体"/>
          <w:szCs w:val="21"/>
        </w:rPr>
        <w:t>（二）投标单位</w:t>
      </w:r>
      <w:r>
        <w:rPr>
          <w:rFonts w:hint="eastAsia" w:ascii="宋体" w:hAnsi="宋体"/>
          <w:szCs w:val="21"/>
          <w:lang w:val="en-US" w:eastAsia="zh-CN"/>
        </w:rPr>
        <w:t>提供</w:t>
      </w:r>
      <w:r>
        <w:rPr>
          <w:rFonts w:hint="eastAsia" w:ascii="宋体" w:hAnsi="宋体"/>
          <w:szCs w:val="21"/>
        </w:rPr>
        <w:t>的体检套餐中，应注明基础项目（上表中的项目）、增加项目，及每个项目的原价（市场指导价）、优惠价，和套餐内项目合计的原价、优惠价、折扣比例。</w:t>
      </w:r>
    </w:p>
    <w:p>
      <w:pPr>
        <w:tabs>
          <w:tab w:val="left" w:pos="900"/>
        </w:tabs>
        <w:spacing w:before="156" w:beforeLines="50" w:line="360" w:lineRule="auto"/>
        <w:ind w:firstLine="420" w:firstLineChars="200"/>
        <w:rPr>
          <w:rFonts w:hint="eastAsia" w:hAnsi="宋体"/>
          <w:bCs/>
          <w:szCs w:val="21"/>
        </w:rPr>
      </w:pPr>
      <w:r>
        <w:rPr>
          <w:rFonts w:hint="eastAsia" w:hAnsi="宋体"/>
          <w:bCs/>
          <w:szCs w:val="21"/>
        </w:rPr>
        <w:t>（</w:t>
      </w:r>
      <w:r>
        <w:rPr>
          <w:rFonts w:hint="eastAsia" w:hAnsi="宋体"/>
          <w:bCs/>
          <w:szCs w:val="21"/>
          <w:lang w:val="en-US" w:eastAsia="zh-CN"/>
        </w:rPr>
        <w:t>三</w:t>
      </w:r>
      <w:r>
        <w:rPr>
          <w:rFonts w:hint="eastAsia" w:hAnsi="宋体"/>
          <w:bCs/>
          <w:szCs w:val="21"/>
        </w:rPr>
        <w:t>）允许校内二级单位工会对套餐种类、体检项目进行调换、增加，变更后套餐费用和入围单位协商确定，超出标准部分的费用由二级单位工会自理。</w:t>
      </w:r>
    </w:p>
    <w:p>
      <w:pPr>
        <w:tabs>
          <w:tab w:val="left" w:pos="900"/>
        </w:tabs>
        <w:spacing w:before="156" w:beforeLines="50" w:line="360" w:lineRule="auto"/>
        <w:rPr>
          <w:rFonts w:hAnsi="宋体"/>
          <w:b/>
          <w:szCs w:val="21"/>
        </w:rPr>
      </w:pPr>
      <w:r>
        <w:rPr>
          <w:rFonts w:hint="eastAsia" w:hAnsi="宋体"/>
          <w:b/>
          <w:szCs w:val="21"/>
        </w:rPr>
        <w:t>五、服务要求</w:t>
      </w:r>
    </w:p>
    <w:p>
      <w:pPr>
        <w:tabs>
          <w:tab w:val="left" w:pos="900"/>
        </w:tabs>
        <w:spacing w:before="156" w:beforeLines="50" w:line="360" w:lineRule="auto"/>
        <w:ind w:firstLine="420" w:firstLineChars="200"/>
        <w:rPr>
          <w:rFonts w:hint="default" w:ascii="宋体" w:hAnsi="宋体" w:eastAsia="宋体"/>
          <w:szCs w:val="21"/>
          <w:lang w:val="en-US" w:eastAsia="zh-CN"/>
        </w:rPr>
      </w:pPr>
      <w:r>
        <w:rPr>
          <w:rFonts w:hint="eastAsia" w:ascii="宋体" w:hAnsi="宋体"/>
          <w:szCs w:val="21"/>
        </w:rPr>
        <w:t>（一）</w:t>
      </w:r>
      <w:r>
        <w:rPr>
          <w:rFonts w:hint="eastAsia" w:ascii="宋体" w:hAnsi="宋体"/>
          <w:szCs w:val="21"/>
          <w:lang w:val="en-US" w:eastAsia="zh-CN"/>
        </w:rPr>
        <w:t>配置要求</w:t>
      </w:r>
    </w:p>
    <w:p>
      <w:pPr>
        <w:tabs>
          <w:tab w:val="left" w:pos="900"/>
        </w:tabs>
        <w:spacing w:before="156" w:beforeLines="50" w:line="360" w:lineRule="auto"/>
        <w:ind w:firstLine="420" w:firstLineChars="200"/>
        <w:rPr>
          <w:rFonts w:hint="eastAsia" w:ascii="宋体" w:hAnsi="宋体"/>
          <w:szCs w:val="21"/>
          <w:lang w:eastAsia="zh-CN"/>
        </w:rPr>
      </w:pPr>
      <w:r>
        <w:rPr>
          <w:rFonts w:hint="eastAsia" w:ascii="宋体" w:hAnsi="宋体"/>
          <w:szCs w:val="21"/>
          <w:lang w:val="en-US" w:eastAsia="zh-CN"/>
        </w:rPr>
        <w:t>1.投标单位</w:t>
      </w:r>
      <w:r>
        <w:rPr>
          <w:rFonts w:hint="eastAsia" w:ascii="宋体" w:hAnsi="宋体"/>
          <w:szCs w:val="21"/>
        </w:rPr>
        <w:t>投入本项目的体检医务人员中具有副主任医师（技师）及以上技术职称证书人员</w:t>
      </w:r>
      <w:r>
        <w:rPr>
          <w:rFonts w:hint="eastAsia" w:ascii="宋体" w:hAnsi="宋体"/>
          <w:szCs w:val="21"/>
          <w:lang w:val="en-US" w:eastAsia="zh-CN"/>
        </w:rPr>
        <w:t>不少于10人。</w:t>
      </w:r>
    </w:p>
    <w:p>
      <w:pPr>
        <w:tabs>
          <w:tab w:val="left" w:pos="900"/>
        </w:tabs>
        <w:spacing w:before="156" w:beforeLines="50" w:line="360" w:lineRule="auto"/>
        <w:ind w:firstLine="420" w:firstLineChars="200"/>
        <w:rPr>
          <w:rFonts w:hint="eastAsia" w:ascii="宋体" w:hAnsi="宋体"/>
          <w:szCs w:val="21"/>
        </w:rPr>
      </w:pPr>
      <w:r>
        <w:rPr>
          <w:rFonts w:hint="eastAsia" w:ascii="宋体" w:hAnsi="宋体"/>
          <w:szCs w:val="21"/>
          <w:lang w:val="en-US" w:eastAsia="zh-CN"/>
        </w:rPr>
        <w:t>2.投标单位</w:t>
      </w:r>
      <w:r>
        <w:rPr>
          <w:rFonts w:hint="eastAsia" w:ascii="宋体" w:hAnsi="宋体"/>
          <w:szCs w:val="21"/>
        </w:rPr>
        <w:t>须具有彩超、CT、核磁等设备</w:t>
      </w:r>
      <w:r>
        <w:rPr>
          <w:rFonts w:hint="eastAsia" w:ascii="宋体" w:hAnsi="宋体"/>
          <w:szCs w:val="21"/>
          <w:lang w:eastAsia="zh-CN"/>
        </w:rPr>
        <w:t>，</w:t>
      </w:r>
      <w:r>
        <w:rPr>
          <w:rFonts w:hint="eastAsia" w:ascii="宋体" w:hAnsi="宋体"/>
          <w:szCs w:val="21"/>
          <w:lang w:val="en-US" w:eastAsia="zh-CN"/>
        </w:rPr>
        <w:t>符合体检项目设备要求</w:t>
      </w:r>
      <w:r>
        <w:rPr>
          <w:rFonts w:hint="eastAsia" w:ascii="宋体" w:hAnsi="宋体"/>
          <w:szCs w:val="21"/>
        </w:rPr>
        <w:t>。</w:t>
      </w:r>
    </w:p>
    <w:p>
      <w:pPr>
        <w:tabs>
          <w:tab w:val="left" w:pos="900"/>
        </w:tabs>
        <w:spacing w:before="156" w:beforeLines="50" w:line="360" w:lineRule="auto"/>
        <w:ind w:firstLine="420" w:firstLineChars="200"/>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体检环境具有独立性，</w:t>
      </w:r>
      <w:r>
        <w:rPr>
          <w:rFonts w:hint="eastAsia" w:ascii="宋体" w:hAnsi="宋体"/>
          <w:szCs w:val="21"/>
          <w:lang w:val="en-US" w:eastAsia="zh-CN"/>
        </w:rPr>
        <w:t>智能导检，</w:t>
      </w:r>
      <w:r>
        <w:rPr>
          <w:rFonts w:hint="eastAsia" w:ascii="宋体" w:hAnsi="宋体"/>
          <w:szCs w:val="21"/>
        </w:rPr>
        <w:t>设置候检区、用餐区，提供免费早餐、停车等服务</w:t>
      </w:r>
      <w:r>
        <w:rPr>
          <w:rFonts w:hint="eastAsia" w:ascii="宋体" w:hAnsi="宋体"/>
          <w:szCs w:val="21"/>
          <w:lang w:eastAsia="zh-CN"/>
        </w:rPr>
        <w:t>。</w:t>
      </w:r>
    </w:p>
    <w:p>
      <w:pPr>
        <w:tabs>
          <w:tab w:val="left" w:pos="900"/>
        </w:tabs>
        <w:spacing w:before="156" w:beforeLines="50" w:line="360" w:lineRule="auto"/>
        <w:ind w:firstLine="420" w:firstLineChars="200"/>
        <w:rPr>
          <w:rFonts w:hint="eastAsia"/>
          <w:szCs w:val="21"/>
          <w:lang w:val="en-US" w:eastAsia="zh-CN"/>
        </w:rPr>
      </w:pPr>
      <w:r>
        <w:rPr>
          <w:rFonts w:hint="eastAsia"/>
          <w:szCs w:val="21"/>
        </w:rPr>
        <w:t>（</w:t>
      </w:r>
      <w:r>
        <w:rPr>
          <w:rFonts w:hint="eastAsia"/>
          <w:szCs w:val="21"/>
          <w:lang w:val="en-US" w:eastAsia="zh-CN"/>
        </w:rPr>
        <w:t>二</w:t>
      </w:r>
      <w:r>
        <w:rPr>
          <w:rFonts w:hint="eastAsia"/>
          <w:szCs w:val="21"/>
        </w:rPr>
        <w:t>）</w:t>
      </w:r>
      <w:r>
        <w:rPr>
          <w:rFonts w:hint="eastAsia"/>
          <w:szCs w:val="21"/>
          <w:lang w:val="en-US" w:eastAsia="zh-CN"/>
        </w:rPr>
        <w:t>检后服务</w:t>
      </w:r>
    </w:p>
    <w:p>
      <w:pPr>
        <w:tabs>
          <w:tab w:val="left" w:pos="900"/>
        </w:tabs>
        <w:spacing w:before="156" w:beforeLines="50" w:line="360" w:lineRule="auto"/>
        <w:ind w:firstLine="420" w:firstLineChars="200"/>
        <w:rPr>
          <w:rFonts w:hint="eastAsia" w:eastAsia="宋体"/>
          <w:szCs w:val="21"/>
          <w:lang w:eastAsia="zh-CN"/>
        </w:rPr>
      </w:pPr>
      <w:r>
        <w:rPr>
          <w:rFonts w:hint="eastAsia" w:ascii="宋体" w:hAnsi="宋体"/>
          <w:szCs w:val="21"/>
          <w:lang w:val="en-US" w:eastAsia="zh-CN"/>
        </w:rPr>
        <w:t>1.体检机构须</w:t>
      </w:r>
      <w:r>
        <w:rPr>
          <w:rFonts w:hint="eastAsia"/>
          <w:szCs w:val="21"/>
        </w:rPr>
        <w:t>及时向教职工提供体检报告（报告含指导意见），</w:t>
      </w:r>
      <w:r>
        <w:rPr>
          <w:rFonts w:hint="eastAsia"/>
          <w:bCs/>
          <w:szCs w:val="24"/>
        </w:rPr>
        <w:t>手机APP或微信小程序</w:t>
      </w:r>
      <w:r>
        <w:rPr>
          <w:rFonts w:hint="eastAsia"/>
          <w:bCs/>
          <w:szCs w:val="24"/>
          <w:lang w:val="en-US" w:eastAsia="zh-CN"/>
        </w:rPr>
        <w:t>可</w:t>
      </w:r>
      <w:r>
        <w:rPr>
          <w:rFonts w:hint="eastAsia"/>
          <w:bCs/>
          <w:szCs w:val="24"/>
        </w:rPr>
        <w:t>查询体检结果</w:t>
      </w:r>
      <w:r>
        <w:rPr>
          <w:rFonts w:hint="eastAsia"/>
          <w:bCs/>
          <w:szCs w:val="24"/>
          <w:lang w:eastAsia="zh-CN"/>
        </w:rPr>
        <w:t>，</w:t>
      </w:r>
      <w:r>
        <w:rPr>
          <w:rFonts w:hint="eastAsia"/>
          <w:szCs w:val="21"/>
        </w:rPr>
        <w:t>对发现高危性疾病的教职工电话回访</w:t>
      </w:r>
      <w:r>
        <w:rPr>
          <w:rFonts w:hint="eastAsia"/>
          <w:szCs w:val="21"/>
          <w:lang w:eastAsia="zh-CN"/>
        </w:rPr>
        <w:t>。</w:t>
      </w:r>
    </w:p>
    <w:p>
      <w:pPr>
        <w:tabs>
          <w:tab w:val="left" w:pos="900"/>
        </w:tabs>
        <w:spacing w:before="156" w:beforeLines="50" w:line="360" w:lineRule="auto"/>
        <w:ind w:firstLine="420" w:firstLineChars="200"/>
        <w:rPr>
          <w:rFonts w:hint="eastAsia"/>
          <w:szCs w:val="21"/>
        </w:rPr>
      </w:pPr>
      <w:r>
        <w:rPr>
          <w:rFonts w:hint="eastAsia" w:ascii="宋体" w:hAnsi="宋体"/>
          <w:szCs w:val="21"/>
          <w:lang w:val="en-US" w:eastAsia="zh-CN"/>
        </w:rPr>
        <w:t>2.体检机构须</w:t>
      </w:r>
      <w:r>
        <w:rPr>
          <w:rFonts w:hint="eastAsia"/>
          <w:szCs w:val="21"/>
        </w:rPr>
        <w:t>向</w:t>
      </w:r>
      <w:r>
        <w:rPr>
          <w:rFonts w:hint="eastAsia"/>
          <w:szCs w:val="21"/>
          <w:lang w:val="en-US" w:eastAsia="zh-CN"/>
        </w:rPr>
        <w:t>校工会</w:t>
      </w:r>
      <w:r>
        <w:rPr>
          <w:rFonts w:hint="eastAsia"/>
          <w:szCs w:val="21"/>
        </w:rPr>
        <w:t>提供教职工体检总结报告，分析体检数据，列出教职工的高发性疾病，给予指导意见。</w:t>
      </w:r>
    </w:p>
    <w:p>
      <w:pPr>
        <w:tabs>
          <w:tab w:val="left" w:pos="900"/>
        </w:tabs>
        <w:spacing w:before="156" w:beforeLines="50" w:line="360" w:lineRule="auto"/>
        <w:ind w:firstLine="420" w:firstLineChars="200"/>
        <w:rPr>
          <w:rFonts w:hint="default" w:eastAsia="宋体"/>
          <w:szCs w:val="21"/>
          <w:lang w:val="en-US" w:eastAsia="zh-CN"/>
        </w:rPr>
      </w:pPr>
      <w:r>
        <w:rPr>
          <w:rFonts w:hint="eastAsia" w:ascii="宋体" w:hAnsi="宋体"/>
          <w:szCs w:val="21"/>
          <w:lang w:val="en-US" w:eastAsia="zh-CN"/>
        </w:rPr>
        <w:t>3.体检机构须配合校工会进行体检知识科普、体检报告解读等活动。</w:t>
      </w:r>
    </w:p>
    <w:p>
      <w:pPr>
        <w:tabs>
          <w:tab w:val="left" w:pos="900"/>
        </w:tabs>
        <w:spacing w:before="156" w:beforeLines="50"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4.</w:t>
      </w:r>
      <w:r>
        <w:rPr>
          <w:rFonts w:hint="eastAsia" w:ascii="宋体" w:hAnsi="宋体"/>
          <w:szCs w:val="21"/>
          <w:lang w:val="en-US" w:eastAsia="zh-CN"/>
        </w:rPr>
        <w:t>所有体检结果须真实、准确。体检机构如篡改、伪造检验指标</w:t>
      </w:r>
      <w:r>
        <w:rPr>
          <w:rFonts w:hint="eastAsia"/>
          <w:szCs w:val="21"/>
          <w:lang w:val="en-US" w:eastAsia="zh-CN"/>
        </w:rPr>
        <w:t>，提供虚假体检报告，自行增加体检人员数量、私自泄露体检人员信息，</w:t>
      </w:r>
      <w:r>
        <w:rPr>
          <w:rFonts w:hint="eastAsia" w:ascii="宋体" w:hAnsi="宋体" w:cs="宋体"/>
          <w:szCs w:val="21"/>
          <w:lang w:val="en-US" w:eastAsia="zh-CN"/>
        </w:rPr>
        <w:t>采购人</w:t>
      </w:r>
      <w:r>
        <w:rPr>
          <w:rFonts w:hint="eastAsia" w:ascii="宋体" w:hAnsi="宋体" w:cs="宋体"/>
          <w:szCs w:val="21"/>
        </w:rPr>
        <w:t>有权</w:t>
      </w:r>
      <w:r>
        <w:rPr>
          <w:rFonts w:hint="eastAsia" w:ascii="宋体" w:hAnsi="宋体" w:cs="宋体"/>
          <w:szCs w:val="21"/>
          <w:lang w:val="en-US" w:eastAsia="zh-CN"/>
        </w:rPr>
        <w:t>无责解除合同</w:t>
      </w:r>
      <w:r>
        <w:rPr>
          <w:rFonts w:hint="eastAsia" w:ascii="宋体" w:hAnsi="宋体" w:cs="宋体"/>
          <w:szCs w:val="21"/>
        </w:rPr>
        <w:t>并</w:t>
      </w:r>
      <w:r>
        <w:rPr>
          <w:rFonts w:hint="eastAsia" w:ascii="宋体" w:hAnsi="宋体" w:cs="宋体"/>
          <w:szCs w:val="21"/>
          <w:lang w:val="en-US" w:eastAsia="zh-CN"/>
        </w:rPr>
        <w:t>要求</w:t>
      </w:r>
      <w:r>
        <w:rPr>
          <w:rFonts w:hint="eastAsia" w:ascii="宋体" w:hAnsi="宋体" w:cs="宋体"/>
          <w:szCs w:val="21"/>
        </w:rPr>
        <w:t>赔偿</w:t>
      </w:r>
      <w:r>
        <w:rPr>
          <w:rFonts w:hint="eastAsia" w:ascii="宋体" w:hAnsi="宋体" w:cs="宋体"/>
          <w:szCs w:val="21"/>
          <w:lang w:eastAsia="zh-CN"/>
        </w:rPr>
        <w:t>。</w:t>
      </w:r>
    </w:p>
    <w:p>
      <w:pPr>
        <w:tabs>
          <w:tab w:val="left" w:pos="900"/>
        </w:tabs>
        <w:spacing w:before="156" w:beforeLines="50" w:line="360" w:lineRule="auto"/>
        <w:ind w:firstLine="420" w:firstLineChars="200"/>
        <w:rPr>
          <w:rFonts w:hint="eastAsia"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w:t>
      </w:r>
      <w:r>
        <w:rPr>
          <w:rFonts w:hint="eastAsia" w:ascii="宋体" w:hAnsi="宋体"/>
          <w:szCs w:val="21"/>
          <w:lang w:val="en-US" w:eastAsia="zh-CN"/>
        </w:rPr>
        <w:t>其他服务</w:t>
      </w:r>
    </w:p>
    <w:p>
      <w:pPr>
        <w:tabs>
          <w:tab w:val="left" w:pos="900"/>
        </w:tabs>
        <w:spacing w:before="156" w:beforeLines="50" w:line="360" w:lineRule="auto"/>
        <w:ind w:firstLine="420" w:firstLineChars="200"/>
        <w:rPr>
          <w:rFonts w:hAnsi="宋体"/>
          <w:szCs w:val="21"/>
        </w:rPr>
      </w:pPr>
      <w:r>
        <w:rPr>
          <w:rFonts w:hint="eastAsia" w:ascii="宋体" w:hAnsi="宋体"/>
          <w:szCs w:val="21"/>
          <w:lang w:val="en-US" w:eastAsia="zh-CN"/>
        </w:rPr>
        <w:t>1.允许</w:t>
      </w:r>
      <w:r>
        <w:rPr>
          <w:rFonts w:hint="eastAsia" w:ascii="宋体" w:hAnsi="宋体"/>
          <w:szCs w:val="21"/>
        </w:rPr>
        <w:t>教职工</w:t>
      </w:r>
      <w:r>
        <w:rPr>
          <w:rFonts w:hint="eastAsia" w:ascii="宋体" w:hAnsi="宋体"/>
          <w:szCs w:val="21"/>
          <w:lang w:val="en-US" w:eastAsia="zh-CN"/>
        </w:rPr>
        <w:t>自费</w:t>
      </w:r>
      <w:r>
        <w:rPr>
          <w:rFonts w:hint="eastAsia" w:hAnsi="宋体"/>
          <w:szCs w:val="21"/>
        </w:rPr>
        <w:t>增加体检项目，享受优惠折扣。</w:t>
      </w:r>
    </w:p>
    <w:p>
      <w:pPr>
        <w:tabs>
          <w:tab w:val="left" w:pos="900"/>
        </w:tabs>
        <w:spacing w:before="156" w:beforeLines="50" w:line="360" w:lineRule="auto"/>
        <w:ind w:firstLine="420" w:firstLineChars="200"/>
        <w:rPr>
          <w:rFonts w:hint="eastAsia" w:ascii="宋体" w:hAnsi="宋体"/>
          <w:szCs w:val="21"/>
        </w:rPr>
      </w:pPr>
      <w:r>
        <w:rPr>
          <w:rFonts w:hint="eastAsia" w:ascii="宋体" w:hAnsi="宋体"/>
          <w:szCs w:val="21"/>
          <w:lang w:val="en-US" w:eastAsia="zh-CN"/>
        </w:rPr>
        <w:t>2.允许</w:t>
      </w:r>
      <w:r>
        <w:rPr>
          <w:rFonts w:hint="eastAsia" w:ascii="宋体" w:hAnsi="宋体"/>
          <w:szCs w:val="21"/>
        </w:rPr>
        <w:t>教职工家属</w:t>
      </w:r>
      <w:r>
        <w:rPr>
          <w:rFonts w:hint="eastAsia" w:ascii="宋体" w:hAnsi="宋体"/>
          <w:szCs w:val="21"/>
          <w:lang w:val="en-US" w:eastAsia="zh-CN"/>
        </w:rPr>
        <w:t>自费体检</w:t>
      </w:r>
      <w:r>
        <w:rPr>
          <w:rFonts w:hint="eastAsia" w:ascii="宋体" w:hAnsi="宋体"/>
          <w:szCs w:val="21"/>
          <w:lang w:eastAsia="zh-CN"/>
        </w:rPr>
        <w:t>，</w:t>
      </w:r>
      <w:r>
        <w:rPr>
          <w:rFonts w:hint="eastAsia" w:ascii="宋体" w:hAnsi="宋体"/>
          <w:szCs w:val="21"/>
          <w:lang w:val="en-US" w:eastAsia="zh-CN"/>
        </w:rPr>
        <w:t>享受与教职工</w:t>
      </w:r>
      <w:r>
        <w:rPr>
          <w:rFonts w:hint="eastAsia" w:ascii="宋体" w:hAnsi="宋体"/>
          <w:szCs w:val="21"/>
        </w:rPr>
        <w:t>同等优惠</w:t>
      </w:r>
      <w:r>
        <w:rPr>
          <w:rFonts w:hint="eastAsia" w:ascii="宋体" w:hAnsi="宋体"/>
          <w:szCs w:val="21"/>
          <w:lang w:val="en-US" w:eastAsia="zh-CN"/>
        </w:rPr>
        <w:t>折扣</w:t>
      </w:r>
      <w:r>
        <w:rPr>
          <w:rFonts w:hint="eastAsia" w:ascii="宋体" w:hAnsi="宋体"/>
          <w:szCs w:val="21"/>
        </w:rPr>
        <w:t>。</w:t>
      </w:r>
    </w:p>
    <w:p>
      <w:pPr>
        <w:tabs>
          <w:tab w:val="left" w:pos="900"/>
        </w:tabs>
        <w:spacing w:before="156" w:beforeLines="50" w:line="360" w:lineRule="auto"/>
        <w:ind w:firstLine="420" w:firstLineChars="200"/>
        <w:rPr>
          <w:rFonts w:hint="default" w:ascii="宋体" w:hAnsi="宋体" w:eastAsia="宋体"/>
          <w:szCs w:val="21"/>
          <w:lang w:val="en-US" w:eastAsia="zh-CN"/>
        </w:rPr>
      </w:pPr>
      <w:r>
        <w:rPr>
          <w:rFonts w:hint="eastAsia" w:ascii="宋体" w:hAnsi="宋体"/>
          <w:szCs w:val="21"/>
          <w:lang w:val="en-US" w:eastAsia="zh-CN"/>
        </w:rPr>
        <w:t>3.针对可能出现的特殊情况(如人员集中体检、设备故障等)有应急预案。</w:t>
      </w:r>
    </w:p>
    <w:p>
      <w:pPr>
        <w:tabs>
          <w:tab w:val="left" w:pos="900"/>
        </w:tabs>
        <w:spacing w:before="156" w:beforeLines="50"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hAnsi="宋体"/>
          <w:szCs w:val="21"/>
        </w:rPr>
        <w:t>体检机构需设有专门联系人，配合二级单位工会</w:t>
      </w:r>
      <w:r>
        <w:rPr>
          <w:rFonts w:hint="eastAsia" w:hAnsi="宋体"/>
          <w:szCs w:val="21"/>
          <w:lang w:val="en-US" w:eastAsia="zh-CN"/>
        </w:rPr>
        <w:t>或教职工</w:t>
      </w:r>
      <w:r>
        <w:rPr>
          <w:rFonts w:hint="eastAsia" w:hAnsi="宋体"/>
          <w:szCs w:val="21"/>
        </w:rPr>
        <w:t>预约体检，并根据实际体检人数开票报销。</w:t>
      </w:r>
    </w:p>
    <w:bookmarkEnd w:id="1"/>
    <w:bookmarkEnd w:id="2"/>
    <w:bookmarkEnd w:id="3"/>
    <w:p>
      <w:pPr>
        <w:tabs>
          <w:tab w:val="left" w:pos="900"/>
        </w:tabs>
        <w:spacing w:before="156" w:beforeLines="50" w:line="360" w:lineRule="auto"/>
        <w:rPr>
          <w:rFonts w:hAnsi="宋体"/>
          <w:b/>
          <w:szCs w:val="21"/>
        </w:rPr>
      </w:pPr>
      <w:r>
        <w:rPr>
          <w:rFonts w:hint="eastAsia" w:hAnsi="宋体"/>
          <w:b/>
          <w:szCs w:val="21"/>
        </w:rPr>
        <w:t>六、资质要求</w:t>
      </w:r>
    </w:p>
    <w:p>
      <w:pPr>
        <w:keepNext w:val="0"/>
        <w:keepLines w:val="0"/>
        <w:pageBreakBefore w:val="0"/>
        <w:widowControl w:val="0"/>
        <w:tabs>
          <w:tab w:val="left" w:pos="900"/>
        </w:tabs>
        <w:kinsoku/>
        <w:wordWrap/>
        <w:overflowPunct/>
        <w:topLinePunct w:val="0"/>
        <w:autoSpaceDE/>
        <w:autoSpaceDN/>
        <w:bidi w:val="0"/>
        <w:adjustRightInd/>
        <w:snapToGrid/>
        <w:spacing w:before="156" w:beforeLines="50" w:line="320" w:lineRule="exact"/>
        <w:ind w:firstLine="420" w:firstLineChars="200"/>
        <w:textAlignment w:val="auto"/>
        <w:rPr>
          <w:szCs w:val="21"/>
        </w:rPr>
      </w:pPr>
      <w:r>
        <w:rPr>
          <w:rFonts w:hint="eastAsia"/>
          <w:szCs w:val="21"/>
        </w:rPr>
        <w:t>西安市区范围内的三甲医院或在西安市区范围内有独立院区的社会体检机构，具有卫生行政部门核发的《医疗机构执业许可证》、《</w:t>
      </w:r>
      <w:r>
        <w:rPr>
          <w:spacing w:val="8"/>
        </w:rPr>
        <w:t>放射诊疗许可证</w:t>
      </w:r>
      <w:r>
        <w:rPr>
          <w:rFonts w:hint="eastAsia"/>
          <w:szCs w:val="21"/>
        </w:rPr>
        <w:t>》、《辐射安全许可证》。满足《中华人民共和国政府采购法》第二十二条规定。本次招标不接受联合体投标。</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mY2JhYzk5NjY2NmYzODcyYTEwZjFmYzJkZDNkNjQifQ=="/>
  </w:docVars>
  <w:rsids>
    <w:rsidRoot w:val="00A161FC"/>
    <w:rsid w:val="00032733"/>
    <w:rsid w:val="00062614"/>
    <w:rsid w:val="00086B83"/>
    <w:rsid w:val="000878B4"/>
    <w:rsid w:val="000A241D"/>
    <w:rsid w:val="000C68F5"/>
    <w:rsid w:val="00105428"/>
    <w:rsid w:val="00140AF0"/>
    <w:rsid w:val="001507CE"/>
    <w:rsid w:val="00157667"/>
    <w:rsid w:val="001609FC"/>
    <w:rsid w:val="0018461B"/>
    <w:rsid w:val="001A6BEC"/>
    <w:rsid w:val="001B712C"/>
    <w:rsid w:val="001C41C3"/>
    <w:rsid w:val="001E3FBB"/>
    <w:rsid w:val="00237253"/>
    <w:rsid w:val="00243C29"/>
    <w:rsid w:val="0026503A"/>
    <w:rsid w:val="002B3A1B"/>
    <w:rsid w:val="002C229A"/>
    <w:rsid w:val="002E64CC"/>
    <w:rsid w:val="002F21BC"/>
    <w:rsid w:val="003113D4"/>
    <w:rsid w:val="00345D8D"/>
    <w:rsid w:val="0036352F"/>
    <w:rsid w:val="003649AF"/>
    <w:rsid w:val="003D3F69"/>
    <w:rsid w:val="003F67F2"/>
    <w:rsid w:val="00453832"/>
    <w:rsid w:val="00465D37"/>
    <w:rsid w:val="004951D7"/>
    <w:rsid w:val="004A43F0"/>
    <w:rsid w:val="004E4B14"/>
    <w:rsid w:val="004F40D4"/>
    <w:rsid w:val="00501176"/>
    <w:rsid w:val="00510891"/>
    <w:rsid w:val="005221D5"/>
    <w:rsid w:val="00522F58"/>
    <w:rsid w:val="0053111A"/>
    <w:rsid w:val="0055392E"/>
    <w:rsid w:val="00562C62"/>
    <w:rsid w:val="005633CE"/>
    <w:rsid w:val="00571ADE"/>
    <w:rsid w:val="005951EF"/>
    <w:rsid w:val="005D0943"/>
    <w:rsid w:val="005D58D0"/>
    <w:rsid w:val="005E64E8"/>
    <w:rsid w:val="005F1571"/>
    <w:rsid w:val="005F401F"/>
    <w:rsid w:val="00611202"/>
    <w:rsid w:val="00615B69"/>
    <w:rsid w:val="006353C5"/>
    <w:rsid w:val="006474D0"/>
    <w:rsid w:val="006B249E"/>
    <w:rsid w:val="006C2918"/>
    <w:rsid w:val="006C3172"/>
    <w:rsid w:val="006C6423"/>
    <w:rsid w:val="006C782C"/>
    <w:rsid w:val="006D7364"/>
    <w:rsid w:val="0072364E"/>
    <w:rsid w:val="007554BB"/>
    <w:rsid w:val="007839AE"/>
    <w:rsid w:val="007B746E"/>
    <w:rsid w:val="007F4BD9"/>
    <w:rsid w:val="00800E12"/>
    <w:rsid w:val="008153D5"/>
    <w:rsid w:val="00823CA9"/>
    <w:rsid w:val="008403A0"/>
    <w:rsid w:val="0084652E"/>
    <w:rsid w:val="00846AD3"/>
    <w:rsid w:val="0089621F"/>
    <w:rsid w:val="008F0145"/>
    <w:rsid w:val="00925E61"/>
    <w:rsid w:val="00932B2D"/>
    <w:rsid w:val="00937EDE"/>
    <w:rsid w:val="0099177F"/>
    <w:rsid w:val="00995789"/>
    <w:rsid w:val="009F6CAB"/>
    <w:rsid w:val="009F7A2C"/>
    <w:rsid w:val="00A047F0"/>
    <w:rsid w:val="00A05614"/>
    <w:rsid w:val="00A161FC"/>
    <w:rsid w:val="00A42931"/>
    <w:rsid w:val="00A7388A"/>
    <w:rsid w:val="00A765E9"/>
    <w:rsid w:val="00AC005D"/>
    <w:rsid w:val="00AF6650"/>
    <w:rsid w:val="00AF7468"/>
    <w:rsid w:val="00B01A2B"/>
    <w:rsid w:val="00B4481B"/>
    <w:rsid w:val="00B72BD6"/>
    <w:rsid w:val="00B829A3"/>
    <w:rsid w:val="00B91989"/>
    <w:rsid w:val="00B91DF2"/>
    <w:rsid w:val="00BC3D86"/>
    <w:rsid w:val="00BD6357"/>
    <w:rsid w:val="00BE5444"/>
    <w:rsid w:val="00C15054"/>
    <w:rsid w:val="00C63818"/>
    <w:rsid w:val="00C76A38"/>
    <w:rsid w:val="00C82348"/>
    <w:rsid w:val="00CD153F"/>
    <w:rsid w:val="00CD2230"/>
    <w:rsid w:val="00D01B8D"/>
    <w:rsid w:val="00D32E9E"/>
    <w:rsid w:val="00D3536B"/>
    <w:rsid w:val="00D67D53"/>
    <w:rsid w:val="00D76C1C"/>
    <w:rsid w:val="00DC1928"/>
    <w:rsid w:val="00DD421F"/>
    <w:rsid w:val="00DF5062"/>
    <w:rsid w:val="00E0581E"/>
    <w:rsid w:val="00E1130A"/>
    <w:rsid w:val="00E4264C"/>
    <w:rsid w:val="00E73399"/>
    <w:rsid w:val="00E7573D"/>
    <w:rsid w:val="00E821CF"/>
    <w:rsid w:val="00E931F1"/>
    <w:rsid w:val="00F9674E"/>
    <w:rsid w:val="00F9789E"/>
    <w:rsid w:val="00FB00E1"/>
    <w:rsid w:val="00FC1111"/>
    <w:rsid w:val="00FC3BB8"/>
    <w:rsid w:val="00FE1B41"/>
    <w:rsid w:val="00FF21F2"/>
    <w:rsid w:val="00FF47AD"/>
    <w:rsid w:val="029414F5"/>
    <w:rsid w:val="031D3E0D"/>
    <w:rsid w:val="053229DF"/>
    <w:rsid w:val="06E05CA6"/>
    <w:rsid w:val="07D77EC3"/>
    <w:rsid w:val="093A43EE"/>
    <w:rsid w:val="09C20CA2"/>
    <w:rsid w:val="0E2D1853"/>
    <w:rsid w:val="0F8E1DBD"/>
    <w:rsid w:val="12474287"/>
    <w:rsid w:val="12E329E8"/>
    <w:rsid w:val="19C256A6"/>
    <w:rsid w:val="1BC72B84"/>
    <w:rsid w:val="1E6C7630"/>
    <w:rsid w:val="22DD0183"/>
    <w:rsid w:val="23D31A7E"/>
    <w:rsid w:val="243C7095"/>
    <w:rsid w:val="25CF2A82"/>
    <w:rsid w:val="28010EAE"/>
    <w:rsid w:val="2D352B4E"/>
    <w:rsid w:val="2D701DB3"/>
    <w:rsid w:val="2DD10F83"/>
    <w:rsid w:val="2DD9016D"/>
    <w:rsid w:val="3024396F"/>
    <w:rsid w:val="30944C0F"/>
    <w:rsid w:val="35A937D1"/>
    <w:rsid w:val="362A0D0C"/>
    <w:rsid w:val="36F54EEF"/>
    <w:rsid w:val="382F1216"/>
    <w:rsid w:val="3CA5722A"/>
    <w:rsid w:val="3D9E0EAF"/>
    <w:rsid w:val="3F2F7302"/>
    <w:rsid w:val="3FCB3C84"/>
    <w:rsid w:val="41391BE8"/>
    <w:rsid w:val="42152481"/>
    <w:rsid w:val="442A0D54"/>
    <w:rsid w:val="46B03CE8"/>
    <w:rsid w:val="470433DE"/>
    <w:rsid w:val="47077EFA"/>
    <w:rsid w:val="478D6CAF"/>
    <w:rsid w:val="498F3D7D"/>
    <w:rsid w:val="4D714264"/>
    <w:rsid w:val="4F8427AA"/>
    <w:rsid w:val="4FAF6015"/>
    <w:rsid w:val="4FFA0849"/>
    <w:rsid w:val="50E52EA5"/>
    <w:rsid w:val="50FF69EA"/>
    <w:rsid w:val="51BE7DFD"/>
    <w:rsid w:val="5440249E"/>
    <w:rsid w:val="55FA5FA1"/>
    <w:rsid w:val="55FD7180"/>
    <w:rsid w:val="5B0208B5"/>
    <w:rsid w:val="5DC37B59"/>
    <w:rsid w:val="5E2D37A6"/>
    <w:rsid w:val="5E9C4AB8"/>
    <w:rsid w:val="5FB30357"/>
    <w:rsid w:val="61CC260C"/>
    <w:rsid w:val="6274453A"/>
    <w:rsid w:val="63E81597"/>
    <w:rsid w:val="657835FE"/>
    <w:rsid w:val="659C70C3"/>
    <w:rsid w:val="6614581B"/>
    <w:rsid w:val="67772022"/>
    <w:rsid w:val="6A27551B"/>
    <w:rsid w:val="6B540771"/>
    <w:rsid w:val="6E383622"/>
    <w:rsid w:val="6E5E0BB6"/>
    <w:rsid w:val="6E9F3634"/>
    <w:rsid w:val="6EFF6E08"/>
    <w:rsid w:val="6F474854"/>
    <w:rsid w:val="726D335B"/>
    <w:rsid w:val="741B564D"/>
    <w:rsid w:val="78314698"/>
    <w:rsid w:val="78643E22"/>
    <w:rsid w:val="78AD7426"/>
    <w:rsid w:val="79125326"/>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cstheme="minorBidi"/>
      <w:szCs w:val="22"/>
    </w:rPr>
  </w:style>
  <w:style w:type="paragraph" w:styleId="3">
    <w:name w:val="Balloon Text"/>
    <w:basedOn w:val="1"/>
    <w:link w:val="18"/>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2"/>
    <w:qFormat/>
    <w:uiPriority w:val="0"/>
    <w:pPr>
      <w:spacing w:before="240" w:after="60"/>
      <w:jc w:val="center"/>
      <w:outlineLvl w:val="0"/>
    </w:pPr>
    <w:rPr>
      <w:rFonts w:ascii="Arial" w:hAnsi="Arial" w:cs="Arial"/>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纯文本 字符"/>
    <w:link w:val="2"/>
    <w:qFormat/>
    <w:uiPriority w:val="0"/>
    <w:rPr>
      <w:rFonts w:ascii="宋体" w:hAnsi="Courier New" w:eastAsia="宋体"/>
    </w:rPr>
  </w:style>
  <w:style w:type="character" w:customStyle="1" w:styleId="11">
    <w:name w:val="页脚 字符"/>
    <w:link w:val="4"/>
    <w:qFormat/>
    <w:uiPriority w:val="0"/>
    <w:rPr>
      <w:sz w:val="18"/>
    </w:rPr>
  </w:style>
  <w:style w:type="character" w:customStyle="1" w:styleId="12">
    <w:name w:val="标题 字符"/>
    <w:link w:val="6"/>
    <w:qFormat/>
    <w:uiPriority w:val="0"/>
    <w:rPr>
      <w:rFonts w:ascii="Arial" w:hAnsi="Arial" w:eastAsia="宋体" w:cs="Arial"/>
      <w:b/>
      <w:bCs/>
      <w:sz w:val="32"/>
      <w:szCs w:val="32"/>
    </w:rPr>
  </w:style>
  <w:style w:type="character" w:customStyle="1" w:styleId="13">
    <w:name w:val="页脚 Char"/>
    <w:basedOn w:val="9"/>
    <w:semiHidden/>
    <w:qFormat/>
    <w:uiPriority w:val="99"/>
    <w:rPr>
      <w:rFonts w:ascii="Times New Roman" w:hAnsi="Times New Roman" w:eastAsia="宋体" w:cs="Times New Roman"/>
      <w:sz w:val="18"/>
      <w:szCs w:val="18"/>
    </w:rPr>
  </w:style>
  <w:style w:type="character" w:customStyle="1" w:styleId="14">
    <w:name w:val="标题 Char"/>
    <w:basedOn w:val="9"/>
    <w:qFormat/>
    <w:uiPriority w:val="10"/>
    <w:rPr>
      <w:rFonts w:eastAsia="宋体" w:asciiTheme="majorHAnsi" w:hAnsiTheme="majorHAnsi" w:cstheme="majorBidi"/>
      <w:b/>
      <w:bCs/>
      <w:sz w:val="32"/>
      <w:szCs w:val="32"/>
    </w:rPr>
  </w:style>
  <w:style w:type="character" w:customStyle="1" w:styleId="15">
    <w:name w:val="纯文本 Char"/>
    <w:basedOn w:val="9"/>
    <w:semiHidden/>
    <w:qFormat/>
    <w:uiPriority w:val="99"/>
    <w:rPr>
      <w:rFonts w:ascii="宋体" w:hAnsi="Courier New" w:eastAsia="宋体" w:cs="Courier New"/>
      <w:szCs w:val="21"/>
    </w:rPr>
  </w:style>
  <w:style w:type="character" w:customStyle="1" w:styleId="16">
    <w:name w:val="页眉 字符"/>
    <w:basedOn w:val="9"/>
    <w:link w:val="5"/>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2D10F-2EB8-4621-83CF-FA0EA76E35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306</Words>
  <Characters>1745</Characters>
  <Lines>14</Lines>
  <Paragraphs>4</Paragraphs>
  <TotalTime>3</TotalTime>
  <ScaleCrop>false</ScaleCrop>
  <LinksUpToDate>false</LinksUpToDate>
  <CharactersWithSpaces>2047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2024-06-11T08:23:00Z</dcterms:created>
  <dc:creator>User</dc:creator>
  <cp:lastModifiedBy>huawei</cp:lastModifiedBy>
  <cp:lastPrinted>2025-03-31T06:26:00Z</cp:lastPrinted>
  <dcterms:modified xsi:type="dcterms:W3CDTF">2025-04-18T07:54:26Z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BE276CF5CB5347839D84BB726AC7704F_13</vt:lpwstr>
  </property>
</Properties>
</file>