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3E" w:rsidRDefault="002A5F85">
      <w:pPr>
        <w:widowControl/>
        <w:spacing w:line="360" w:lineRule="auto"/>
        <w:jc w:val="center"/>
        <w:textAlignment w:val="baseline"/>
        <w:rPr>
          <w:rFonts w:ascii="宋体" w:hAnsi="宋体" w:cs="Arial"/>
          <w:b/>
          <w:bCs/>
          <w:sz w:val="36"/>
          <w:szCs w:val="32"/>
        </w:rPr>
      </w:pPr>
      <w:bookmarkStart w:id="0" w:name="_Toc38367762"/>
      <w:r>
        <w:rPr>
          <w:rFonts w:ascii="宋体" w:hAnsi="宋体" w:cs="Arial" w:hint="eastAsia"/>
          <w:b/>
          <w:bCs/>
          <w:sz w:val="36"/>
          <w:szCs w:val="32"/>
        </w:rPr>
        <w:t>西安交通大学兴庆家属区二村新建高层</w:t>
      </w:r>
    </w:p>
    <w:p w:rsidR="0035273E" w:rsidRDefault="002A5F85">
      <w:pPr>
        <w:widowControl/>
        <w:spacing w:line="360" w:lineRule="auto"/>
        <w:jc w:val="center"/>
        <w:textAlignment w:val="baseline"/>
        <w:rPr>
          <w:rFonts w:ascii="宋体" w:hAnsi="宋体"/>
          <w:b/>
          <w:bCs/>
          <w:sz w:val="36"/>
        </w:rPr>
      </w:pPr>
      <w:r>
        <w:rPr>
          <w:rFonts w:ascii="宋体" w:hAnsi="宋体" w:cs="Arial" w:hint="eastAsia"/>
          <w:b/>
          <w:bCs/>
          <w:sz w:val="36"/>
          <w:szCs w:val="32"/>
        </w:rPr>
        <w:t>电梯维保服务</w:t>
      </w:r>
      <w:r>
        <w:rPr>
          <w:rFonts w:ascii="宋体" w:hAnsi="宋体"/>
          <w:b/>
          <w:bCs/>
          <w:sz w:val="36"/>
        </w:rPr>
        <w:t>采购需求</w:t>
      </w:r>
      <w:bookmarkEnd w:id="0"/>
    </w:p>
    <w:p w:rsidR="00000000" w:rsidRDefault="002A5F85" w:rsidP="009551B0">
      <w:pPr>
        <w:tabs>
          <w:tab w:val="left" w:pos="900"/>
        </w:tabs>
        <w:spacing w:beforeLines="50" w:line="360" w:lineRule="auto"/>
        <w:rPr>
          <w:b/>
          <w:szCs w:val="21"/>
        </w:rPr>
      </w:pPr>
      <w:bookmarkStart w:id="1" w:name="_Toc158978330"/>
      <w:bookmarkStart w:id="2" w:name="_Toc172360661"/>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000000" w:rsidRDefault="002A5F85" w:rsidP="009551B0">
      <w:pPr>
        <w:tabs>
          <w:tab w:val="left" w:pos="900"/>
        </w:tabs>
        <w:spacing w:beforeLines="50"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35273E" w:rsidRDefault="002A5F85">
      <w:pPr>
        <w:spacing w:line="360" w:lineRule="auto"/>
        <w:ind w:firstLineChars="200" w:firstLine="420"/>
        <w:rPr>
          <w:rFonts w:hAnsi="宋体"/>
          <w:color w:val="FF0000"/>
          <w:szCs w:val="21"/>
        </w:rPr>
      </w:pPr>
      <w:r>
        <w:rPr>
          <w:rFonts w:hint="eastAsia"/>
          <w:szCs w:val="21"/>
        </w:rPr>
        <w:t>本采购项目为</w:t>
      </w:r>
      <w:r>
        <w:rPr>
          <w:rFonts w:hint="eastAsia"/>
          <w:b/>
          <w:bCs/>
          <w:szCs w:val="21"/>
        </w:rPr>
        <w:t>2024</w:t>
      </w:r>
      <w:r>
        <w:rPr>
          <w:rFonts w:hint="eastAsia"/>
          <w:b/>
          <w:bCs/>
          <w:szCs w:val="21"/>
        </w:rPr>
        <w:t>年</w:t>
      </w:r>
      <w:r>
        <w:rPr>
          <w:rFonts w:hint="eastAsia"/>
          <w:b/>
          <w:bCs/>
          <w:szCs w:val="21"/>
        </w:rPr>
        <w:t>10</w:t>
      </w:r>
      <w:r>
        <w:rPr>
          <w:rFonts w:hint="eastAsia"/>
          <w:b/>
          <w:bCs/>
          <w:szCs w:val="21"/>
        </w:rPr>
        <w:t>月</w:t>
      </w:r>
      <w:r>
        <w:rPr>
          <w:rFonts w:hint="eastAsia"/>
          <w:b/>
          <w:bCs/>
          <w:szCs w:val="21"/>
        </w:rPr>
        <w:t>15</w:t>
      </w:r>
      <w:r>
        <w:rPr>
          <w:rFonts w:hint="eastAsia"/>
          <w:b/>
          <w:bCs/>
          <w:szCs w:val="21"/>
        </w:rPr>
        <w:t>日—</w:t>
      </w:r>
      <w:r>
        <w:rPr>
          <w:rFonts w:hint="eastAsia"/>
          <w:b/>
          <w:bCs/>
          <w:szCs w:val="21"/>
        </w:rPr>
        <w:t>2026</w:t>
      </w:r>
      <w:r>
        <w:rPr>
          <w:rFonts w:hint="eastAsia"/>
          <w:b/>
          <w:bCs/>
          <w:szCs w:val="21"/>
        </w:rPr>
        <w:t>年</w:t>
      </w:r>
      <w:r>
        <w:rPr>
          <w:rFonts w:hint="eastAsia"/>
          <w:b/>
          <w:bCs/>
          <w:szCs w:val="21"/>
        </w:rPr>
        <w:t>10</w:t>
      </w:r>
      <w:r>
        <w:rPr>
          <w:rFonts w:hint="eastAsia"/>
          <w:b/>
          <w:bCs/>
          <w:szCs w:val="21"/>
        </w:rPr>
        <w:t>月</w:t>
      </w:r>
      <w:r>
        <w:rPr>
          <w:rFonts w:hint="eastAsia"/>
          <w:b/>
          <w:bCs/>
          <w:szCs w:val="21"/>
        </w:rPr>
        <w:t>14</w:t>
      </w:r>
      <w:r>
        <w:rPr>
          <w:rFonts w:hint="eastAsia"/>
          <w:szCs w:val="21"/>
        </w:rPr>
        <w:t>日（</w:t>
      </w:r>
      <w:r>
        <w:rPr>
          <w:rFonts w:hint="eastAsia"/>
          <w:szCs w:val="21"/>
        </w:rPr>
        <w:t>24</w:t>
      </w:r>
      <w:r>
        <w:rPr>
          <w:rFonts w:hint="eastAsia"/>
          <w:szCs w:val="21"/>
        </w:rPr>
        <w:t>个月）兴庆家属区交大二村内</w:t>
      </w:r>
      <w:r>
        <w:rPr>
          <w:rFonts w:hint="eastAsia"/>
          <w:szCs w:val="21"/>
        </w:rPr>
        <w:t>28</w:t>
      </w:r>
      <w:r>
        <w:rPr>
          <w:rFonts w:hint="eastAsia"/>
          <w:szCs w:val="21"/>
        </w:rPr>
        <w:t>部通力牌电梯维保服务，主要包括电梯日常保养、电梯不定期自检、电梯定检、运行检测分析及电梯维修、紧急救援等</w:t>
      </w:r>
      <w:r>
        <w:rPr>
          <w:rFonts w:hint="eastAsia"/>
          <w:szCs w:val="21"/>
        </w:rPr>
        <w:t>(</w:t>
      </w:r>
      <w:r>
        <w:rPr>
          <w:rFonts w:hint="eastAsia"/>
          <w:szCs w:val="21"/>
        </w:rPr>
        <w:t>详细要求见后</w:t>
      </w:r>
      <w:r>
        <w:rPr>
          <w:rFonts w:hint="eastAsia"/>
          <w:szCs w:val="21"/>
        </w:rPr>
        <w:t>)</w:t>
      </w:r>
      <w:r>
        <w:rPr>
          <w:rFonts w:hint="eastAsia"/>
          <w:szCs w:val="21"/>
        </w:rPr>
        <w:t>。该项目定位主要是加强电梯运行监测与分析，使用专业技术方法有计划地对电梯进行预防性保养和维修，</w:t>
      </w:r>
      <w:r>
        <w:rPr>
          <w:rFonts w:asciiTheme="minorEastAsia" w:eastAsiaTheme="minorEastAsia" w:hAnsiTheme="minorEastAsia" w:cstheme="minorEastAsia" w:hint="eastAsia"/>
          <w:szCs w:val="21"/>
        </w:rPr>
        <w:t>通过择优选择电梯维保服务单位，提供优质的电梯维护保养服务，</w:t>
      </w:r>
      <w:r>
        <w:rPr>
          <w:rFonts w:hint="eastAsia"/>
          <w:szCs w:val="21"/>
        </w:rPr>
        <w:t>从而保障交大二村电梯长期安全可靠、有序舒适运行。</w:t>
      </w:r>
    </w:p>
    <w:p w:rsidR="00000000" w:rsidRDefault="002A5F85" w:rsidP="009551B0">
      <w:pPr>
        <w:tabs>
          <w:tab w:val="left" w:pos="900"/>
        </w:tabs>
        <w:spacing w:beforeLines="50" w:line="360" w:lineRule="auto"/>
        <w:rPr>
          <w:b/>
          <w:szCs w:val="21"/>
        </w:rPr>
      </w:pPr>
      <w:r>
        <w:rPr>
          <w:rFonts w:hAnsi="宋体"/>
          <w:b/>
          <w:szCs w:val="21"/>
        </w:rPr>
        <w:t>（二）为落实政府采购政策需满足的要求</w:t>
      </w:r>
    </w:p>
    <w:p w:rsidR="0035273E" w:rsidRDefault="002A5F85">
      <w:pPr>
        <w:spacing w:line="360" w:lineRule="auto"/>
        <w:ind w:firstLineChars="200" w:firstLine="420"/>
        <w:rPr>
          <w:szCs w:val="21"/>
        </w:rPr>
      </w:pPr>
      <w:r>
        <w:rPr>
          <w:rFonts w:hint="eastAsia"/>
          <w:szCs w:val="21"/>
        </w:rPr>
        <w:t>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rsidR="0035273E" w:rsidRDefault="002A5F85">
      <w:pPr>
        <w:spacing w:line="360" w:lineRule="auto"/>
        <w:ind w:firstLineChars="200" w:firstLine="420"/>
        <w:rPr>
          <w:szCs w:val="21"/>
        </w:rPr>
      </w:pPr>
      <w:r>
        <w:rPr>
          <w:rFonts w:hint="eastAsia"/>
          <w:szCs w:val="21"/>
        </w:rPr>
        <w:t>本项目采购标的对应的《中小企业划型标准规定》所属行业为：</w:t>
      </w:r>
      <w:r>
        <w:rPr>
          <w:rFonts w:hint="eastAsia"/>
          <w:szCs w:val="21"/>
          <w:u w:val="single"/>
        </w:rPr>
        <w:t>其他未列明行业</w:t>
      </w:r>
      <w:r>
        <w:rPr>
          <w:rFonts w:hint="eastAsia"/>
          <w:szCs w:val="21"/>
        </w:rPr>
        <w:t>。</w:t>
      </w:r>
    </w:p>
    <w:p w:rsidR="0035273E" w:rsidRDefault="002A5F85">
      <w:pPr>
        <w:pStyle w:val="a0"/>
        <w:rPr>
          <w:sz w:val="21"/>
          <w:szCs w:val="21"/>
        </w:rPr>
      </w:pPr>
      <w:r>
        <w:rPr>
          <w:rFonts w:hint="eastAsia"/>
          <w:sz w:val="21"/>
          <w:szCs w:val="21"/>
        </w:rPr>
        <w:t>不允许联合体投标，中标单位不得将工程转包或分包。</w:t>
      </w:r>
    </w:p>
    <w:p w:rsidR="00000000" w:rsidRDefault="002A5F85" w:rsidP="009551B0">
      <w:pPr>
        <w:tabs>
          <w:tab w:val="left" w:pos="900"/>
        </w:tabs>
        <w:spacing w:beforeLines="50"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000000" w:rsidRDefault="002A5F85" w:rsidP="009551B0">
      <w:pPr>
        <w:tabs>
          <w:tab w:val="left" w:pos="900"/>
        </w:tabs>
        <w:spacing w:beforeLines="50"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w:t>
      </w:r>
    </w:p>
    <w:p w:rsidR="00000000" w:rsidRDefault="002A5F85" w:rsidP="009551B0">
      <w:pPr>
        <w:numPr>
          <w:ilvl w:val="0"/>
          <w:numId w:val="1"/>
        </w:numPr>
        <w:tabs>
          <w:tab w:val="left" w:pos="900"/>
        </w:tabs>
        <w:spacing w:beforeLines="50" w:line="360" w:lineRule="auto"/>
        <w:ind w:firstLineChars="200" w:firstLine="420"/>
        <w:rPr>
          <w:szCs w:val="21"/>
        </w:rPr>
      </w:pPr>
      <w:r>
        <w:rPr>
          <w:rFonts w:hint="eastAsia"/>
          <w:szCs w:val="21"/>
        </w:rPr>
        <w:t xml:space="preserve">TSG T5002-2017 </w:t>
      </w:r>
      <w:r>
        <w:rPr>
          <w:rFonts w:hint="eastAsia"/>
          <w:szCs w:val="21"/>
        </w:rPr>
        <w:t>《电梯维护保养规则》；</w:t>
      </w:r>
    </w:p>
    <w:p w:rsidR="00000000" w:rsidRDefault="002A5F85" w:rsidP="009551B0">
      <w:pPr>
        <w:numPr>
          <w:ilvl w:val="0"/>
          <w:numId w:val="1"/>
        </w:numPr>
        <w:tabs>
          <w:tab w:val="left" w:pos="900"/>
        </w:tabs>
        <w:spacing w:beforeLines="50" w:line="360" w:lineRule="auto"/>
        <w:ind w:firstLineChars="200" w:firstLine="420"/>
        <w:rPr>
          <w:szCs w:val="21"/>
        </w:rPr>
      </w:pPr>
      <w:r w:rsidRPr="00E81C9A">
        <w:rPr>
          <w:rFonts w:hint="eastAsia"/>
          <w:szCs w:val="21"/>
        </w:rPr>
        <w:t>TSG T7001-2023</w:t>
      </w:r>
      <w:r w:rsidRPr="00E81C9A">
        <w:rPr>
          <w:rFonts w:hint="eastAsia"/>
          <w:szCs w:val="21"/>
        </w:rPr>
        <w:t>《电梯监督检验和定期检验规则》；</w:t>
      </w:r>
    </w:p>
    <w:p w:rsidR="00000000" w:rsidRDefault="002A5F85" w:rsidP="009551B0">
      <w:pPr>
        <w:numPr>
          <w:ilvl w:val="0"/>
          <w:numId w:val="1"/>
        </w:numPr>
        <w:tabs>
          <w:tab w:val="left" w:pos="900"/>
        </w:tabs>
        <w:spacing w:beforeLines="50" w:line="360" w:lineRule="auto"/>
        <w:ind w:firstLineChars="200" w:firstLine="420"/>
        <w:rPr>
          <w:szCs w:val="21"/>
        </w:rPr>
      </w:pPr>
      <w:r w:rsidRPr="00E81C9A">
        <w:rPr>
          <w:rFonts w:hint="eastAsia"/>
          <w:szCs w:val="21"/>
        </w:rPr>
        <w:t>TSG T7008-2023</w:t>
      </w:r>
      <w:r w:rsidRPr="00E81C9A">
        <w:rPr>
          <w:rFonts w:hint="eastAsia"/>
          <w:szCs w:val="21"/>
        </w:rPr>
        <w:t>《电梯自行检测规则》；</w:t>
      </w:r>
    </w:p>
    <w:p w:rsidR="00000000" w:rsidRDefault="002A5F85" w:rsidP="009551B0">
      <w:pPr>
        <w:numPr>
          <w:ilvl w:val="0"/>
          <w:numId w:val="1"/>
        </w:numPr>
        <w:tabs>
          <w:tab w:val="left" w:pos="900"/>
        </w:tabs>
        <w:spacing w:beforeLines="50" w:line="360" w:lineRule="auto"/>
        <w:ind w:firstLineChars="200" w:firstLine="420"/>
        <w:rPr>
          <w:szCs w:val="21"/>
        </w:rPr>
      </w:pPr>
      <w:r>
        <w:rPr>
          <w:rFonts w:hint="eastAsia"/>
          <w:szCs w:val="21"/>
        </w:rPr>
        <w:t>GB/T 10058-2009</w:t>
      </w:r>
      <w:r>
        <w:rPr>
          <w:rFonts w:hint="eastAsia"/>
          <w:szCs w:val="21"/>
        </w:rPr>
        <w:t>《电梯技术条件》；</w:t>
      </w:r>
    </w:p>
    <w:p w:rsidR="00000000" w:rsidRDefault="002A5F85" w:rsidP="009551B0">
      <w:pPr>
        <w:numPr>
          <w:ilvl w:val="0"/>
          <w:numId w:val="1"/>
        </w:numPr>
        <w:tabs>
          <w:tab w:val="left" w:pos="900"/>
        </w:tabs>
        <w:spacing w:beforeLines="50" w:line="360" w:lineRule="auto"/>
        <w:ind w:firstLineChars="200" w:firstLine="420"/>
      </w:pPr>
      <w:r>
        <w:rPr>
          <w:rFonts w:hint="eastAsia"/>
          <w:szCs w:val="21"/>
        </w:rPr>
        <w:t xml:space="preserve">GB 24804-2009 </w:t>
      </w:r>
      <w:r>
        <w:rPr>
          <w:rFonts w:hint="eastAsia"/>
          <w:szCs w:val="21"/>
        </w:rPr>
        <w:t>《提高在用电梯安全性规范》；</w:t>
      </w:r>
    </w:p>
    <w:p w:rsidR="00000000" w:rsidRDefault="002A5F85" w:rsidP="009551B0">
      <w:pPr>
        <w:tabs>
          <w:tab w:val="left" w:pos="900"/>
        </w:tabs>
        <w:spacing w:beforeLines="50" w:line="360" w:lineRule="auto"/>
        <w:rPr>
          <w:szCs w:val="21"/>
        </w:rPr>
      </w:pPr>
      <w:r>
        <w:rPr>
          <w:rFonts w:hint="eastAsia"/>
          <w:szCs w:val="21"/>
        </w:rPr>
        <w:t>未尽事项参考国家对应的法律法规、安全技术规范、标准及学校对应的管理办法。</w:t>
      </w:r>
    </w:p>
    <w:p w:rsidR="00000000" w:rsidRDefault="002A5F85" w:rsidP="009551B0">
      <w:pPr>
        <w:tabs>
          <w:tab w:val="left" w:pos="900"/>
        </w:tabs>
        <w:spacing w:beforeLines="50" w:line="360" w:lineRule="auto"/>
        <w:rPr>
          <w:rFonts w:hAnsi="宋体"/>
          <w:b/>
          <w:szCs w:val="21"/>
        </w:rPr>
      </w:pPr>
      <w:r>
        <w:rPr>
          <w:rFonts w:hAnsi="宋体" w:hint="eastAsia"/>
          <w:b/>
          <w:szCs w:val="21"/>
        </w:rPr>
        <w:lastRenderedPageBreak/>
        <w:t>三、采购标的概况</w:t>
      </w:r>
    </w:p>
    <w:p w:rsidR="00000000" w:rsidRDefault="002A5F85" w:rsidP="009551B0">
      <w:pPr>
        <w:spacing w:beforeLines="50" w:line="360" w:lineRule="auto"/>
        <w:rPr>
          <w:szCs w:val="21"/>
          <w:u w:val="single"/>
        </w:rPr>
      </w:pPr>
      <w:r>
        <w:rPr>
          <w:rFonts w:ascii="宋体" w:hAnsi="宋体" w:hint="eastAsia"/>
          <w:szCs w:val="21"/>
        </w:rPr>
        <w:t>（一）采购项目名称：</w:t>
      </w:r>
      <w:r>
        <w:rPr>
          <w:rFonts w:asciiTheme="minorEastAsia" w:eastAsiaTheme="minorEastAsia" w:hAnsiTheme="minorEastAsia" w:cstheme="minorEastAsia" w:hint="eastAsia"/>
          <w:szCs w:val="21"/>
          <w:u w:val="single"/>
        </w:rPr>
        <w:t>西安交通大学兴庆家属区二村新建高层</w:t>
      </w:r>
      <w:r>
        <w:rPr>
          <w:rFonts w:hint="eastAsia"/>
          <w:szCs w:val="21"/>
          <w:u w:val="single"/>
        </w:rPr>
        <w:t>电梯维保服务</w:t>
      </w:r>
    </w:p>
    <w:p w:rsidR="00000000" w:rsidRDefault="002A5F85" w:rsidP="009551B0">
      <w:pPr>
        <w:spacing w:beforeLines="50" w:line="360" w:lineRule="auto"/>
        <w:rPr>
          <w:rFonts w:hAnsi="宋体"/>
          <w:szCs w:val="21"/>
          <w:u w:val="single"/>
        </w:rPr>
      </w:pPr>
      <w:r>
        <w:rPr>
          <w:rFonts w:hAnsi="宋体" w:hint="eastAsia"/>
          <w:szCs w:val="21"/>
        </w:rPr>
        <w:t>（二）采购数量及计量单位：</w:t>
      </w:r>
      <w:r>
        <w:rPr>
          <w:rFonts w:hAnsi="宋体" w:hint="eastAsia"/>
          <w:szCs w:val="21"/>
          <w:u w:val="single"/>
        </w:rPr>
        <w:t>28</w:t>
      </w:r>
      <w:r>
        <w:rPr>
          <w:rFonts w:hAnsi="宋体" w:hint="eastAsia"/>
          <w:szCs w:val="21"/>
          <w:u w:val="single"/>
        </w:rPr>
        <w:t>部电梯（</w:t>
      </w:r>
      <w:r>
        <w:rPr>
          <w:rFonts w:hAnsi="宋体" w:hint="eastAsia"/>
          <w:szCs w:val="21"/>
          <w:u w:val="single"/>
        </w:rPr>
        <w:t>24</w:t>
      </w:r>
      <w:r>
        <w:rPr>
          <w:rFonts w:hAnsi="宋体" w:hint="eastAsia"/>
          <w:szCs w:val="21"/>
          <w:u w:val="single"/>
        </w:rPr>
        <w:t>个月维保服务）</w:t>
      </w:r>
    </w:p>
    <w:p w:rsidR="00000000" w:rsidRDefault="002A5F85" w:rsidP="009551B0">
      <w:pPr>
        <w:spacing w:beforeLines="50" w:line="360" w:lineRule="auto"/>
        <w:rPr>
          <w:rFonts w:hAnsi="宋体"/>
          <w:szCs w:val="21"/>
        </w:rPr>
      </w:pPr>
      <w:r>
        <w:rPr>
          <w:rFonts w:hAnsi="宋体" w:hint="eastAsia"/>
          <w:szCs w:val="21"/>
        </w:rPr>
        <w:t>（三）最高限价：人民币</w:t>
      </w:r>
      <w:r>
        <w:rPr>
          <w:rFonts w:hAnsi="宋体" w:hint="eastAsia"/>
          <w:szCs w:val="21"/>
          <w:u w:val="single"/>
        </w:rPr>
        <w:t>120</w:t>
      </w:r>
      <w:r>
        <w:rPr>
          <w:rFonts w:hAnsi="宋体" w:hint="eastAsia"/>
          <w:szCs w:val="21"/>
        </w:rPr>
        <w:t>万元（</w:t>
      </w:r>
      <w:r>
        <w:rPr>
          <w:rFonts w:hAnsi="宋体" w:hint="eastAsia"/>
          <w:szCs w:val="21"/>
        </w:rPr>
        <w:t>24</w:t>
      </w:r>
      <w:r>
        <w:rPr>
          <w:rFonts w:hAnsi="宋体" w:hint="eastAsia"/>
          <w:szCs w:val="21"/>
        </w:rPr>
        <w:t>个月）。</w:t>
      </w:r>
    </w:p>
    <w:p w:rsidR="00000000" w:rsidRDefault="002A5F85" w:rsidP="009551B0">
      <w:pPr>
        <w:tabs>
          <w:tab w:val="left" w:pos="900"/>
        </w:tabs>
        <w:spacing w:beforeLines="50" w:line="360" w:lineRule="auto"/>
        <w:rPr>
          <w:rFonts w:hAnsi="宋体"/>
          <w:szCs w:val="21"/>
        </w:rPr>
      </w:pPr>
      <w:r>
        <w:rPr>
          <w:rFonts w:hAnsi="宋体" w:hint="eastAsia"/>
          <w:szCs w:val="21"/>
        </w:rPr>
        <w:t>（四）服务</w:t>
      </w:r>
      <w:r>
        <w:rPr>
          <w:rFonts w:hAnsi="宋体"/>
          <w:szCs w:val="21"/>
        </w:rPr>
        <w:t>地点：</w:t>
      </w:r>
      <w:r>
        <w:rPr>
          <w:rFonts w:hAnsi="宋体" w:hint="eastAsia"/>
          <w:szCs w:val="21"/>
          <w:u w:val="single"/>
        </w:rPr>
        <w:t>西安交通大学</w:t>
      </w:r>
      <w:r>
        <w:rPr>
          <w:rFonts w:asciiTheme="minorEastAsia" w:eastAsiaTheme="minorEastAsia" w:hAnsiTheme="minorEastAsia" w:cstheme="minorEastAsia" w:hint="eastAsia"/>
          <w:szCs w:val="21"/>
          <w:u w:val="single"/>
        </w:rPr>
        <w:t>兴庆家属区交大二村</w:t>
      </w:r>
      <w:r>
        <w:rPr>
          <w:rFonts w:hAnsi="宋体" w:hint="eastAsia"/>
          <w:szCs w:val="21"/>
        </w:rPr>
        <w:t>。</w:t>
      </w:r>
    </w:p>
    <w:p w:rsidR="0035273E" w:rsidRDefault="002A5F85">
      <w:pPr>
        <w:spacing w:line="520" w:lineRule="exact"/>
        <w:rPr>
          <w:rFonts w:asciiTheme="minorEastAsia" w:hAnsiTheme="minorEastAsia" w:cs="宋体"/>
          <w:color w:val="000000" w:themeColor="text1"/>
          <w:kern w:val="0"/>
          <w:sz w:val="24"/>
          <w:szCs w:val="24"/>
        </w:rPr>
      </w:pPr>
      <w:r>
        <w:rPr>
          <w:rFonts w:hAnsi="宋体" w:hint="eastAsia"/>
          <w:szCs w:val="21"/>
        </w:rPr>
        <w:t>（五）服务期限：</w:t>
      </w:r>
      <w:r>
        <w:rPr>
          <w:rFonts w:hint="eastAsia"/>
          <w:szCs w:val="21"/>
          <w:u w:val="single"/>
        </w:rPr>
        <w:t>2024</w:t>
      </w:r>
      <w:r>
        <w:rPr>
          <w:rFonts w:hint="eastAsia"/>
          <w:szCs w:val="21"/>
          <w:u w:val="single"/>
        </w:rPr>
        <w:t>年</w:t>
      </w:r>
      <w:r>
        <w:rPr>
          <w:rFonts w:hint="eastAsia"/>
          <w:szCs w:val="21"/>
          <w:u w:val="single"/>
        </w:rPr>
        <w:t>10</w:t>
      </w:r>
      <w:r>
        <w:rPr>
          <w:rFonts w:hint="eastAsia"/>
          <w:szCs w:val="21"/>
          <w:u w:val="single"/>
        </w:rPr>
        <w:t>月</w:t>
      </w:r>
      <w:r>
        <w:rPr>
          <w:rFonts w:hint="eastAsia"/>
          <w:szCs w:val="21"/>
          <w:u w:val="single"/>
        </w:rPr>
        <w:t>15</w:t>
      </w:r>
      <w:r>
        <w:rPr>
          <w:rFonts w:hint="eastAsia"/>
          <w:szCs w:val="21"/>
          <w:u w:val="single"/>
        </w:rPr>
        <w:t>日—</w:t>
      </w:r>
      <w:r>
        <w:rPr>
          <w:rFonts w:hint="eastAsia"/>
          <w:szCs w:val="21"/>
          <w:u w:val="single"/>
        </w:rPr>
        <w:t>2026</w:t>
      </w:r>
      <w:r>
        <w:rPr>
          <w:rFonts w:hint="eastAsia"/>
          <w:szCs w:val="21"/>
          <w:u w:val="single"/>
        </w:rPr>
        <w:t>年</w:t>
      </w:r>
      <w:r>
        <w:rPr>
          <w:rFonts w:hint="eastAsia"/>
          <w:szCs w:val="21"/>
          <w:u w:val="single"/>
        </w:rPr>
        <w:t>10</w:t>
      </w:r>
      <w:r>
        <w:rPr>
          <w:rFonts w:hint="eastAsia"/>
          <w:szCs w:val="21"/>
          <w:u w:val="single"/>
        </w:rPr>
        <w:t>月</w:t>
      </w:r>
      <w:r>
        <w:rPr>
          <w:rFonts w:hint="eastAsia"/>
          <w:szCs w:val="21"/>
          <w:u w:val="single"/>
        </w:rPr>
        <w:t>14</w:t>
      </w:r>
      <w:r>
        <w:rPr>
          <w:rFonts w:hint="eastAsia"/>
          <w:szCs w:val="21"/>
          <w:u w:val="single"/>
        </w:rPr>
        <w:t>日（两年）</w:t>
      </w:r>
      <w:r>
        <w:rPr>
          <w:rFonts w:asciiTheme="minorEastAsia" w:hAnsiTheme="minorEastAsia" w:cs="宋体" w:hint="eastAsia"/>
          <w:color w:val="000000" w:themeColor="text1"/>
          <w:kern w:val="0"/>
          <w:sz w:val="24"/>
          <w:szCs w:val="24"/>
        </w:rPr>
        <w:t>服务期限</w:t>
      </w:r>
    </w:p>
    <w:p w:rsidR="0035273E" w:rsidRDefault="002A5F85">
      <w:pPr>
        <w:numPr>
          <w:ilvl w:val="255"/>
          <w:numId w:val="0"/>
        </w:numPr>
        <w:spacing w:line="5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服务合同每年一签，合同期满后采购方进行考核，考核合格者可以续签服务合同，</w:t>
      </w:r>
      <w:r>
        <w:rPr>
          <w:rFonts w:asciiTheme="minorEastAsia" w:hAnsiTheme="minorEastAsia"/>
          <w:color w:val="000000" w:themeColor="text1"/>
          <w:szCs w:val="21"/>
        </w:rPr>
        <w:t>考核不合格者将终止执行合同</w:t>
      </w:r>
      <w:r>
        <w:rPr>
          <w:rFonts w:asciiTheme="minorEastAsia" w:hAnsiTheme="minorEastAsia" w:hint="eastAsia"/>
          <w:color w:val="000000" w:themeColor="text1"/>
          <w:szCs w:val="21"/>
        </w:rPr>
        <w:t>。</w:t>
      </w:r>
    </w:p>
    <w:p w:rsidR="00000000" w:rsidRDefault="002A5F85" w:rsidP="009551B0">
      <w:pPr>
        <w:tabs>
          <w:tab w:val="left" w:pos="900"/>
        </w:tabs>
        <w:spacing w:beforeLines="50" w:line="360" w:lineRule="auto"/>
        <w:rPr>
          <w:rFonts w:hAnsi="宋体"/>
          <w:szCs w:val="21"/>
        </w:rPr>
      </w:pPr>
      <w:r>
        <w:rPr>
          <w:rFonts w:hAnsi="宋体" w:hint="eastAsia"/>
          <w:szCs w:val="21"/>
        </w:rPr>
        <w:t>（六）付款进度安排：</w:t>
      </w:r>
      <w:r>
        <w:rPr>
          <w:rFonts w:hAnsi="宋体" w:hint="eastAsia"/>
          <w:szCs w:val="21"/>
          <w:u w:val="single"/>
        </w:rPr>
        <w:t>每月考核，按季度付款</w:t>
      </w:r>
      <w:r>
        <w:rPr>
          <w:rFonts w:hAnsi="宋体" w:hint="eastAsia"/>
          <w:szCs w:val="21"/>
        </w:rPr>
        <w:t>。</w:t>
      </w:r>
    </w:p>
    <w:p w:rsidR="00000000" w:rsidRDefault="002A5F85" w:rsidP="009551B0">
      <w:pPr>
        <w:tabs>
          <w:tab w:val="left" w:pos="900"/>
        </w:tabs>
        <w:spacing w:beforeLines="50" w:line="360" w:lineRule="auto"/>
        <w:rPr>
          <w:rFonts w:hAnsi="宋体"/>
          <w:b/>
          <w:szCs w:val="21"/>
        </w:rPr>
      </w:pPr>
      <w:r>
        <w:rPr>
          <w:rFonts w:hAnsi="宋体" w:hint="eastAsia"/>
          <w:b/>
          <w:szCs w:val="21"/>
        </w:rPr>
        <w:t>四、采购标的需满足的质量、安全、技术等要求：</w:t>
      </w:r>
    </w:p>
    <w:p w:rsidR="0035273E" w:rsidRDefault="002A5F85">
      <w:pPr>
        <w:pStyle w:val="a0"/>
        <w:spacing w:line="360" w:lineRule="auto"/>
        <w:rPr>
          <w:b/>
          <w:bCs/>
          <w:sz w:val="21"/>
          <w:szCs w:val="21"/>
        </w:rPr>
      </w:pPr>
      <w:r>
        <w:rPr>
          <w:rFonts w:hint="eastAsia"/>
          <w:b/>
          <w:bCs/>
          <w:sz w:val="21"/>
          <w:szCs w:val="21"/>
        </w:rPr>
        <w:t>（一）服务内容</w:t>
      </w:r>
    </w:p>
    <w:p w:rsidR="0035273E" w:rsidRDefault="002A5F85">
      <w:pPr>
        <w:pStyle w:val="aa"/>
        <w:widowControl/>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二村 5舍、6舍、18舍、19舍、26舍、27舍、28舍共 28部通力牌电梯的维护保养服务。</w:t>
      </w:r>
    </w:p>
    <w:p w:rsidR="0035273E" w:rsidRDefault="002A5F85">
      <w:pPr>
        <w:pStyle w:val="a5"/>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1.每月至少2次维护保养，每周必须保证1次定期检查，每天至少1次日常巡查；</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2.在电梯所在住宅区内设立常驻维保站点，并提供电梯24小时应急处理服务，在接到报修救援电话须在15分钟内赶到现场处置；</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3.必须保证至少两名持《中华人民共和国特种设备作业人员证》的作业人员进行应急处理和救援；</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4.必须保证所提供的电梯零配件为通力电梯正品原件；电梯零配件分为一般电梯零配件</w:t>
      </w:r>
      <w:r>
        <w:rPr>
          <w:rFonts w:asciiTheme="minorEastAsia" w:eastAsiaTheme="minorEastAsia" w:hAnsiTheme="minorEastAsia" w:cstheme="minorEastAsia" w:hint="eastAsia"/>
          <w:b/>
          <w:bCs/>
          <w:sz w:val="21"/>
          <w:szCs w:val="21"/>
        </w:rPr>
        <w:t>（消耗由中标人提供）</w:t>
      </w:r>
      <w:r>
        <w:rPr>
          <w:rFonts w:asciiTheme="minorEastAsia" w:eastAsiaTheme="minorEastAsia" w:hAnsiTheme="minorEastAsia" w:cstheme="minorEastAsia" w:hint="eastAsia"/>
          <w:sz w:val="21"/>
          <w:szCs w:val="21"/>
        </w:rPr>
        <w:t>和特殊电梯零配件</w:t>
      </w:r>
      <w:r>
        <w:rPr>
          <w:rFonts w:asciiTheme="minorEastAsia" w:eastAsiaTheme="minorEastAsia" w:hAnsiTheme="minorEastAsia" w:cstheme="minorEastAsia" w:hint="eastAsia"/>
          <w:b/>
          <w:bCs/>
          <w:sz w:val="21"/>
          <w:szCs w:val="21"/>
        </w:rPr>
        <w:t>（消耗由采购人提供）</w:t>
      </w:r>
      <w:r>
        <w:rPr>
          <w:rFonts w:asciiTheme="minorEastAsia" w:eastAsiaTheme="minorEastAsia" w:hAnsiTheme="minorEastAsia" w:cstheme="minorEastAsia" w:hint="eastAsia"/>
          <w:sz w:val="21"/>
          <w:szCs w:val="21"/>
        </w:rPr>
        <w:t>两类：特殊电梯零配件包括曳引机、控制柜主板、曳引钢丝绳、限速器、轿厢板、厅轿门等，一般电梯零配件是指除特殊电梯零配件以外的零配件；</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5.本标的维保服务包含电梯保养的劳务服务、更换电梯零配件的劳务服务以及免费提供一般电梯零配件；</w:t>
      </w:r>
      <w:r>
        <w:rPr>
          <w:rFonts w:asciiTheme="minorEastAsia" w:eastAsiaTheme="minorEastAsia" w:hAnsiTheme="minorEastAsia" w:cstheme="minorEastAsia" w:hint="eastAsia"/>
          <w:sz w:val="21"/>
          <w:szCs w:val="21"/>
          <w:lang w:val="zh-CN"/>
        </w:rPr>
        <w:t>免费提供</w:t>
      </w:r>
      <w:r>
        <w:rPr>
          <w:rFonts w:asciiTheme="minorEastAsia" w:eastAsiaTheme="minorEastAsia" w:hAnsiTheme="minorEastAsia" w:cstheme="minorEastAsia" w:hint="eastAsia"/>
          <w:sz w:val="21"/>
          <w:szCs w:val="21"/>
        </w:rPr>
        <w:t>125%载荷试验及限速器校验费；</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6.电梯维修时限：小修不超过12小时、中修不超过48小时；大修应在一周内完成。</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7.提供驻场人员名单。驻场人员持证不少于4人（其中1人持有机电专业工程师证或助工证）；</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8.除机械部件之外，储备所有电器部件2套。</w:t>
      </w:r>
    </w:p>
    <w:p w:rsidR="0035273E" w:rsidRDefault="002A5F85">
      <w:pPr>
        <w:pStyle w:val="a0"/>
        <w:numPr>
          <w:ilvl w:val="0"/>
          <w:numId w:val="2"/>
        </w:numPr>
        <w:spacing w:line="360" w:lineRule="auto"/>
        <w:rPr>
          <w:b/>
          <w:bCs/>
          <w:sz w:val="21"/>
          <w:szCs w:val="21"/>
        </w:rPr>
      </w:pPr>
      <w:r>
        <w:rPr>
          <w:rFonts w:hint="eastAsia"/>
          <w:b/>
          <w:bCs/>
          <w:sz w:val="21"/>
          <w:szCs w:val="21"/>
        </w:rPr>
        <w:t>维保设备清单</w:t>
      </w:r>
    </w:p>
    <w:p w:rsidR="0035273E" w:rsidRDefault="002A5F85">
      <w:pPr>
        <w:pStyle w:val="aa"/>
        <w:widowControl/>
        <w:spacing w:line="360" w:lineRule="auto"/>
        <w:ind w:firstLineChars="202" w:firstLine="42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详见附件。</w:t>
      </w:r>
    </w:p>
    <w:p w:rsidR="00000000" w:rsidRDefault="002A5F85" w:rsidP="009551B0">
      <w:pPr>
        <w:numPr>
          <w:ilvl w:val="0"/>
          <w:numId w:val="3"/>
        </w:numPr>
        <w:tabs>
          <w:tab w:val="left" w:pos="900"/>
        </w:tabs>
        <w:spacing w:beforeLines="50" w:line="360" w:lineRule="auto"/>
        <w:rPr>
          <w:rFonts w:hAnsi="宋体"/>
          <w:b/>
          <w:szCs w:val="21"/>
        </w:rPr>
      </w:pPr>
      <w:r>
        <w:rPr>
          <w:rFonts w:hAnsi="宋体" w:hint="eastAsia"/>
          <w:b/>
          <w:szCs w:val="21"/>
        </w:rPr>
        <w:t>采购标的需满足的服务标准、期限、效率等要求</w:t>
      </w:r>
    </w:p>
    <w:p w:rsidR="0035273E" w:rsidRDefault="002A5F85">
      <w:pPr>
        <w:pStyle w:val="a4"/>
        <w:spacing w:line="360" w:lineRule="auto"/>
        <w:rPr>
          <w:rFonts w:asciiTheme="minorEastAsia" w:eastAsiaTheme="minorEastAsia" w:hAnsiTheme="minorEastAsia" w:cstheme="minorEastAsia"/>
          <w:szCs w:val="21"/>
        </w:rPr>
      </w:pPr>
      <w:r>
        <w:rPr>
          <w:rFonts w:hint="eastAsia"/>
          <w:b/>
          <w:bCs/>
          <w:szCs w:val="21"/>
        </w:rPr>
        <w:t>资质要求：</w:t>
      </w:r>
      <w:r>
        <w:rPr>
          <w:rFonts w:asciiTheme="minorEastAsia" w:eastAsiaTheme="minorEastAsia" w:hAnsiTheme="minorEastAsia" w:cstheme="minorEastAsia" w:hint="eastAsia"/>
          <w:b/>
          <w:szCs w:val="21"/>
        </w:rPr>
        <w:t>具有特种设备（电梯）安装（含修理）许可证A2级及以上资质。</w:t>
      </w:r>
    </w:p>
    <w:p w:rsidR="0035273E" w:rsidRDefault="002A5F85">
      <w:pPr>
        <w:pStyle w:val="aa"/>
        <w:widowControl/>
        <w:spacing w:line="360" w:lineRule="auto"/>
        <w:jc w:val="left"/>
        <w:rPr>
          <w:rFonts w:hAnsi="宋体"/>
          <w:b/>
          <w:sz w:val="21"/>
          <w:szCs w:val="21"/>
        </w:rPr>
      </w:pPr>
      <w:r>
        <w:rPr>
          <w:rFonts w:hAnsi="宋体" w:hint="eastAsia"/>
          <w:b/>
          <w:sz w:val="21"/>
          <w:szCs w:val="21"/>
        </w:rPr>
        <w:t>六、采购标的的其他技术、服务等要求：</w:t>
      </w:r>
    </w:p>
    <w:p w:rsidR="0035273E" w:rsidRDefault="002A5F85">
      <w:pPr>
        <w:pStyle w:val="aa"/>
        <w:widowControl/>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1.维护保养单位协助电梯使用方做好电梯的年检及升级改造</w:t>
      </w:r>
    </w:p>
    <w:p w:rsidR="0035273E" w:rsidRDefault="002A5F85">
      <w:pPr>
        <w:pStyle w:val="aa"/>
        <w:widowControl/>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2.维护保养单位给电梯使用方购买《特种设备责任保险》；</w:t>
      </w:r>
    </w:p>
    <w:p w:rsidR="0035273E" w:rsidRPr="000A6C12" w:rsidRDefault="00FF563B">
      <w:pPr>
        <w:pStyle w:val="aa"/>
        <w:widowControl/>
        <w:spacing w:line="360" w:lineRule="auto"/>
        <w:ind w:firstLineChars="200" w:firstLine="420"/>
        <w:rPr>
          <w:rFonts w:asciiTheme="minorEastAsia" w:eastAsiaTheme="minorEastAsia" w:hAnsiTheme="minorEastAsia" w:cstheme="minorEastAsia"/>
          <w:color w:val="000000" w:themeColor="text1"/>
          <w:sz w:val="21"/>
          <w:szCs w:val="21"/>
        </w:rPr>
      </w:pPr>
      <w:bookmarkStart w:id="4" w:name="_GoBack"/>
      <w:r w:rsidRPr="00FF563B">
        <w:rPr>
          <w:rFonts w:asciiTheme="minorEastAsia" w:eastAsiaTheme="minorEastAsia" w:hAnsiTheme="minorEastAsia" w:cstheme="minorEastAsia"/>
          <w:color w:val="000000" w:themeColor="text1"/>
          <w:sz w:val="21"/>
          <w:szCs w:val="21"/>
        </w:rPr>
        <w:t>3.投标人须提供通力电梯制造厂家的电梯修理委托授权证明文件。</w:t>
      </w:r>
    </w:p>
    <w:bookmarkEnd w:id="4"/>
    <w:p w:rsidR="0035273E" w:rsidRDefault="002A5F85">
      <w:pPr>
        <w:pStyle w:val="aa"/>
        <w:widowControl/>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4.电梯维修方式约定：</w:t>
      </w:r>
    </w:p>
    <w:p w:rsidR="0035273E" w:rsidRDefault="002A5F85">
      <w:pPr>
        <w:pStyle w:val="aa"/>
        <w:widowControl/>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（1）小修：</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A.对电梯个别零部件进行检修，基本上不拆卸复杂部分；</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B.小修的内容应以能保证机械设备正常运转到下一次计划检修为标准。</w:t>
      </w:r>
    </w:p>
    <w:p w:rsidR="0035273E" w:rsidRDefault="002A5F85">
      <w:pPr>
        <w:pStyle w:val="aa"/>
        <w:widowControl/>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（2）中修：</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A.除个别零部件在不需要拆卸的前提下，对其清洗，加润滑油，拧紧电气接线端其越程距离为上下端子的螺栓等外，均需进行拆卸检查；</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B.需拆卸电梯的传动部件和机械电气安全装置。需更换有异常响声或磨损的零件，以及拆修部分电气元件；</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C.新装电梯在使用2年以上的且使用十分频繁的。</w:t>
      </w:r>
    </w:p>
    <w:p w:rsidR="0035273E" w:rsidRDefault="002A5F85">
      <w:pPr>
        <w:pStyle w:val="aa"/>
        <w:widowControl/>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（3）大修：</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A.电梯已经中修2次以上的；</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B.电梯虽未中修，但电梯已经使用3—5年的；</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C.电梯发生过重大事故，其主要部件严重受损的；</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D.电梯大修是对电梯进行全面彻底检查，凡不符合要求的零部件一律拆换，大修之后的电梯应基本达到新安装电梯的标准。</w:t>
      </w:r>
    </w:p>
    <w:p w:rsidR="0035273E" w:rsidRDefault="002A5F85">
      <w:pPr>
        <w:pStyle w:val="aa"/>
        <w:widowControl/>
        <w:spacing w:line="360" w:lineRule="auto"/>
        <w:ind w:firstLineChars="253" w:firstLine="533"/>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注：电梯修理前，应按照相关法律法规规定办理告知手续。电梯重大修理过程必须经过特种设备检验检测机构监督检验合格，并出具监督检验报告。</w:t>
      </w:r>
    </w:p>
    <w:p w:rsidR="0035273E" w:rsidRDefault="002A5F85">
      <w:pPr>
        <w:pStyle w:val="aa"/>
        <w:widowControl/>
        <w:spacing w:line="360" w:lineRule="auto"/>
        <w:ind w:firstLineChars="253" w:firstLine="53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5.投标人应具有完成类似服务项目的业绩。</w:t>
      </w:r>
    </w:p>
    <w:p w:rsidR="0035273E" w:rsidRDefault="002A5F85">
      <w:pPr>
        <w:pStyle w:val="aa"/>
        <w:widowControl/>
        <w:spacing w:line="360" w:lineRule="auto"/>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七、投标单位资质要求：</w:t>
      </w:r>
    </w:p>
    <w:p w:rsidR="0035273E" w:rsidRDefault="002A5F85">
      <w:pPr>
        <w:pStyle w:val="aa"/>
        <w:widowControl/>
        <w:spacing w:line="360" w:lineRule="auto"/>
        <w:ind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1、独立法人机构，提供合法有效的营业执照、税务登记证、组织机构代码证（三证合一的企业提供统一社会信用代码的营业执照）。 2、具有特种设备（电梯）安装维修许可证A级资质，且在经营活动中没有重大违法记录； 3、参加本次采购标的维保单位必须在近3年内无工商行政处罚和信用中国上无不良记录</w:t>
      </w:r>
    </w:p>
    <w:p w:rsidR="0035273E" w:rsidRDefault="002A5F85" w:rsidP="009551B0">
      <w:pPr>
        <w:tabs>
          <w:tab w:val="left" w:pos="900"/>
        </w:tabs>
        <w:spacing w:beforeLines="50" w:line="360" w:lineRule="auto"/>
        <w:rPr>
          <w:rFonts w:ascii="宋体" w:hAnsi="宋体"/>
          <w:b/>
          <w:szCs w:val="21"/>
        </w:rPr>
      </w:pPr>
      <w:r>
        <w:rPr>
          <w:rFonts w:ascii="宋体" w:hAnsi="宋体" w:hint="eastAsia"/>
          <w:b/>
          <w:szCs w:val="21"/>
        </w:rPr>
        <w:t>八、考核及付款</w:t>
      </w:r>
    </w:p>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1.合同签订前，中标人须交纳￥50000元（伍万元整）作为履约保证金。合同期满，无扣款事项不计息退付。若由于中标人原因造成合同无法履行的，采购人将扣除全部履约保证金。</w:t>
      </w:r>
    </w:p>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2.服务期内每月进行服务质量考核（见附件2），根据考核结果按季度支付服务费，根据现场考核所列标准要求和评分细则，对当季服务质量评定级别分为：90分及以上；90分以下，80分及以上；80分以下，70分及以上；70分以下。</w:t>
      </w:r>
    </w:p>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3.每月考评结果作为服务费的支付依据。进行服务费用的支付及相应处置：</w:t>
      </w:r>
    </w:p>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（1）综合评分达到90分及以上，不扣除服务费；</w:t>
      </w:r>
    </w:p>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（2）综合评分为90分以下，80分及以上，扣除当月服务费的0（不含）-4%；85（含）-90分，扣0（不含）-2%；80（含）-85分，扣除当月服务费的2%（不含）-4%；</w:t>
      </w:r>
    </w:p>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（3）综合评分为80分以下，70分及以上，扣除当月服务费的4%（不含）-8%；75（含）-80分，扣除季度服务费的4（不含）-6%，70（含）-75分，扣除当月服务费的6%（不含）-8%；</w:t>
      </w:r>
    </w:p>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（4）综合评分为70分以下，扣除当月服务费的8%，并终止服务合同。</w:t>
      </w:r>
    </w:p>
    <w:p w:rsidR="0035273E" w:rsidRDefault="002A5F85">
      <w:pPr>
        <w:pStyle w:val="aa"/>
        <w:widowControl/>
        <w:spacing w:line="360" w:lineRule="auto"/>
        <w:ind w:firstLineChars="253" w:firstLine="610"/>
        <w:rPr>
          <w:rFonts w:asciiTheme="minorEastAsia" w:hAnsiTheme="minorEastAsia" w:cstheme="minorEastAsia"/>
          <w:sz w:val="21"/>
          <w:szCs w:val="21"/>
        </w:rPr>
      </w:pPr>
      <w:r>
        <w:rPr>
          <w:rFonts w:ascii="宋体" w:hAnsi="宋体" w:hint="eastAsia"/>
          <w:b/>
          <w:szCs w:val="21"/>
        </w:rPr>
        <w:t>九、附件</w:t>
      </w:r>
    </w:p>
    <w:p w:rsidR="0035273E" w:rsidRDefault="002A5F85">
      <w:pPr>
        <w:spacing w:line="360" w:lineRule="auto"/>
        <w:ind w:leftChars="-428" w:left="-899" w:rightChars="-467" w:right="-981" w:firstLineChars="200" w:firstLine="562"/>
        <w:jc w:val="left"/>
        <w:rPr>
          <w:rFonts w:ascii="宋体" w:hAnsi="宋体"/>
          <w:b/>
          <w:sz w:val="28"/>
          <w:szCs w:val="28"/>
        </w:rPr>
      </w:pPr>
      <w:r>
        <w:rPr>
          <w:rFonts w:ascii="宋体" w:hAnsi="宋体" w:hint="eastAsia"/>
          <w:b/>
          <w:sz w:val="28"/>
          <w:szCs w:val="28"/>
        </w:rPr>
        <w:t>附件1：</w:t>
      </w:r>
    </w:p>
    <w:p w:rsidR="0035273E" w:rsidRDefault="002A5F85">
      <w:pPr>
        <w:spacing w:line="360" w:lineRule="auto"/>
        <w:jc w:val="center"/>
        <w:rPr>
          <w:rFonts w:hAnsi="宋体"/>
          <w:szCs w:val="21"/>
          <w:highlight w:val="yellow"/>
        </w:rPr>
      </w:pPr>
      <w:r>
        <w:rPr>
          <w:rFonts w:hAnsi="宋体" w:hint="eastAsia"/>
          <w:b/>
          <w:bCs/>
          <w:szCs w:val="21"/>
        </w:rPr>
        <w:t>设备清单</w:t>
      </w:r>
    </w:p>
    <w:tbl>
      <w:tblPr>
        <w:tblpPr w:leftFromText="180" w:rightFromText="180" w:vertAnchor="text" w:horzAnchor="page" w:tblpX="1265" w:tblpY="101"/>
        <w:tblOverlap w:val="neve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537"/>
        <w:gridCol w:w="1823"/>
        <w:gridCol w:w="1155"/>
        <w:gridCol w:w="1552"/>
        <w:gridCol w:w="1103"/>
        <w:gridCol w:w="1241"/>
      </w:tblGrid>
      <w:tr w:rsidR="0035273E">
        <w:trPr>
          <w:trHeight w:val="678"/>
        </w:trPr>
        <w:tc>
          <w:tcPr>
            <w:tcW w:w="1107" w:type="dxa"/>
            <w:vAlign w:val="center"/>
          </w:tcPr>
          <w:p w:rsidR="00000000" w:rsidRDefault="002A5F85" w:rsidP="009551B0">
            <w:pPr>
              <w:widowControl/>
              <w:spacing w:beforeLines="100" w:line="360" w:lineRule="auto"/>
              <w:jc w:val="center"/>
              <w:textAlignment w:val="center"/>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kern w:val="0"/>
                <w:szCs w:val="21"/>
              </w:rPr>
              <w:t>梯号</w:t>
            </w:r>
          </w:p>
          <w:p w:rsidR="0035273E" w:rsidRDefault="0035273E">
            <w:pPr>
              <w:widowControl/>
              <w:spacing w:line="360" w:lineRule="auto"/>
              <w:textAlignment w:val="center"/>
              <w:rPr>
                <w:rFonts w:asciiTheme="minorEastAsia" w:eastAsiaTheme="minorEastAsia" w:hAnsiTheme="minorEastAsia" w:cstheme="minorEastAsia"/>
                <w:b/>
                <w:bCs/>
                <w:color w:val="000000"/>
                <w:kern w:val="0"/>
                <w:szCs w:val="21"/>
              </w:rPr>
            </w:pPr>
          </w:p>
        </w:tc>
        <w:tc>
          <w:tcPr>
            <w:tcW w:w="1537"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电梯品牌</w:t>
            </w:r>
          </w:p>
        </w:tc>
        <w:tc>
          <w:tcPr>
            <w:tcW w:w="182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电梯型号</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层/站/门</w:t>
            </w:r>
          </w:p>
        </w:tc>
        <w:tc>
          <w:tcPr>
            <w:tcW w:w="1552" w:type="dxa"/>
            <w:vAlign w:val="center"/>
          </w:tcPr>
          <w:p w:rsidR="00000000" w:rsidRDefault="002A5F85" w:rsidP="009551B0">
            <w:pPr>
              <w:widowControl/>
              <w:spacing w:beforeLines="100" w:line="360" w:lineRule="auto"/>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载重（KG）</w:t>
            </w:r>
          </w:p>
          <w:p w:rsidR="0035273E" w:rsidRDefault="0035273E">
            <w:pPr>
              <w:widowControl/>
              <w:spacing w:line="360" w:lineRule="auto"/>
              <w:jc w:val="center"/>
              <w:textAlignment w:val="center"/>
              <w:rPr>
                <w:rFonts w:asciiTheme="minorEastAsia" w:eastAsiaTheme="minorEastAsia" w:hAnsiTheme="minorEastAsia" w:cstheme="minorEastAsia"/>
                <w:b/>
                <w:bCs/>
                <w:color w:val="000000"/>
                <w:kern w:val="0"/>
                <w:szCs w:val="21"/>
              </w:rPr>
            </w:pP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速度（M/S）</w:t>
            </w:r>
          </w:p>
        </w:tc>
        <w:tc>
          <w:tcPr>
            <w:tcW w:w="1241"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制造日期</w:t>
            </w:r>
          </w:p>
        </w:tc>
      </w:tr>
      <w:tr w:rsidR="0035273E">
        <w:trPr>
          <w:trHeight w:val="353"/>
        </w:trPr>
        <w:tc>
          <w:tcPr>
            <w:tcW w:w="1107" w:type="dxa"/>
            <w:tcBorders>
              <w:bottom w:val="single" w:sz="4" w:space="0" w:color="auto"/>
            </w:tcBorders>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5-东-北</w:t>
            </w:r>
          </w:p>
        </w:tc>
        <w:tc>
          <w:tcPr>
            <w:tcW w:w="1537" w:type="dxa"/>
            <w:tcBorders>
              <w:bottom w:val="single" w:sz="4" w:space="0" w:color="auto"/>
            </w:tcBorders>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tcBorders>
              <w:bottom w:val="single" w:sz="4" w:space="0" w:color="auto"/>
            </w:tcBorders>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tcBorders>
              <w:bottom w:val="single" w:sz="4" w:space="0" w:color="auto"/>
            </w:tcBorders>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tcBorders>
              <w:bottom w:val="single" w:sz="4" w:space="0" w:color="auto"/>
            </w:tcBorders>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tcBorders>
              <w:bottom w:val="single" w:sz="4" w:space="0" w:color="auto"/>
            </w:tcBorders>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tcBorders>
              <w:bottom w:val="single" w:sz="4" w:space="0" w:color="auto"/>
            </w:tcBorders>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5-东-南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5-中-南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5-中-北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5-西-南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5-西-北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6-东-东</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6-东-西</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6-西-东</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6-西-西</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33/33/33</w:t>
            </w:r>
          </w:p>
        </w:tc>
        <w:tc>
          <w:tcPr>
            <w:tcW w:w="1552"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18-东-北</w:t>
            </w:r>
          </w:p>
        </w:tc>
        <w:tc>
          <w:tcPr>
            <w:tcW w:w="1537"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26/26/26</w:t>
            </w:r>
          </w:p>
        </w:tc>
        <w:tc>
          <w:tcPr>
            <w:tcW w:w="1552"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18-东-南</w:t>
            </w:r>
          </w:p>
        </w:tc>
        <w:tc>
          <w:tcPr>
            <w:tcW w:w="1537"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26/26/26</w:t>
            </w:r>
          </w:p>
        </w:tc>
        <w:tc>
          <w:tcPr>
            <w:tcW w:w="1552"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18-西-南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26/26/26</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18-西-北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26/26/26</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19-东-北</w:t>
            </w:r>
          </w:p>
        </w:tc>
        <w:tc>
          <w:tcPr>
            <w:tcW w:w="1537"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19-东-南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19-西-北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19-西-南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26-东-东</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26-东-西</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26-西-东</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26-西-西</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27-北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27-南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28-东-北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28-东-南</w:t>
            </w:r>
          </w:p>
        </w:tc>
        <w:tc>
          <w:tcPr>
            <w:tcW w:w="1537"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28-西-北</w:t>
            </w:r>
          </w:p>
        </w:tc>
        <w:tc>
          <w:tcPr>
            <w:tcW w:w="1537"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r w:rsidR="0035273E">
        <w:tc>
          <w:tcPr>
            <w:tcW w:w="1107" w:type="dxa"/>
            <w:vAlign w:val="bottom"/>
          </w:tcPr>
          <w:p w:rsidR="0035273E" w:rsidRDefault="002A5F85">
            <w:pPr>
              <w:widowControl/>
              <w:spacing w:line="360" w:lineRule="auto"/>
              <w:jc w:val="center"/>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28-西-南</w:t>
            </w:r>
          </w:p>
        </w:tc>
        <w:tc>
          <w:tcPr>
            <w:tcW w:w="1537"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KONE芬兰通力</w:t>
            </w:r>
          </w:p>
        </w:tc>
        <w:tc>
          <w:tcPr>
            <w:tcW w:w="1823" w:type="dxa"/>
            <w:vAlign w:val="center"/>
          </w:tcPr>
          <w:p w:rsidR="0035273E" w:rsidRDefault="002A5F85">
            <w:pPr>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 w:val="20"/>
              </w:rPr>
              <w:t>KONE MiniSpace</w:t>
            </w:r>
          </w:p>
        </w:tc>
        <w:tc>
          <w:tcPr>
            <w:tcW w:w="1155"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34/34/34</w:t>
            </w:r>
          </w:p>
        </w:tc>
        <w:tc>
          <w:tcPr>
            <w:tcW w:w="1552"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1000</w:t>
            </w:r>
          </w:p>
        </w:tc>
        <w:tc>
          <w:tcPr>
            <w:tcW w:w="1103" w:type="dxa"/>
            <w:vAlign w:val="center"/>
          </w:tcPr>
          <w:p w:rsidR="0035273E" w:rsidRDefault="002A5F85">
            <w:pPr>
              <w:widowControl/>
              <w:spacing w:line="360" w:lineRule="auto"/>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2.0</w:t>
            </w:r>
          </w:p>
        </w:tc>
        <w:tc>
          <w:tcPr>
            <w:tcW w:w="1241" w:type="dxa"/>
            <w:vAlign w:val="center"/>
          </w:tcPr>
          <w:p w:rsidR="0035273E" w:rsidRDefault="002A5F8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2015年</w:t>
            </w:r>
          </w:p>
        </w:tc>
      </w:tr>
    </w:tbl>
    <w:p w:rsidR="0035273E" w:rsidRDefault="0035273E">
      <w:pPr>
        <w:pStyle w:val="a0"/>
        <w:spacing w:line="360" w:lineRule="auto"/>
      </w:pPr>
    </w:p>
    <w:p w:rsidR="0035273E" w:rsidRDefault="0035273E">
      <w:pPr>
        <w:pStyle w:val="a4"/>
      </w:pPr>
    </w:p>
    <w:p w:rsidR="0035273E" w:rsidRDefault="0035273E"/>
    <w:p w:rsidR="0035273E" w:rsidRDefault="0035273E">
      <w:pPr>
        <w:pStyle w:val="a0"/>
      </w:pPr>
    </w:p>
    <w:p w:rsidR="0035273E" w:rsidRDefault="0035273E">
      <w:pPr>
        <w:pStyle w:val="a4"/>
      </w:pPr>
    </w:p>
    <w:p w:rsidR="0035273E" w:rsidRDefault="0035273E"/>
    <w:p w:rsidR="0035273E" w:rsidRDefault="0035273E">
      <w:pPr>
        <w:pStyle w:val="a0"/>
      </w:pPr>
    </w:p>
    <w:p w:rsidR="0035273E" w:rsidRDefault="0035273E">
      <w:pPr>
        <w:pStyle w:val="a4"/>
      </w:pPr>
    </w:p>
    <w:p w:rsidR="0035273E" w:rsidRDefault="0035273E"/>
    <w:p w:rsidR="0035273E" w:rsidRDefault="002A5F85">
      <w:pPr>
        <w:pStyle w:val="a0"/>
        <w:spacing w:line="360" w:lineRule="auto"/>
      </w:pPr>
      <w:r>
        <w:rPr>
          <w:rFonts w:hint="eastAsia"/>
        </w:rPr>
        <w:t>附件</w:t>
      </w:r>
      <w:r>
        <w:rPr>
          <w:rFonts w:hint="eastAsia"/>
        </w:rPr>
        <w:t>2</w:t>
      </w:r>
      <w:r>
        <w:rPr>
          <w:rFonts w:hint="eastAsia"/>
        </w:rPr>
        <w:t>：</w:t>
      </w:r>
    </w:p>
    <w:p w:rsidR="0035273E" w:rsidRDefault="002A5F85">
      <w:pPr>
        <w:spacing w:line="360" w:lineRule="auto"/>
        <w:ind w:leftChars="-428" w:left="-899" w:rightChars="-467" w:right="-981" w:firstLineChars="200" w:firstLine="602"/>
        <w:jc w:val="center"/>
        <w:rPr>
          <w:rFonts w:ascii="宋体" w:hAnsi="宋体"/>
          <w:b/>
          <w:sz w:val="30"/>
          <w:szCs w:val="30"/>
        </w:rPr>
      </w:pPr>
      <w:r>
        <w:rPr>
          <w:rFonts w:ascii="宋体" w:hAnsi="宋体" w:hint="eastAsia"/>
          <w:b/>
          <w:sz w:val="30"/>
          <w:szCs w:val="30"/>
        </w:rPr>
        <w:t>电梯维护保养单位月考评表</w:t>
      </w:r>
    </w:p>
    <w:tbl>
      <w:tblPr>
        <w:tblpPr w:leftFromText="180" w:rightFromText="180" w:vertAnchor="text" w:horzAnchor="page" w:tblpX="531" w:tblpY="824"/>
        <w:tblOverlap w:val="never"/>
        <w:tblW w:w="1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381"/>
        <w:gridCol w:w="698"/>
        <w:gridCol w:w="2463"/>
        <w:gridCol w:w="2155"/>
        <w:gridCol w:w="2089"/>
        <w:gridCol w:w="745"/>
        <w:gridCol w:w="840"/>
      </w:tblGrid>
      <w:tr w:rsidR="0035273E">
        <w:trPr>
          <w:trHeight w:val="624"/>
        </w:trPr>
        <w:tc>
          <w:tcPr>
            <w:tcW w:w="741"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序号</w:t>
            </w:r>
          </w:p>
        </w:tc>
        <w:tc>
          <w:tcPr>
            <w:tcW w:w="1381"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考评项目</w:t>
            </w:r>
          </w:p>
        </w:tc>
        <w:tc>
          <w:tcPr>
            <w:tcW w:w="698"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总分值</w:t>
            </w:r>
          </w:p>
        </w:tc>
        <w:tc>
          <w:tcPr>
            <w:tcW w:w="4618" w:type="dxa"/>
            <w:gridSpan w:val="2"/>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项目内容</w:t>
            </w:r>
          </w:p>
        </w:tc>
        <w:tc>
          <w:tcPr>
            <w:tcW w:w="2089" w:type="dxa"/>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考评情况</w:t>
            </w:r>
          </w:p>
        </w:tc>
        <w:tc>
          <w:tcPr>
            <w:tcW w:w="745"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评分</w:t>
            </w:r>
          </w:p>
        </w:tc>
        <w:tc>
          <w:tcPr>
            <w:tcW w:w="840"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备注</w:t>
            </w:r>
          </w:p>
        </w:tc>
      </w:tr>
      <w:tr w:rsidR="0035273E">
        <w:trPr>
          <w:trHeight w:val="931"/>
        </w:trPr>
        <w:tc>
          <w:tcPr>
            <w:tcW w:w="741" w:type="dxa"/>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1</w:t>
            </w:r>
          </w:p>
        </w:tc>
        <w:tc>
          <w:tcPr>
            <w:tcW w:w="1381"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保养计划及完成情况</w:t>
            </w:r>
          </w:p>
        </w:tc>
        <w:tc>
          <w:tcPr>
            <w:tcW w:w="698"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10分</w:t>
            </w:r>
          </w:p>
        </w:tc>
        <w:tc>
          <w:tcPr>
            <w:tcW w:w="4618" w:type="dxa"/>
            <w:gridSpan w:val="2"/>
            <w:vAlign w:val="center"/>
          </w:tcPr>
          <w:p w:rsidR="0035273E" w:rsidRDefault="002A5F85">
            <w:pPr>
              <w:numPr>
                <w:ilvl w:val="0"/>
                <w:numId w:val="4"/>
              </w:numPr>
              <w:adjustRightInd w:val="0"/>
              <w:snapToGrid w:val="0"/>
              <w:spacing w:line="360" w:lineRule="auto"/>
            </w:pPr>
            <w:r>
              <w:rPr>
                <w:rFonts w:hint="eastAsia"/>
              </w:rPr>
              <w:t>每月</w:t>
            </w:r>
            <w:r>
              <w:rPr>
                <w:rFonts w:hint="eastAsia"/>
              </w:rPr>
              <w:t>25</w:t>
            </w:r>
            <w:r>
              <w:rPr>
                <w:rFonts w:hint="eastAsia"/>
              </w:rPr>
              <w:t>号前将下月保养计划提供给电梯管理单位，不提供或不按时提供扣</w:t>
            </w:r>
            <w:r>
              <w:rPr>
                <w:rFonts w:hint="eastAsia"/>
              </w:rPr>
              <w:t>5</w:t>
            </w:r>
            <w:r>
              <w:rPr>
                <w:rFonts w:hint="eastAsia"/>
              </w:rPr>
              <w:t>分。</w:t>
            </w:r>
          </w:p>
          <w:p w:rsidR="0035273E" w:rsidRDefault="002A5F85">
            <w:pPr>
              <w:numPr>
                <w:ilvl w:val="0"/>
                <w:numId w:val="4"/>
              </w:numPr>
              <w:adjustRightInd w:val="0"/>
              <w:snapToGrid w:val="0"/>
              <w:spacing w:line="360" w:lineRule="auto"/>
            </w:pPr>
            <w:r>
              <w:rPr>
                <w:rFonts w:ascii="宋体" w:hAnsi="宋体" w:hint="eastAsia"/>
                <w:szCs w:val="21"/>
              </w:rPr>
              <w:t>按照当月保养计划进行保养工作，未按计划保养的扣5分；</w:t>
            </w:r>
          </w:p>
        </w:tc>
        <w:tc>
          <w:tcPr>
            <w:tcW w:w="2089" w:type="dxa"/>
            <w:vAlign w:val="center"/>
          </w:tcPr>
          <w:p w:rsidR="0035273E" w:rsidRDefault="0035273E">
            <w:pPr>
              <w:adjustRightInd w:val="0"/>
              <w:snapToGrid w:val="0"/>
              <w:spacing w:line="360" w:lineRule="auto"/>
              <w:ind w:firstLineChars="200" w:firstLine="420"/>
              <w:rPr>
                <w:rFonts w:ascii="宋体" w:hAnsi="宋体"/>
                <w:szCs w:val="21"/>
              </w:rPr>
            </w:pPr>
          </w:p>
        </w:tc>
        <w:tc>
          <w:tcPr>
            <w:tcW w:w="745" w:type="dxa"/>
            <w:vAlign w:val="center"/>
          </w:tcPr>
          <w:p w:rsidR="0035273E" w:rsidRDefault="0035273E">
            <w:pPr>
              <w:adjustRightInd w:val="0"/>
              <w:snapToGrid w:val="0"/>
              <w:spacing w:line="360" w:lineRule="auto"/>
              <w:ind w:firstLineChars="200" w:firstLine="420"/>
              <w:rPr>
                <w:rFonts w:ascii="宋体" w:hAnsi="宋体"/>
                <w:szCs w:val="21"/>
              </w:rPr>
            </w:pPr>
          </w:p>
        </w:tc>
        <w:tc>
          <w:tcPr>
            <w:tcW w:w="840" w:type="dxa"/>
            <w:vAlign w:val="center"/>
          </w:tcPr>
          <w:p w:rsidR="0035273E" w:rsidRDefault="0035273E">
            <w:pPr>
              <w:adjustRightInd w:val="0"/>
              <w:snapToGrid w:val="0"/>
              <w:spacing w:line="360" w:lineRule="auto"/>
              <w:ind w:firstLineChars="200" w:firstLine="420"/>
              <w:rPr>
                <w:rFonts w:ascii="宋体" w:hAnsi="宋体"/>
                <w:szCs w:val="21"/>
              </w:rPr>
            </w:pPr>
          </w:p>
        </w:tc>
      </w:tr>
      <w:tr w:rsidR="0035273E">
        <w:trPr>
          <w:trHeight w:val="1236"/>
        </w:trPr>
        <w:tc>
          <w:tcPr>
            <w:tcW w:w="741" w:type="dxa"/>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2</w:t>
            </w:r>
          </w:p>
        </w:tc>
        <w:tc>
          <w:tcPr>
            <w:tcW w:w="1381"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工作质量</w:t>
            </w:r>
          </w:p>
        </w:tc>
        <w:tc>
          <w:tcPr>
            <w:tcW w:w="698"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30分</w:t>
            </w:r>
          </w:p>
        </w:tc>
        <w:tc>
          <w:tcPr>
            <w:tcW w:w="4618" w:type="dxa"/>
            <w:gridSpan w:val="2"/>
            <w:vAlign w:val="center"/>
          </w:tcPr>
          <w:p w:rsidR="0035273E" w:rsidRDefault="002A5F85">
            <w:pPr>
              <w:numPr>
                <w:ilvl w:val="0"/>
                <w:numId w:val="4"/>
              </w:numPr>
              <w:adjustRightInd w:val="0"/>
              <w:snapToGrid w:val="0"/>
              <w:spacing w:line="360" w:lineRule="auto"/>
              <w:rPr>
                <w:rFonts w:ascii="宋体" w:hAnsi="宋体"/>
                <w:szCs w:val="21"/>
              </w:rPr>
            </w:pPr>
            <w:r>
              <w:rPr>
                <w:rFonts w:ascii="宋体" w:hAnsi="宋体" w:hint="eastAsia"/>
                <w:szCs w:val="21"/>
              </w:rPr>
              <w:t>导轨、曳引机等需要润滑的电梯部件未按照产品说明进行润滑的每发现一处扣1分，最多扣5分。</w:t>
            </w:r>
          </w:p>
          <w:p w:rsidR="0035273E" w:rsidRDefault="002A5F85">
            <w:pPr>
              <w:numPr>
                <w:ilvl w:val="0"/>
                <w:numId w:val="4"/>
              </w:numPr>
              <w:adjustRightInd w:val="0"/>
              <w:snapToGrid w:val="0"/>
              <w:spacing w:line="360" w:lineRule="auto"/>
              <w:rPr>
                <w:rFonts w:ascii="宋体" w:hAnsi="宋体"/>
                <w:szCs w:val="21"/>
              </w:rPr>
            </w:pPr>
            <w:r>
              <w:rPr>
                <w:rFonts w:ascii="宋体" w:hAnsi="宋体" w:hint="eastAsia"/>
                <w:szCs w:val="21"/>
              </w:rPr>
              <w:t>轿厢、外召板按钮，运行指示灯等损毁未及时更换的，每发现一处扣1分，最多扣5分。</w:t>
            </w:r>
          </w:p>
          <w:p w:rsidR="0035273E" w:rsidRDefault="002A5F85">
            <w:pPr>
              <w:numPr>
                <w:ilvl w:val="0"/>
                <w:numId w:val="4"/>
              </w:numPr>
              <w:adjustRightInd w:val="0"/>
              <w:snapToGrid w:val="0"/>
              <w:spacing w:line="360" w:lineRule="auto"/>
              <w:rPr>
                <w:rFonts w:ascii="宋体" w:hAnsi="宋体"/>
                <w:szCs w:val="21"/>
              </w:rPr>
            </w:pPr>
            <w:r>
              <w:rPr>
                <w:rFonts w:ascii="宋体" w:hAnsi="宋体" w:hint="eastAsia"/>
                <w:szCs w:val="21"/>
              </w:rPr>
              <w:t>电梯部件固定螺栓（螺丝）缺失、滑丝、未紧固，每发现一处扣1分，最多扣5分。</w:t>
            </w:r>
          </w:p>
          <w:p w:rsidR="0035273E" w:rsidRDefault="002A5F85">
            <w:pPr>
              <w:numPr>
                <w:ilvl w:val="0"/>
                <w:numId w:val="4"/>
              </w:numPr>
              <w:adjustRightInd w:val="0"/>
              <w:snapToGrid w:val="0"/>
              <w:spacing w:line="360" w:lineRule="auto"/>
              <w:rPr>
                <w:rFonts w:ascii="宋体" w:hAnsi="宋体"/>
                <w:szCs w:val="21"/>
              </w:rPr>
            </w:pPr>
            <w:r>
              <w:rPr>
                <w:rFonts w:ascii="宋体" w:hAnsi="宋体" w:hint="eastAsia"/>
                <w:szCs w:val="21"/>
              </w:rPr>
              <w:t>电梯厅轿门间距、缓冲距等电梯安全距离不符合相关规范要求的，每发现一处扣1分，最多扣5分。</w:t>
            </w:r>
          </w:p>
          <w:p w:rsidR="0035273E" w:rsidRDefault="002A5F85">
            <w:pPr>
              <w:numPr>
                <w:ilvl w:val="0"/>
                <w:numId w:val="4"/>
              </w:numPr>
              <w:adjustRightInd w:val="0"/>
              <w:snapToGrid w:val="0"/>
              <w:spacing w:line="360" w:lineRule="auto"/>
              <w:rPr>
                <w:rFonts w:ascii="宋体" w:hAnsi="宋体"/>
                <w:szCs w:val="21"/>
              </w:rPr>
            </w:pPr>
            <w:r>
              <w:rPr>
                <w:rFonts w:ascii="宋体" w:hAnsi="宋体" w:hint="eastAsia"/>
                <w:szCs w:val="21"/>
              </w:rPr>
              <w:t>电梯机房、轿顶、轿厢出风口、底坑等存在杂物、积水，未保持清洁的每发现一处扣1分，最多扣5分。</w:t>
            </w:r>
          </w:p>
          <w:p w:rsidR="0035273E" w:rsidRDefault="002A5F85">
            <w:pPr>
              <w:pStyle w:val="a0"/>
              <w:spacing w:line="360" w:lineRule="auto"/>
              <w:ind w:leftChars="18" w:left="38"/>
              <w:rPr>
                <w:rFonts w:ascii="宋体" w:hAnsi="宋体"/>
                <w:sz w:val="21"/>
                <w:szCs w:val="21"/>
              </w:rPr>
            </w:pPr>
            <w:r>
              <w:rPr>
                <w:rFonts w:ascii="宋体" w:hAnsi="宋体" w:hint="eastAsia"/>
                <w:sz w:val="21"/>
                <w:szCs w:val="21"/>
              </w:rPr>
              <w:t>8.</w:t>
            </w:r>
            <w:r>
              <w:rPr>
                <w:rFonts w:ascii="宋体" w:hAnsi="宋体" w:cs="Calibri" w:hint="eastAsia"/>
                <w:sz w:val="21"/>
                <w:szCs w:val="21"/>
              </w:rPr>
              <w:t>电梯轿厢照明</w:t>
            </w:r>
            <w:r>
              <w:rPr>
                <w:rFonts w:ascii="宋体" w:hAnsi="宋体" w:cs="Calibri"/>
                <w:sz w:val="21"/>
                <w:szCs w:val="21"/>
              </w:rPr>
              <w:t>、</w:t>
            </w:r>
            <w:r>
              <w:rPr>
                <w:rFonts w:ascii="宋体" w:hAnsi="宋体" w:cs="Calibri" w:hint="eastAsia"/>
                <w:sz w:val="21"/>
                <w:szCs w:val="21"/>
              </w:rPr>
              <w:t>5方</w:t>
            </w:r>
            <w:r>
              <w:rPr>
                <w:rFonts w:ascii="宋体" w:hAnsi="宋体" w:cs="Calibri"/>
                <w:sz w:val="21"/>
                <w:szCs w:val="21"/>
              </w:rPr>
              <w:t>通话系统是否完好</w:t>
            </w:r>
            <w:r>
              <w:rPr>
                <w:rFonts w:ascii="宋体" w:hAnsi="宋体" w:cs="Calibri" w:hint="eastAsia"/>
                <w:sz w:val="21"/>
                <w:szCs w:val="21"/>
              </w:rPr>
              <w:t>，</w:t>
            </w:r>
            <w:r>
              <w:rPr>
                <w:rFonts w:ascii="宋体" w:hAnsi="宋体" w:cs="Calibri"/>
                <w:sz w:val="21"/>
                <w:szCs w:val="21"/>
              </w:rPr>
              <w:t>标识、光幕是否完好。</w:t>
            </w:r>
            <w:r>
              <w:rPr>
                <w:rFonts w:ascii="宋体" w:hAnsi="宋体" w:cs="Calibri" w:hint="eastAsia"/>
                <w:sz w:val="21"/>
                <w:szCs w:val="21"/>
              </w:rPr>
              <w:t>未</w:t>
            </w:r>
            <w:r>
              <w:rPr>
                <w:rFonts w:ascii="宋体" w:hAnsi="宋体" w:hint="eastAsia"/>
                <w:sz w:val="21"/>
                <w:szCs w:val="21"/>
              </w:rPr>
              <w:t>符合相关规范要求的，每发现一处扣1分，最多扣5分</w:t>
            </w:r>
          </w:p>
        </w:tc>
        <w:tc>
          <w:tcPr>
            <w:tcW w:w="2089" w:type="dxa"/>
            <w:vAlign w:val="center"/>
          </w:tcPr>
          <w:p w:rsidR="0035273E" w:rsidRDefault="0035273E">
            <w:pPr>
              <w:adjustRightInd w:val="0"/>
              <w:snapToGrid w:val="0"/>
              <w:spacing w:line="360" w:lineRule="auto"/>
              <w:ind w:firstLineChars="200" w:firstLine="420"/>
              <w:rPr>
                <w:rFonts w:ascii="宋体" w:hAnsi="宋体"/>
                <w:szCs w:val="21"/>
              </w:rPr>
            </w:pPr>
          </w:p>
        </w:tc>
        <w:tc>
          <w:tcPr>
            <w:tcW w:w="745" w:type="dxa"/>
            <w:vAlign w:val="center"/>
          </w:tcPr>
          <w:p w:rsidR="0035273E" w:rsidRDefault="0035273E">
            <w:pPr>
              <w:adjustRightInd w:val="0"/>
              <w:snapToGrid w:val="0"/>
              <w:spacing w:line="360" w:lineRule="auto"/>
              <w:ind w:firstLineChars="200" w:firstLine="420"/>
              <w:rPr>
                <w:rFonts w:ascii="宋体" w:hAnsi="宋体"/>
                <w:szCs w:val="21"/>
              </w:rPr>
            </w:pPr>
          </w:p>
        </w:tc>
        <w:tc>
          <w:tcPr>
            <w:tcW w:w="840" w:type="dxa"/>
            <w:vAlign w:val="center"/>
          </w:tcPr>
          <w:p w:rsidR="0035273E" w:rsidRDefault="0035273E">
            <w:pPr>
              <w:adjustRightInd w:val="0"/>
              <w:snapToGrid w:val="0"/>
              <w:spacing w:line="360" w:lineRule="auto"/>
              <w:ind w:firstLineChars="200" w:firstLine="420"/>
              <w:rPr>
                <w:rFonts w:ascii="宋体" w:hAnsi="宋体"/>
                <w:szCs w:val="21"/>
              </w:rPr>
            </w:pPr>
          </w:p>
        </w:tc>
      </w:tr>
      <w:tr w:rsidR="0035273E">
        <w:trPr>
          <w:trHeight w:val="745"/>
        </w:trPr>
        <w:tc>
          <w:tcPr>
            <w:tcW w:w="741" w:type="dxa"/>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3</w:t>
            </w:r>
          </w:p>
        </w:tc>
        <w:tc>
          <w:tcPr>
            <w:tcW w:w="1381"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维修及救援响应</w:t>
            </w:r>
          </w:p>
        </w:tc>
        <w:tc>
          <w:tcPr>
            <w:tcW w:w="698"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10分</w:t>
            </w:r>
          </w:p>
        </w:tc>
        <w:tc>
          <w:tcPr>
            <w:tcW w:w="4618" w:type="dxa"/>
            <w:gridSpan w:val="2"/>
            <w:vAlign w:val="center"/>
          </w:tcPr>
          <w:p w:rsidR="0035273E" w:rsidRDefault="002A5F85">
            <w:pPr>
              <w:adjustRightInd w:val="0"/>
              <w:snapToGrid w:val="0"/>
              <w:spacing w:line="360" w:lineRule="auto"/>
              <w:jc w:val="left"/>
              <w:rPr>
                <w:rFonts w:ascii="宋体" w:hAnsi="宋体"/>
                <w:szCs w:val="21"/>
              </w:rPr>
            </w:pPr>
            <w:r>
              <w:rPr>
                <w:rFonts w:ascii="宋体" w:hAnsi="宋体" w:hint="eastAsia"/>
                <w:szCs w:val="21"/>
              </w:rPr>
              <w:t>9.接到报修后15分钟响应，30分钟内到达现场处理故障，每超出5分钟扣1分，最多扣4分。</w:t>
            </w:r>
          </w:p>
          <w:p w:rsidR="0035273E" w:rsidRDefault="002A5F85">
            <w:pPr>
              <w:adjustRightInd w:val="0"/>
              <w:snapToGrid w:val="0"/>
              <w:spacing w:line="360" w:lineRule="auto"/>
              <w:rPr>
                <w:rFonts w:ascii="宋体" w:hAnsi="宋体"/>
                <w:szCs w:val="21"/>
              </w:rPr>
            </w:pPr>
            <w:r>
              <w:rPr>
                <w:rFonts w:ascii="宋体" w:hAnsi="宋体"/>
                <w:szCs w:val="21"/>
              </w:rPr>
              <w:t>10.</w:t>
            </w:r>
            <w:r>
              <w:rPr>
                <w:rFonts w:ascii="宋体" w:hAnsi="宋体" w:hint="eastAsia"/>
                <w:szCs w:val="21"/>
              </w:rPr>
              <w:t>接到应急救援需求时应在15分钟内到达现场，30分钟内释放被困人员，每超过2分钟扣1分，最多扣6分。</w:t>
            </w:r>
          </w:p>
        </w:tc>
        <w:tc>
          <w:tcPr>
            <w:tcW w:w="2089" w:type="dxa"/>
            <w:vAlign w:val="center"/>
          </w:tcPr>
          <w:p w:rsidR="0035273E" w:rsidRDefault="0035273E">
            <w:pPr>
              <w:adjustRightInd w:val="0"/>
              <w:snapToGrid w:val="0"/>
              <w:spacing w:line="360" w:lineRule="auto"/>
              <w:ind w:firstLineChars="200" w:firstLine="420"/>
              <w:rPr>
                <w:rFonts w:ascii="宋体" w:hAnsi="宋体"/>
                <w:szCs w:val="21"/>
              </w:rPr>
            </w:pPr>
          </w:p>
        </w:tc>
        <w:tc>
          <w:tcPr>
            <w:tcW w:w="745" w:type="dxa"/>
            <w:vAlign w:val="center"/>
          </w:tcPr>
          <w:p w:rsidR="0035273E" w:rsidRDefault="0035273E">
            <w:pPr>
              <w:adjustRightInd w:val="0"/>
              <w:snapToGrid w:val="0"/>
              <w:spacing w:line="360" w:lineRule="auto"/>
              <w:ind w:firstLineChars="200" w:firstLine="420"/>
              <w:rPr>
                <w:rFonts w:ascii="宋体" w:hAnsi="宋体"/>
                <w:szCs w:val="21"/>
              </w:rPr>
            </w:pPr>
          </w:p>
        </w:tc>
        <w:tc>
          <w:tcPr>
            <w:tcW w:w="840" w:type="dxa"/>
            <w:vAlign w:val="center"/>
          </w:tcPr>
          <w:p w:rsidR="0035273E" w:rsidRDefault="0035273E">
            <w:pPr>
              <w:adjustRightInd w:val="0"/>
              <w:snapToGrid w:val="0"/>
              <w:spacing w:line="360" w:lineRule="auto"/>
              <w:ind w:firstLineChars="200" w:firstLine="420"/>
              <w:rPr>
                <w:rFonts w:ascii="宋体" w:hAnsi="宋体"/>
                <w:szCs w:val="21"/>
              </w:rPr>
            </w:pPr>
          </w:p>
        </w:tc>
      </w:tr>
      <w:tr w:rsidR="0035273E">
        <w:trPr>
          <w:trHeight w:val="408"/>
        </w:trPr>
        <w:tc>
          <w:tcPr>
            <w:tcW w:w="741" w:type="dxa"/>
            <w:tcBorders>
              <w:bottom w:val="single" w:sz="4" w:space="0" w:color="auto"/>
            </w:tcBorders>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4</w:t>
            </w:r>
          </w:p>
        </w:tc>
        <w:tc>
          <w:tcPr>
            <w:tcW w:w="1381" w:type="dxa"/>
            <w:tcBorders>
              <w:bottom w:val="single" w:sz="4" w:space="0" w:color="auto"/>
            </w:tcBorders>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安全运行</w:t>
            </w:r>
          </w:p>
        </w:tc>
        <w:tc>
          <w:tcPr>
            <w:tcW w:w="698" w:type="dxa"/>
            <w:tcBorders>
              <w:bottom w:val="single" w:sz="4" w:space="0" w:color="auto"/>
            </w:tcBorders>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25分</w:t>
            </w:r>
          </w:p>
        </w:tc>
        <w:tc>
          <w:tcPr>
            <w:tcW w:w="4618" w:type="dxa"/>
            <w:gridSpan w:val="2"/>
            <w:tcBorders>
              <w:bottom w:val="single" w:sz="4" w:space="0" w:color="auto"/>
            </w:tcBorders>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11.每存在一处私自短接情况，终止合同，履约保证金不予退还。</w:t>
            </w:r>
          </w:p>
          <w:p w:rsidR="0035273E" w:rsidRDefault="002A5F85">
            <w:pPr>
              <w:adjustRightInd w:val="0"/>
              <w:snapToGrid w:val="0"/>
              <w:spacing w:line="360" w:lineRule="auto"/>
              <w:rPr>
                <w:rFonts w:ascii="宋体" w:hAnsi="宋体"/>
                <w:szCs w:val="21"/>
              </w:rPr>
            </w:pPr>
            <w:r>
              <w:rPr>
                <w:rFonts w:ascii="宋体" w:hAnsi="宋体" w:hint="eastAsia"/>
                <w:szCs w:val="21"/>
              </w:rPr>
              <w:t>12.同一部电梯在一个月内发生一次困人现象扣5分，同一原因发生第二次困人扣2</w:t>
            </w:r>
            <w:r>
              <w:rPr>
                <w:rFonts w:ascii="宋体" w:hAnsi="宋体"/>
                <w:szCs w:val="21"/>
              </w:rPr>
              <w:t>5</w:t>
            </w:r>
            <w:r>
              <w:rPr>
                <w:rFonts w:ascii="宋体" w:hAnsi="宋体" w:hint="eastAsia"/>
                <w:szCs w:val="21"/>
              </w:rPr>
              <w:t>分。</w:t>
            </w:r>
          </w:p>
        </w:tc>
        <w:tc>
          <w:tcPr>
            <w:tcW w:w="2089" w:type="dxa"/>
            <w:tcBorders>
              <w:bottom w:val="single" w:sz="4" w:space="0" w:color="auto"/>
            </w:tcBorders>
            <w:vAlign w:val="center"/>
          </w:tcPr>
          <w:p w:rsidR="0035273E" w:rsidRDefault="0035273E">
            <w:pPr>
              <w:adjustRightInd w:val="0"/>
              <w:snapToGrid w:val="0"/>
              <w:spacing w:line="360" w:lineRule="auto"/>
              <w:ind w:firstLineChars="200" w:firstLine="420"/>
              <w:rPr>
                <w:rFonts w:ascii="宋体" w:hAnsi="宋体"/>
                <w:szCs w:val="21"/>
              </w:rPr>
            </w:pPr>
          </w:p>
        </w:tc>
        <w:tc>
          <w:tcPr>
            <w:tcW w:w="745" w:type="dxa"/>
            <w:tcBorders>
              <w:bottom w:val="single" w:sz="4" w:space="0" w:color="auto"/>
            </w:tcBorders>
            <w:vAlign w:val="center"/>
          </w:tcPr>
          <w:p w:rsidR="0035273E" w:rsidRDefault="0035273E">
            <w:pPr>
              <w:adjustRightInd w:val="0"/>
              <w:snapToGrid w:val="0"/>
              <w:spacing w:line="360" w:lineRule="auto"/>
              <w:ind w:firstLineChars="200" w:firstLine="420"/>
              <w:rPr>
                <w:rFonts w:ascii="宋体" w:hAnsi="宋体"/>
                <w:szCs w:val="21"/>
              </w:rPr>
            </w:pPr>
          </w:p>
        </w:tc>
        <w:tc>
          <w:tcPr>
            <w:tcW w:w="840" w:type="dxa"/>
            <w:tcBorders>
              <w:bottom w:val="single" w:sz="4" w:space="0" w:color="auto"/>
            </w:tcBorders>
            <w:vAlign w:val="center"/>
          </w:tcPr>
          <w:p w:rsidR="0035273E" w:rsidRDefault="0035273E">
            <w:pPr>
              <w:adjustRightInd w:val="0"/>
              <w:snapToGrid w:val="0"/>
              <w:spacing w:line="360" w:lineRule="auto"/>
              <w:ind w:firstLineChars="200" w:firstLine="420"/>
              <w:rPr>
                <w:rFonts w:ascii="宋体" w:hAnsi="宋体"/>
                <w:szCs w:val="21"/>
              </w:rPr>
            </w:pPr>
          </w:p>
        </w:tc>
      </w:tr>
      <w:tr w:rsidR="0035273E">
        <w:trPr>
          <w:trHeight w:val="496"/>
        </w:trPr>
        <w:tc>
          <w:tcPr>
            <w:tcW w:w="741" w:type="dxa"/>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5</w:t>
            </w:r>
          </w:p>
        </w:tc>
        <w:tc>
          <w:tcPr>
            <w:tcW w:w="1381"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维保记录</w:t>
            </w:r>
          </w:p>
        </w:tc>
        <w:tc>
          <w:tcPr>
            <w:tcW w:w="698"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10分</w:t>
            </w:r>
          </w:p>
        </w:tc>
        <w:tc>
          <w:tcPr>
            <w:tcW w:w="4618" w:type="dxa"/>
            <w:gridSpan w:val="2"/>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13.保养记录必须按时、按要求规范填写、签字，每发现1处，扣1分，最多扣5分。</w:t>
            </w:r>
          </w:p>
          <w:p w:rsidR="0035273E" w:rsidRDefault="002A5F85">
            <w:pPr>
              <w:adjustRightInd w:val="0"/>
              <w:snapToGrid w:val="0"/>
              <w:spacing w:line="360" w:lineRule="auto"/>
              <w:rPr>
                <w:rFonts w:ascii="宋体" w:hAnsi="宋体"/>
                <w:szCs w:val="21"/>
              </w:rPr>
            </w:pPr>
            <w:r>
              <w:rPr>
                <w:rFonts w:ascii="宋体" w:hAnsi="宋体"/>
                <w:szCs w:val="21"/>
              </w:rPr>
              <w:t>14.</w:t>
            </w:r>
            <w:r>
              <w:rPr>
                <w:rFonts w:ascii="宋体" w:hAnsi="宋体" w:hint="eastAsia"/>
                <w:szCs w:val="21"/>
              </w:rPr>
              <w:t>维修记录不完整、填写不规范的发现一次扣1分，最多扣5分。</w:t>
            </w:r>
          </w:p>
        </w:tc>
        <w:tc>
          <w:tcPr>
            <w:tcW w:w="2089" w:type="dxa"/>
            <w:vAlign w:val="center"/>
          </w:tcPr>
          <w:p w:rsidR="0035273E" w:rsidRDefault="0035273E">
            <w:pPr>
              <w:adjustRightInd w:val="0"/>
              <w:snapToGrid w:val="0"/>
              <w:spacing w:line="360" w:lineRule="auto"/>
              <w:ind w:firstLineChars="200" w:firstLine="420"/>
              <w:rPr>
                <w:rFonts w:ascii="宋体" w:hAnsi="宋体"/>
                <w:szCs w:val="21"/>
              </w:rPr>
            </w:pPr>
          </w:p>
        </w:tc>
        <w:tc>
          <w:tcPr>
            <w:tcW w:w="745" w:type="dxa"/>
            <w:vAlign w:val="center"/>
          </w:tcPr>
          <w:p w:rsidR="0035273E" w:rsidRDefault="0035273E">
            <w:pPr>
              <w:adjustRightInd w:val="0"/>
              <w:snapToGrid w:val="0"/>
              <w:spacing w:line="360" w:lineRule="auto"/>
              <w:ind w:firstLineChars="200" w:firstLine="420"/>
              <w:rPr>
                <w:rFonts w:ascii="宋体" w:hAnsi="宋体"/>
                <w:szCs w:val="21"/>
              </w:rPr>
            </w:pPr>
          </w:p>
        </w:tc>
        <w:tc>
          <w:tcPr>
            <w:tcW w:w="840" w:type="dxa"/>
            <w:vAlign w:val="center"/>
          </w:tcPr>
          <w:p w:rsidR="0035273E" w:rsidRDefault="0035273E">
            <w:pPr>
              <w:adjustRightInd w:val="0"/>
              <w:snapToGrid w:val="0"/>
              <w:spacing w:line="360" w:lineRule="auto"/>
              <w:ind w:firstLineChars="200" w:firstLine="420"/>
              <w:rPr>
                <w:rFonts w:ascii="宋体" w:hAnsi="宋体"/>
                <w:szCs w:val="21"/>
              </w:rPr>
            </w:pPr>
          </w:p>
        </w:tc>
      </w:tr>
      <w:tr w:rsidR="0035273E">
        <w:trPr>
          <w:trHeight w:val="3576"/>
        </w:trPr>
        <w:tc>
          <w:tcPr>
            <w:tcW w:w="741" w:type="dxa"/>
            <w:vAlign w:val="center"/>
          </w:tcPr>
          <w:p w:rsidR="0035273E" w:rsidRDefault="002A5F85">
            <w:pPr>
              <w:adjustRightInd w:val="0"/>
              <w:snapToGrid w:val="0"/>
              <w:spacing w:line="360" w:lineRule="auto"/>
              <w:ind w:firstLineChars="200" w:firstLine="420"/>
              <w:rPr>
                <w:rFonts w:ascii="宋体" w:hAnsi="宋体"/>
                <w:szCs w:val="21"/>
              </w:rPr>
            </w:pPr>
            <w:r>
              <w:rPr>
                <w:rFonts w:ascii="宋体" w:hAnsi="宋体" w:hint="eastAsia"/>
                <w:szCs w:val="21"/>
              </w:rPr>
              <w:t>6</w:t>
            </w:r>
          </w:p>
        </w:tc>
        <w:tc>
          <w:tcPr>
            <w:tcW w:w="1381"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团队及工作要求</w:t>
            </w:r>
          </w:p>
        </w:tc>
        <w:tc>
          <w:tcPr>
            <w:tcW w:w="698"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15分</w:t>
            </w:r>
          </w:p>
        </w:tc>
        <w:tc>
          <w:tcPr>
            <w:tcW w:w="4618" w:type="dxa"/>
            <w:gridSpan w:val="2"/>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15.开展维修保养工作时，维保人员需要按照要求穿戴劳动用品。未按要求穿戴的，每发现一人，扣1分，最多扣5分。</w:t>
            </w:r>
          </w:p>
          <w:p w:rsidR="0035273E" w:rsidRDefault="002A5F85">
            <w:pPr>
              <w:adjustRightInd w:val="0"/>
              <w:snapToGrid w:val="0"/>
              <w:spacing w:line="360" w:lineRule="auto"/>
              <w:rPr>
                <w:rFonts w:ascii="宋体" w:hAnsi="宋体"/>
                <w:szCs w:val="21"/>
              </w:rPr>
            </w:pPr>
            <w:r>
              <w:rPr>
                <w:rFonts w:ascii="宋体" w:hAnsi="宋体" w:hint="eastAsia"/>
                <w:szCs w:val="21"/>
              </w:rPr>
              <w:t>16.开展维保工作时应按照要求摆放警示牌，未按要求摆放的，每发现一次扣1分，最多扣5分。</w:t>
            </w:r>
          </w:p>
          <w:p w:rsidR="0035273E" w:rsidRDefault="002A5F85">
            <w:pPr>
              <w:adjustRightInd w:val="0"/>
              <w:snapToGrid w:val="0"/>
              <w:spacing w:line="360" w:lineRule="auto"/>
              <w:rPr>
                <w:rFonts w:ascii="宋体" w:hAnsi="宋体"/>
                <w:szCs w:val="21"/>
              </w:rPr>
            </w:pPr>
            <w:r>
              <w:rPr>
                <w:rFonts w:ascii="宋体" w:hAnsi="宋体"/>
                <w:szCs w:val="21"/>
              </w:rPr>
              <w:t>17.</w:t>
            </w:r>
            <w:r>
              <w:rPr>
                <w:rFonts w:ascii="宋体" w:hAnsi="宋体" w:hint="eastAsia"/>
                <w:szCs w:val="21"/>
              </w:rPr>
              <w:t>每台电梯每次维保现场至少有2名维保人员，不符合要求，发现一次扣5分。</w:t>
            </w:r>
          </w:p>
          <w:p w:rsidR="0035273E" w:rsidRDefault="002A5F85">
            <w:pPr>
              <w:adjustRightInd w:val="0"/>
              <w:snapToGrid w:val="0"/>
              <w:spacing w:line="360" w:lineRule="auto"/>
              <w:rPr>
                <w:rFonts w:ascii="宋体" w:hAnsi="宋体"/>
                <w:szCs w:val="21"/>
              </w:rPr>
            </w:pPr>
            <w:r>
              <w:rPr>
                <w:rFonts w:ascii="宋体" w:hAnsi="宋体" w:hint="eastAsia"/>
                <w:szCs w:val="21"/>
              </w:rPr>
              <w:t>18.不能积极配合甲方的相关工作或者工作不认真的扣2分。</w:t>
            </w:r>
          </w:p>
        </w:tc>
        <w:tc>
          <w:tcPr>
            <w:tcW w:w="2089" w:type="dxa"/>
            <w:vAlign w:val="center"/>
          </w:tcPr>
          <w:p w:rsidR="0035273E" w:rsidRDefault="0035273E">
            <w:pPr>
              <w:adjustRightInd w:val="0"/>
              <w:snapToGrid w:val="0"/>
              <w:spacing w:line="360" w:lineRule="auto"/>
              <w:ind w:firstLineChars="200" w:firstLine="420"/>
              <w:rPr>
                <w:rFonts w:ascii="宋体" w:hAnsi="宋体"/>
                <w:szCs w:val="21"/>
              </w:rPr>
            </w:pPr>
          </w:p>
        </w:tc>
        <w:tc>
          <w:tcPr>
            <w:tcW w:w="745" w:type="dxa"/>
            <w:vAlign w:val="center"/>
          </w:tcPr>
          <w:p w:rsidR="0035273E" w:rsidRDefault="0035273E">
            <w:pPr>
              <w:adjustRightInd w:val="0"/>
              <w:snapToGrid w:val="0"/>
              <w:spacing w:line="360" w:lineRule="auto"/>
              <w:ind w:firstLineChars="200" w:firstLine="420"/>
              <w:rPr>
                <w:rFonts w:ascii="宋体" w:hAnsi="宋体"/>
                <w:szCs w:val="21"/>
              </w:rPr>
            </w:pPr>
          </w:p>
        </w:tc>
        <w:tc>
          <w:tcPr>
            <w:tcW w:w="840" w:type="dxa"/>
            <w:vAlign w:val="center"/>
          </w:tcPr>
          <w:p w:rsidR="0035273E" w:rsidRDefault="0035273E">
            <w:pPr>
              <w:adjustRightInd w:val="0"/>
              <w:snapToGrid w:val="0"/>
              <w:spacing w:line="360" w:lineRule="auto"/>
              <w:ind w:firstLineChars="200" w:firstLine="420"/>
              <w:rPr>
                <w:rFonts w:ascii="宋体" w:hAnsi="宋体"/>
                <w:szCs w:val="21"/>
              </w:rPr>
            </w:pPr>
          </w:p>
        </w:tc>
      </w:tr>
      <w:tr w:rsidR="0035273E">
        <w:trPr>
          <w:trHeight w:val="604"/>
        </w:trPr>
        <w:tc>
          <w:tcPr>
            <w:tcW w:w="2122" w:type="dxa"/>
            <w:gridSpan w:val="2"/>
            <w:vAlign w:val="center"/>
          </w:tcPr>
          <w:p w:rsidR="0035273E" w:rsidRDefault="002A5F85">
            <w:pPr>
              <w:adjustRightInd w:val="0"/>
              <w:snapToGrid w:val="0"/>
              <w:spacing w:line="360" w:lineRule="auto"/>
              <w:jc w:val="center"/>
              <w:rPr>
                <w:rFonts w:ascii="宋体" w:hAnsi="宋体"/>
                <w:szCs w:val="21"/>
              </w:rPr>
            </w:pPr>
            <w:r>
              <w:rPr>
                <w:rFonts w:ascii="宋体" w:hAnsi="宋体" w:hint="eastAsia"/>
                <w:szCs w:val="21"/>
              </w:rPr>
              <w:t>维保单位负责人签字</w:t>
            </w:r>
          </w:p>
        </w:tc>
        <w:tc>
          <w:tcPr>
            <w:tcW w:w="3161" w:type="dxa"/>
            <w:gridSpan w:val="2"/>
            <w:vAlign w:val="center"/>
          </w:tcPr>
          <w:p w:rsidR="0035273E" w:rsidRDefault="0035273E">
            <w:pPr>
              <w:adjustRightInd w:val="0"/>
              <w:snapToGrid w:val="0"/>
              <w:spacing w:line="360" w:lineRule="auto"/>
              <w:ind w:firstLineChars="200" w:firstLine="420"/>
              <w:rPr>
                <w:rFonts w:ascii="宋体" w:hAnsi="宋体"/>
                <w:szCs w:val="21"/>
              </w:rPr>
            </w:pPr>
          </w:p>
        </w:tc>
        <w:tc>
          <w:tcPr>
            <w:tcW w:w="2155" w:type="dxa"/>
            <w:vAlign w:val="center"/>
          </w:tcPr>
          <w:p w:rsidR="0035273E" w:rsidRDefault="002A5F85">
            <w:pPr>
              <w:adjustRightInd w:val="0"/>
              <w:snapToGrid w:val="0"/>
              <w:spacing w:line="360" w:lineRule="auto"/>
              <w:rPr>
                <w:rFonts w:ascii="宋体" w:hAnsi="宋体"/>
                <w:szCs w:val="21"/>
              </w:rPr>
            </w:pPr>
            <w:r>
              <w:rPr>
                <w:rFonts w:ascii="宋体" w:hAnsi="宋体" w:hint="eastAsia"/>
                <w:szCs w:val="21"/>
              </w:rPr>
              <w:t>电梯</w:t>
            </w:r>
            <w:r>
              <w:rPr>
                <w:rFonts w:ascii="宋体" w:hAnsi="宋体"/>
                <w:szCs w:val="21"/>
              </w:rPr>
              <w:t>管理员</w:t>
            </w:r>
            <w:r>
              <w:rPr>
                <w:rFonts w:ascii="宋体" w:hAnsi="宋体" w:hint="eastAsia"/>
                <w:szCs w:val="21"/>
              </w:rPr>
              <w:t>签字</w:t>
            </w:r>
          </w:p>
        </w:tc>
        <w:tc>
          <w:tcPr>
            <w:tcW w:w="3674" w:type="dxa"/>
            <w:gridSpan w:val="3"/>
            <w:vAlign w:val="center"/>
          </w:tcPr>
          <w:p w:rsidR="0035273E" w:rsidRDefault="0035273E">
            <w:pPr>
              <w:adjustRightInd w:val="0"/>
              <w:snapToGrid w:val="0"/>
              <w:spacing w:line="360" w:lineRule="auto"/>
              <w:ind w:firstLineChars="200" w:firstLine="420"/>
              <w:rPr>
                <w:rFonts w:ascii="宋体" w:hAnsi="宋体"/>
                <w:szCs w:val="21"/>
              </w:rPr>
            </w:pPr>
          </w:p>
        </w:tc>
      </w:tr>
      <w:bookmarkEnd w:id="1"/>
      <w:bookmarkEnd w:id="2"/>
      <w:bookmarkEnd w:id="3"/>
    </w:tbl>
    <w:p w:rsidR="0035273E" w:rsidRDefault="0035273E">
      <w:pPr>
        <w:pStyle w:val="a0"/>
        <w:spacing w:line="360" w:lineRule="auto"/>
      </w:pPr>
    </w:p>
    <w:sectPr w:rsidR="0035273E" w:rsidSect="0035273E">
      <w:footerReference w:type="default" r:id="rId8"/>
      <w:pgSz w:w="11906" w:h="16838"/>
      <w:pgMar w:top="851" w:right="2125" w:bottom="1440" w:left="1800" w:header="851" w:footer="37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2E2" w:rsidRDefault="00C972E2" w:rsidP="0035273E">
      <w:r>
        <w:separator/>
      </w:r>
    </w:p>
  </w:endnote>
  <w:endnote w:type="continuationSeparator" w:id="0">
    <w:p w:rsidR="00C972E2" w:rsidRDefault="00C972E2" w:rsidP="00352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3E" w:rsidRDefault="00F864D9">
    <w:pPr>
      <w:pStyle w:val="a8"/>
      <w:jc w:val="center"/>
    </w:pPr>
    <w:r>
      <w:pict>
        <v:shapetype id="_x0000_t202" coordsize="21600,21600" o:spt="202" path="m,l,21600r21600,l21600,xe">
          <v:stroke joinstyle="miter"/>
          <v:path gradientshapeok="t" o:connecttype="rect"/>
        </v:shapetype>
        <v:shape id="Text Box 1" o:spid="_x0000_s2049" type="#_x0000_t202" style="position:absolute;left:0;text-align:left;margin-left:0;margin-top:0;width:67.65pt;height:11.6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" filled="f" stroked="f">
          <v:textbox style="mso-fit-shape-to-text:t" inset="0,0,0,0">
            <w:txbxContent>
              <w:p w:rsidR="0035273E" w:rsidRDefault="002A5F85">
                <w:pPr>
                  <w:pStyle w:val="a8"/>
                </w:pPr>
                <w:r>
                  <w:t>第</w:t>
                </w:r>
                <w:r w:rsidR="00F864D9">
                  <w:fldChar w:fldCharType="begin"/>
                </w:r>
                <w:r>
                  <w:instrText xml:space="preserve"> PAGE  \* MERGEFORMAT </w:instrText>
                </w:r>
                <w:r w:rsidR="00F864D9">
                  <w:fldChar w:fldCharType="separate"/>
                </w:r>
                <w:r w:rsidR="00C972E2">
                  <w:rPr>
                    <w:noProof/>
                  </w:rPr>
                  <w:t>1</w:t>
                </w:r>
                <w:r w:rsidR="00F864D9">
                  <w:fldChar w:fldCharType="end"/>
                </w:r>
                <w:r>
                  <w:t>页共</w:t>
                </w:r>
                <w:fldSimple w:instr=" NUMPAGES  \* MERGEFORMAT ">
                  <w:r w:rsidR="00C972E2">
                    <w:rPr>
                      <w:noProof/>
                    </w:rPr>
                    <w:t>1</w:t>
                  </w:r>
                </w:fldSimple>
                <w:r>
                  <w:t>页</w:t>
                </w:r>
              </w:p>
            </w:txbxContent>
          </v:textbox>
          <w10:wrap anchorx="margin"/>
        </v:shape>
      </w:pict>
    </w:r>
  </w:p>
  <w:p w:rsidR="0035273E" w:rsidRDefault="003527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2E2" w:rsidRDefault="00C972E2" w:rsidP="0035273E">
      <w:r>
        <w:separator/>
      </w:r>
    </w:p>
  </w:footnote>
  <w:footnote w:type="continuationSeparator" w:id="0">
    <w:p w:rsidR="00C972E2" w:rsidRDefault="00C972E2" w:rsidP="00352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1153FD"/>
    <w:multiLevelType w:val="singleLevel"/>
    <w:tmpl w:val="AC1153FD"/>
    <w:lvl w:ilvl="0">
      <w:start w:val="5"/>
      <w:numFmt w:val="chineseCounting"/>
      <w:suff w:val="nothing"/>
      <w:lvlText w:val="%1、"/>
      <w:lvlJc w:val="left"/>
      <w:rPr>
        <w:rFonts w:hint="eastAsia"/>
      </w:rPr>
    </w:lvl>
  </w:abstractNum>
  <w:abstractNum w:abstractNumId="1">
    <w:nsid w:val="3A53B1C1"/>
    <w:multiLevelType w:val="singleLevel"/>
    <w:tmpl w:val="3A53B1C1"/>
    <w:lvl w:ilvl="0">
      <w:start w:val="1"/>
      <w:numFmt w:val="decimal"/>
      <w:lvlText w:val="%1."/>
      <w:lvlJc w:val="left"/>
      <w:pPr>
        <w:ind w:left="425" w:hanging="425"/>
      </w:pPr>
      <w:rPr>
        <w:rFonts w:hint="default"/>
      </w:rPr>
    </w:lvl>
  </w:abstractNum>
  <w:abstractNum w:abstractNumId="2">
    <w:nsid w:val="455E23BA"/>
    <w:multiLevelType w:val="singleLevel"/>
    <w:tmpl w:val="455E23BA"/>
    <w:lvl w:ilvl="0">
      <w:start w:val="2"/>
      <w:numFmt w:val="chineseCounting"/>
      <w:suff w:val="nothing"/>
      <w:lvlText w:val="（%1）"/>
      <w:lvlJc w:val="left"/>
      <w:rPr>
        <w:rFonts w:hint="eastAsia"/>
      </w:rPr>
    </w:lvl>
  </w:abstractNum>
  <w:abstractNum w:abstractNumId="3">
    <w:nsid w:val="6FBC8671"/>
    <w:multiLevelType w:val="singleLevel"/>
    <w:tmpl w:val="6FBC8671"/>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noPunctuationKerning/>
  <w:characterSpacingControl w:val="compressPunctuation"/>
  <w:savePreviewPicture/>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Q4ZWJlOWIzYzA4ODRhZjVlMDNhNzI1NWVjMmY3YmEifQ=="/>
  </w:docVars>
  <w:rsids>
    <w:rsidRoot w:val="00A161FC"/>
    <w:rsid w:val="000312B4"/>
    <w:rsid w:val="00052FB0"/>
    <w:rsid w:val="000A6C12"/>
    <w:rsid w:val="000C2C74"/>
    <w:rsid w:val="000C3886"/>
    <w:rsid w:val="000E7BA3"/>
    <w:rsid w:val="00105428"/>
    <w:rsid w:val="00124E3E"/>
    <w:rsid w:val="00140AF0"/>
    <w:rsid w:val="001507CE"/>
    <w:rsid w:val="00157667"/>
    <w:rsid w:val="001609FC"/>
    <w:rsid w:val="00171203"/>
    <w:rsid w:val="0018461B"/>
    <w:rsid w:val="00184684"/>
    <w:rsid w:val="001B712C"/>
    <w:rsid w:val="001C41C3"/>
    <w:rsid w:val="001E1817"/>
    <w:rsid w:val="001F49FB"/>
    <w:rsid w:val="00214DD6"/>
    <w:rsid w:val="00234507"/>
    <w:rsid w:val="00237253"/>
    <w:rsid w:val="002446B0"/>
    <w:rsid w:val="00266DA3"/>
    <w:rsid w:val="002A5F85"/>
    <w:rsid w:val="002B1620"/>
    <w:rsid w:val="002B3A1B"/>
    <w:rsid w:val="002F7673"/>
    <w:rsid w:val="003113D4"/>
    <w:rsid w:val="00341E01"/>
    <w:rsid w:val="00345D8D"/>
    <w:rsid w:val="0035273E"/>
    <w:rsid w:val="0035345F"/>
    <w:rsid w:val="0036352F"/>
    <w:rsid w:val="003649AF"/>
    <w:rsid w:val="003F18AC"/>
    <w:rsid w:val="0040006C"/>
    <w:rsid w:val="004000A5"/>
    <w:rsid w:val="00453832"/>
    <w:rsid w:val="00493FE2"/>
    <w:rsid w:val="004951D7"/>
    <w:rsid w:val="004A43F0"/>
    <w:rsid w:val="004B4445"/>
    <w:rsid w:val="004D1BB9"/>
    <w:rsid w:val="004E4B14"/>
    <w:rsid w:val="004F3B94"/>
    <w:rsid w:val="004F585F"/>
    <w:rsid w:val="00501176"/>
    <w:rsid w:val="00510891"/>
    <w:rsid w:val="00514644"/>
    <w:rsid w:val="0051518A"/>
    <w:rsid w:val="0053111A"/>
    <w:rsid w:val="005405CE"/>
    <w:rsid w:val="0054616A"/>
    <w:rsid w:val="005466BB"/>
    <w:rsid w:val="00562C62"/>
    <w:rsid w:val="005633CE"/>
    <w:rsid w:val="00571ADE"/>
    <w:rsid w:val="00584FD0"/>
    <w:rsid w:val="00593DEC"/>
    <w:rsid w:val="005951EF"/>
    <w:rsid w:val="005B0C65"/>
    <w:rsid w:val="005D3899"/>
    <w:rsid w:val="005F1571"/>
    <w:rsid w:val="005F401F"/>
    <w:rsid w:val="005F4DF5"/>
    <w:rsid w:val="005F5B1D"/>
    <w:rsid w:val="00611202"/>
    <w:rsid w:val="00633514"/>
    <w:rsid w:val="00653DF1"/>
    <w:rsid w:val="0066481D"/>
    <w:rsid w:val="006C2918"/>
    <w:rsid w:val="006C47FA"/>
    <w:rsid w:val="006C782C"/>
    <w:rsid w:val="006D6186"/>
    <w:rsid w:val="006F40C1"/>
    <w:rsid w:val="00713213"/>
    <w:rsid w:val="0073064E"/>
    <w:rsid w:val="00731310"/>
    <w:rsid w:val="007554BB"/>
    <w:rsid w:val="007839AE"/>
    <w:rsid w:val="00796A74"/>
    <w:rsid w:val="007F4BD9"/>
    <w:rsid w:val="00800E12"/>
    <w:rsid w:val="008153D5"/>
    <w:rsid w:val="00821B62"/>
    <w:rsid w:val="00823CA9"/>
    <w:rsid w:val="0083274A"/>
    <w:rsid w:val="008403A0"/>
    <w:rsid w:val="0084652E"/>
    <w:rsid w:val="008749A7"/>
    <w:rsid w:val="00876067"/>
    <w:rsid w:val="0088248C"/>
    <w:rsid w:val="008874FB"/>
    <w:rsid w:val="0089621F"/>
    <w:rsid w:val="008C3DFB"/>
    <w:rsid w:val="008E3F0E"/>
    <w:rsid w:val="0090711F"/>
    <w:rsid w:val="009232BD"/>
    <w:rsid w:val="00925E61"/>
    <w:rsid w:val="009551B0"/>
    <w:rsid w:val="0099177F"/>
    <w:rsid w:val="009934C2"/>
    <w:rsid w:val="00995789"/>
    <w:rsid w:val="0099661F"/>
    <w:rsid w:val="009A155B"/>
    <w:rsid w:val="009D64A2"/>
    <w:rsid w:val="009F6CAB"/>
    <w:rsid w:val="009F7A2C"/>
    <w:rsid w:val="00A047F0"/>
    <w:rsid w:val="00A050F5"/>
    <w:rsid w:val="00A1270A"/>
    <w:rsid w:val="00A12827"/>
    <w:rsid w:val="00A161FC"/>
    <w:rsid w:val="00A22AAC"/>
    <w:rsid w:val="00A60276"/>
    <w:rsid w:val="00A62317"/>
    <w:rsid w:val="00A6341F"/>
    <w:rsid w:val="00A765E9"/>
    <w:rsid w:val="00AC005D"/>
    <w:rsid w:val="00AC091A"/>
    <w:rsid w:val="00AD49E4"/>
    <w:rsid w:val="00AF7468"/>
    <w:rsid w:val="00B4481B"/>
    <w:rsid w:val="00B67813"/>
    <w:rsid w:val="00B72BD6"/>
    <w:rsid w:val="00B80491"/>
    <w:rsid w:val="00B80593"/>
    <w:rsid w:val="00B91989"/>
    <w:rsid w:val="00BB00D1"/>
    <w:rsid w:val="00BC3D86"/>
    <w:rsid w:val="00BC4F7E"/>
    <w:rsid w:val="00BE5444"/>
    <w:rsid w:val="00BE7499"/>
    <w:rsid w:val="00C15054"/>
    <w:rsid w:val="00C4517E"/>
    <w:rsid w:val="00C63818"/>
    <w:rsid w:val="00C82348"/>
    <w:rsid w:val="00C92297"/>
    <w:rsid w:val="00C972E2"/>
    <w:rsid w:val="00CA0C87"/>
    <w:rsid w:val="00CA1651"/>
    <w:rsid w:val="00CA264C"/>
    <w:rsid w:val="00CC6B6E"/>
    <w:rsid w:val="00CD0095"/>
    <w:rsid w:val="00CD153F"/>
    <w:rsid w:val="00CD2230"/>
    <w:rsid w:val="00D0091A"/>
    <w:rsid w:val="00DC1928"/>
    <w:rsid w:val="00DE6986"/>
    <w:rsid w:val="00DF5062"/>
    <w:rsid w:val="00E0581E"/>
    <w:rsid w:val="00E1130A"/>
    <w:rsid w:val="00E4264C"/>
    <w:rsid w:val="00E62822"/>
    <w:rsid w:val="00E73399"/>
    <w:rsid w:val="00E7399D"/>
    <w:rsid w:val="00E7573D"/>
    <w:rsid w:val="00E81C9A"/>
    <w:rsid w:val="00E821CF"/>
    <w:rsid w:val="00E931F1"/>
    <w:rsid w:val="00EA027A"/>
    <w:rsid w:val="00EC17BE"/>
    <w:rsid w:val="00EC366F"/>
    <w:rsid w:val="00EC653F"/>
    <w:rsid w:val="00F574FD"/>
    <w:rsid w:val="00F824B7"/>
    <w:rsid w:val="00F864D9"/>
    <w:rsid w:val="00F93AEB"/>
    <w:rsid w:val="00F95E4A"/>
    <w:rsid w:val="00F977B6"/>
    <w:rsid w:val="00F9789E"/>
    <w:rsid w:val="00FB00E1"/>
    <w:rsid w:val="00FC1111"/>
    <w:rsid w:val="00FC3BB8"/>
    <w:rsid w:val="00FE1B41"/>
    <w:rsid w:val="00FF21F2"/>
    <w:rsid w:val="00FF47AD"/>
    <w:rsid w:val="00FF563B"/>
    <w:rsid w:val="0521128F"/>
    <w:rsid w:val="05E0699D"/>
    <w:rsid w:val="065F1C81"/>
    <w:rsid w:val="09F50129"/>
    <w:rsid w:val="0CA76AA3"/>
    <w:rsid w:val="0DA228A0"/>
    <w:rsid w:val="16716D50"/>
    <w:rsid w:val="1ACF6199"/>
    <w:rsid w:val="1BC72B84"/>
    <w:rsid w:val="1D557AE9"/>
    <w:rsid w:val="28905912"/>
    <w:rsid w:val="2C7548FE"/>
    <w:rsid w:val="2D2D793F"/>
    <w:rsid w:val="2FD6667F"/>
    <w:rsid w:val="30444D13"/>
    <w:rsid w:val="317052E7"/>
    <w:rsid w:val="32AE406E"/>
    <w:rsid w:val="35A008B7"/>
    <w:rsid w:val="362A675A"/>
    <w:rsid w:val="3A10178C"/>
    <w:rsid w:val="3A1E373E"/>
    <w:rsid w:val="3D711D49"/>
    <w:rsid w:val="3DDA6D22"/>
    <w:rsid w:val="3F6031EC"/>
    <w:rsid w:val="4C4A62C9"/>
    <w:rsid w:val="4CB27155"/>
    <w:rsid w:val="4FAF6015"/>
    <w:rsid w:val="53A478AD"/>
    <w:rsid w:val="56351186"/>
    <w:rsid w:val="5DC32F40"/>
    <w:rsid w:val="61FD63DC"/>
    <w:rsid w:val="67A7735B"/>
    <w:rsid w:val="6FB46289"/>
    <w:rsid w:val="7DB33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Body Text"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273E"/>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rsid w:val="0035273E"/>
    <w:rPr>
      <w:sz w:val="28"/>
    </w:rPr>
  </w:style>
  <w:style w:type="paragraph" w:styleId="a4">
    <w:name w:val="Date"/>
    <w:basedOn w:val="a"/>
    <w:next w:val="a"/>
    <w:qFormat/>
    <w:rsid w:val="0035273E"/>
  </w:style>
  <w:style w:type="paragraph" w:styleId="a5">
    <w:name w:val="annotation text"/>
    <w:basedOn w:val="a"/>
    <w:link w:val="Char"/>
    <w:qFormat/>
    <w:rsid w:val="0035273E"/>
    <w:pPr>
      <w:jc w:val="left"/>
    </w:pPr>
  </w:style>
  <w:style w:type="paragraph" w:styleId="a6">
    <w:name w:val="Plain Text"/>
    <w:basedOn w:val="a"/>
    <w:link w:val="Char1"/>
    <w:qFormat/>
    <w:rsid w:val="0035273E"/>
    <w:rPr>
      <w:rFonts w:ascii="宋体" w:hAnsi="Courier New" w:cstheme="minorBidi"/>
      <w:szCs w:val="22"/>
    </w:rPr>
  </w:style>
  <w:style w:type="paragraph" w:styleId="a7">
    <w:name w:val="Balloon Text"/>
    <w:basedOn w:val="a"/>
    <w:link w:val="Char0"/>
    <w:uiPriority w:val="99"/>
    <w:semiHidden/>
    <w:unhideWhenUsed/>
    <w:qFormat/>
    <w:rsid w:val="0035273E"/>
    <w:rPr>
      <w:sz w:val="18"/>
      <w:szCs w:val="18"/>
    </w:rPr>
  </w:style>
  <w:style w:type="paragraph" w:styleId="a8">
    <w:name w:val="footer"/>
    <w:basedOn w:val="a"/>
    <w:link w:val="Char10"/>
    <w:qFormat/>
    <w:rsid w:val="0035273E"/>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Char2"/>
    <w:uiPriority w:val="99"/>
    <w:unhideWhenUsed/>
    <w:qFormat/>
    <w:rsid w:val="0035273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35273E"/>
    <w:rPr>
      <w:sz w:val="24"/>
    </w:rPr>
  </w:style>
  <w:style w:type="paragraph" w:styleId="ab">
    <w:name w:val="Title"/>
    <w:basedOn w:val="a"/>
    <w:link w:val="Char11"/>
    <w:qFormat/>
    <w:rsid w:val="0035273E"/>
    <w:pPr>
      <w:spacing w:before="240" w:after="60"/>
      <w:jc w:val="center"/>
      <w:outlineLvl w:val="0"/>
    </w:pPr>
    <w:rPr>
      <w:rFonts w:ascii="Arial" w:hAnsi="Arial" w:cs="Arial"/>
      <w:b/>
      <w:bCs/>
      <w:sz w:val="32"/>
      <w:szCs w:val="32"/>
    </w:rPr>
  </w:style>
  <w:style w:type="table" w:styleId="ac">
    <w:name w:val="Table Grid"/>
    <w:basedOn w:val="a2"/>
    <w:uiPriority w:val="39"/>
    <w:qFormat/>
    <w:rsid w:val="00352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6"/>
    <w:qFormat/>
    <w:rsid w:val="0035273E"/>
    <w:rPr>
      <w:rFonts w:ascii="宋体" w:eastAsia="宋体" w:hAnsi="Courier New"/>
    </w:rPr>
  </w:style>
  <w:style w:type="character" w:customStyle="1" w:styleId="Char10">
    <w:name w:val="页脚 Char1"/>
    <w:link w:val="a8"/>
    <w:qFormat/>
    <w:rsid w:val="0035273E"/>
    <w:rPr>
      <w:sz w:val="18"/>
    </w:rPr>
  </w:style>
  <w:style w:type="character" w:customStyle="1" w:styleId="Char11">
    <w:name w:val="标题 Char1"/>
    <w:link w:val="ab"/>
    <w:qFormat/>
    <w:rsid w:val="0035273E"/>
    <w:rPr>
      <w:rFonts w:ascii="Arial" w:eastAsia="宋体" w:hAnsi="Arial" w:cs="Arial"/>
      <w:b/>
      <w:bCs/>
      <w:sz w:val="32"/>
      <w:szCs w:val="32"/>
    </w:rPr>
  </w:style>
  <w:style w:type="character" w:customStyle="1" w:styleId="Char3">
    <w:name w:val="页脚 Char"/>
    <w:basedOn w:val="a1"/>
    <w:uiPriority w:val="99"/>
    <w:semiHidden/>
    <w:qFormat/>
    <w:rsid w:val="0035273E"/>
    <w:rPr>
      <w:rFonts w:ascii="Times New Roman" w:eastAsia="宋体" w:hAnsi="Times New Roman" w:cs="Times New Roman"/>
      <w:sz w:val="18"/>
      <w:szCs w:val="18"/>
    </w:rPr>
  </w:style>
  <w:style w:type="character" w:customStyle="1" w:styleId="Char4">
    <w:name w:val="标题 Char"/>
    <w:basedOn w:val="a1"/>
    <w:uiPriority w:val="10"/>
    <w:qFormat/>
    <w:rsid w:val="0035273E"/>
    <w:rPr>
      <w:rFonts w:asciiTheme="majorHAnsi" w:eastAsia="宋体" w:hAnsiTheme="majorHAnsi" w:cstheme="majorBidi"/>
      <w:b/>
      <w:bCs/>
      <w:sz w:val="32"/>
      <w:szCs w:val="32"/>
    </w:rPr>
  </w:style>
  <w:style w:type="character" w:customStyle="1" w:styleId="Char5">
    <w:name w:val="纯文本 Char"/>
    <w:basedOn w:val="a1"/>
    <w:uiPriority w:val="99"/>
    <w:semiHidden/>
    <w:qFormat/>
    <w:rsid w:val="0035273E"/>
    <w:rPr>
      <w:rFonts w:ascii="宋体" w:eastAsia="宋体" w:hAnsi="Courier New" w:cs="Courier New"/>
      <w:szCs w:val="21"/>
    </w:rPr>
  </w:style>
  <w:style w:type="character" w:customStyle="1" w:styleId="Char2">
    <w:name w:val="页眉 Char"/>
    <w:basedOn w:val="a1"/>
    <w:link w:val="a9"/>
    <w:uiPriority w:val="99"/>
    <w:qFormat/>
    <w:rsid w:val="0035273E"/>
    <w:rPr>
      <w:rFonts w:ascii="Times New Roman" w:eastAsia="宋体" w:hAnsi="Times New Roman" w:cs="Times New Roman"/>
      <w:sz w:val="18"/>
      <w:szCs w:val="18"/>
    </w:rPr>
  </w:style>
  <w:style w:type="paragraph" w:styleId="ad">
    <w:name w:val="List Paragraph"/>
    <w:basedOn w:val="a"/>
    <w:uiPriority w:val="34"/>
    <w:qFormat/>
    <w:rsid w:val="0035273E"/>
    <w:pPr>
      <w:ind w:firstLineChars="200" w:firstLine="420"/>
    </w:pPr>
  </w:style>
  <w:style w:type="character" w:customStyle="1" w:styleId="Char0">
    <w:name w:val="批注框文本 Char"/>
    <w:basedOn w:val="a1"/>
    <w:link w:val="a7"/>
    <w:uiPriority w:val="99"/>
    <w:semiHidden/>
    <w:qFormat/>
    <w:rsid w:val="0035273E"/>
    <w:rPr>
      <w:rFonts w:ascii="Times New Roman" w:eastAsia="宋体" w:hAnsi="Times New Roman" w:cs="Times New Roman"/>
      <w:sz w:val="18"/>
      <w:szCs w:val="18"/>
    </w:rPr>
  </w:style>
  <w:style w:type="character" w:customStyle="1" w:styleId="font11">
    <w:name w:val="font11"/>
    <w:qFormat/>
    <w:rsid w:val="0035273E"/>
    <w:rPr>
      <w:rFonts w:ascii="宋体" w:eastAsia="宋体" w:hAnsi="宋体"/>
      <w:color w:val="000000"/>
      <w:sz w:val="22"/>
      <w:u w:val="none"/>
    </w:rPr>
  </w:style>
  <w:style w:type="character" w:customStyle="1" w:styleId="font01">
    <w:name w:val="font01"/>
    <w:qFormat/>
    <w:rsid w:val="0035273E"/>
    <w:rPr>
      <w:rFonts w:ascii="宋体" w:eastAsia="宋体" w:hAnsi="宋体"/>
      <w:b/>
      <w:color w:val="000000"/>
      <w:sz w:val="24"/>
      <w:u w:val="none"/>
    </w:rPr>
  </w:style>
  <w:style w:type="character" w:styleId="ae">
    <w:name w:val="annotation reference"/>
    <w:basedOn w:val="a1"/>
    <w:uiPriority w:val="99"/>
    <w:semiHidden/>
    <w:unhideWhenUsed/>
    <w:rsid w:val="00A62317"/>
    <w:rPr>
      <w:sz w:val="21"/>
      <w:szCs w:val="21"/>
    </w:rPr>
  </w:style>
  <w:style w:type="paragraph" w:styleId="af">
    <w:name w:val="annotation subject"/>
    <w:basedOn w:val="a5"/>
    <w:next w:val="a5"/>
    <w:link w:val="Char6"/>
    <w:uiPriority w:val="99"/>
    <w:semiHidden/>
    <w:unhideWhenUsed/>
    <w:rsid w:val="00A62317"/>
    <w:rPr>
      <w:b/>
      <w:bCs/>
    </w:rPr>
  </w:style>
  <w:style w:type="character" w:customStyle="1" w:styleId="Char">
    <w:name w:val="批注文字 Char"/>
    <w:basedOn w:val="a1"/>
    <w:link w:val="a5"/>
    <w:rsid w:val="00A62317"/>
    <w:rPr>
      <w:kern w:val="2"/>
      <w:sz w:val="21"/>
    </w:rPr>
  </w:style>
  <w:style w:type="character" w:customStyle="1" w:styleId="Char6">
    <w:name w:val="批注主题 Char"/>
    <w:basedOn w:val="Char"/>
    <w:link w:val="af"/>
    <w:rsid w:val="00A62317"/>
  </w:style>
  <w:style w:type="paragraph" w:styleId="af0">
    <w:name w:val="Revision"/>
    <w:hidden/>
    <w:uiPriority w:val="99"/>
    <w:semiHidden/>
    <w:rsid w:val="00EC17BE"/>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802</Words>
  <Characters>4576</Characters>
  <Application>Microsoft Office Word</Application>
  <DocSecurity>0</DocSecurity>
  <Lines>38</Lines>
  <Paragraphs>10</Paragraphs>
  <ScaleCrop>false</ScaleCrop>
  <Company>Microsoft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dcterms:created xsi:type="dcterms:W3CDTF">2024-09-06T00:35:00Z</dcterms:created>
  <dcterms:modified xsi:type="dcterms:W3CDTF">2024-09-06T00:41:00Z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14A3DEB1485B47C78901A2B4DAE2B834</vt:lpwstr>
  </property>
</Properties>
</file>