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hAnsi="宋体"/>
          <w:sz w:val="36"/>
          <w:highlight w:val="none"/>
        </w:rPr>
      </w:pPr>
      <w:bookmarkStart w:id="0" w:name="_Toc38367762"/>
      <w:r>
        <w:rPr>
          <w:rFonts w:hint="eastAsia" w:ascii="宋体" w:hAnsi="宋体"/>
          <w:sz w:val="36"/>
          <w:highlight w:val="none"/>
        </w:rPr>
        <w:t>【电力系统极端自然灾害数据采集及可视化展示</w:t>
      </w:r>
      <w:r>
        <w:rPr>
          <w:rFonts w:hint="eastAsia" w:ascii="宋体" w:hAnsi="宋体"/>
          <w:sz w:val="36"/>
          <w:highlight w:val="none"/>
          <w:lang w:val="en-US" w:eastAsia="zh-CN"/>
        </w:rPr>
        <w:t>应用系统</w:t>
      </w:r>
      <w:r>
        <w:rPr>
          <w:rFonts w:hint="eastAsia" w:ascii="宋体" w:hAnsi="宋体"/>
          <w:sz w:val="36"/>
          <w:highlight w:val="none"/>
        </w:rPr>
        <w:t>开发】</w:t>
      </w:r>
      <w:r>
        <w:rPr>
          <w:rFonts w:ascii="宋体" w:hAnsi="宋体"/>
          <w:sz w:val="36"/>
          <w:highlight w:val="none"/>
        </w:rPr>
        <w:t>采购需求</w:t>
      </w:r>
      <w:bookmarkEnd w:id="0"/>
    </w:p>
    <w:p>
      <w:pPr>
        <w:pStyle w:val="21"/>
        <w:numPr>
          <w:ilvl w:val="0"/>
          <w:numId w:val="1"/>
        </w:numPr>
        <w:tabs>
          <w:tab w:val="left" w:pos="900"/>
        </w:tabs>
        <w:spacing w:before="156" w:beforeLines="50" w:line="360" w:lineRule="auto"/>
        <w:ind w:firstLineChars="0"/>
        <w:rPr>
          <w:rFonts w:hAnsi="宋体"/>
          <w:b/>
          <w:szCs w:val="21"/>
          <w:highlight w:val="none"/>
        </w:rPr>
      </w:pPr>
      <w:bookmarkStart w:id="1" w:name="_Toc158978330"/>
      <w:bookmarkStart w:id="2" w:name="_Toc219271393"/>
      <w:bookmarkStart w:id="3" w:name="_Toc172360661"/>
      <w:r>
        <w:rPr>
          <w:rFonts w:hAnsi="宋体"/>
          <w:b/>
          <w:szCs w:val="21"/>
          <w:highlight w:val="none"/>
        </w:rPr>
        <w:t>采购</w:t>
      </w:r>
      <w:r>
        <w:rPr>
          <w:rFonts w:hint="eastAsia" w:hAnsi="宋体"/>
          <w:b/>
          <w:szCs w:val="21"/>
          <w:highlight w:val="none"/>
        </w:rPr>
        <w:t>标的</w:t>
      </w:r>
      <w:r>
        <w:rPr>
          <w:rFonts w:hAnsi="宋体"/>
          <w:b/>
          <w:szCs w:val="21"/>
          <w:highlight w:val="none"/>
        </w:rPr>
        <w:t>需实现的功能或者目标，以及为落实政府采购政策需满足的要求：</w:t>
      </w:r>
    </w:p>
    <w:p>
      <w:pPr>
        <w:pStyle w:val="21"/>
        <w:spacing w:line="360" w:lineRule="auto"/>
        <w:ind w:left="450"/>
        <w:rPr>
          <w:rFonts w:ascii="宋体" w:hAnsi="宋体" w:cs="宋体"/>
          <w:szCs w:val="21"/>
          <w:highlight w:val="none"/>
        </w:rPr>
      </w:pPr>
      <w:r>
        <w:rPr>
          <w:rFonts w:hint="eastAsia" w:ascii="宋体" w:hAnsi="宋体" w:cs="宋体"/>
          <w:szCs w:val="21"/>
          <w:highlight w:val="none"/>
        </w:rPr>
        <w:t>随着电网快速发展，气象监视、雷电监视、自然灾害监视、覆冰监视、一次设备状态等因素对电网安全运行的影响越来越大，有必要将恶劣气象环境因素带来的风险作为重要条件，形成基于风险评估的、动态的预想故障集，提供电网安全评估的科学性。</w:t>
      </w:r>
    </w:p>
    <w:p>
      <w:pPr>
        <w:tabs>
          <w:tab w:val="left" w:pos="900"/>
        </w:tabs>
        <w:spacing w:before="156" w:beforeLines="50" w:line="360" w:lineRule="auto"/>
        <w:rPr>
          <w:b/>
          <w:szCs w:val="21"/>
          <w:highlight w:val="none"/>
        </w:rPr>
      </w:pPr>
      <w:r>
        <w:rPr>
          <w:rFonts w:hAnsi="宋体"/>
          <w:b/>
          <w:szCs w:val="21"/>
          <w:highlight w:val="none"/>
        </w:rPr>
        <w:t>（一）采购</w:t>
      </w:r>
      <w:r>
        <w:rPr>
          <w:rFonts w:hint="eastAsia" w:hAnsi="宋体"/>
          <w:b/>
          <w:szCs w:val="21"/>
          <w:highlight w:val="none"/>
        </w:rPr>
        <w:t>标的</w:t>
      </w:r>
      <w:r>
        <w:rPr>
          <w:rFonts w:hAnsi="宋体"/>
          <w:b/>
          <w:szCs w:val="21"/>
          <w:highlight w:val="none"/>
        </w:rPr>
        <w:t>需实现的功能或者目标</w:t>
      </w:r>
    </w:p>
    <w:p>
      <w:pPr>
        <w:tabs>
          <w:tab w:val="left" w:pos="900"/>
        </w:tabs>
        <w:spacing w:line="360" w:lineRule="auto"/>
        <w:ind w:left="420"/>
        <w:rPr>
          <w:rFonts w:hAnsi="宋体"/>
          <w:highlight w:val="none"/>
        </w:rPr>
      </w:pPr>
      <w:r>
        <w:rPr>
          <w:rFonts w:hint="eastAsia" w:hAnsi="宋体"/>
          <w:highlight w:val="none"/>
        </w:rPr>
        <w:t>湾区电力系统极端自然灾害数据采集及可视化展示功能开发旨在研究极端自然灾害数据采集及可视化展示的研究成果，将各部分研究内容按模块以可视化方式呈现，</w:t>
      </w:r>
      <w:r>
        <w:rPr>
          <w:rFonts w:hint="eastAsia" w:hAnsi="宋体"/>
          <w:highlight w:val="none"/>
          <w:lang w:val="en-US" w:eastAsia="zh-CN"/>
        </w:rPr>
        <w:t>依托</w:t>
      </w:r>
      <w:r>
        <w:rPr>
          <w:rFonts w:hint="eastAsia" w:ascii="Times New Roman" w:hAnsi="宋体" w:eastAsia="宋体"/>
          <w:b w:val="0"/>
          <w:sz w:val="21"/>
          <w:szCs w:val="20"/>
          <w:highlight w:val="none"/>
        </w:rPr>
        <w:t>电力系统灾害防御及快速恢复智能调度平台</w:t>
      </w:r>
      <w:r>
        <w:rPr>
          <w:rFonts w:hint="eastAsia" w:hAnsi="宋体"/>
          <w:highlight w:val="none"/>
        </w:rPr>
        <w:t>并最终集成为功能齐全、内容清晰、操作便捷的平台系</w:t>
      </w:r>
      <w:r>
        <w:rPr>
          <w:rFonts w:hint="eastAsia" w:hAnsi="宋体"/>
          <w:color w:val="000000" w:themeColor="text1"/>
          <w:highlight w:val="none"/>
          <w14:textFill>
            <w14:solidFill>
              <w14:schemeClr w14:val="tx1"/>
            </w14:solidFill>
          </w14:textFill>
        </w:rPr>
        <w:t>统。平台共设计了数据采集、</w:t>
      </w:r>
      <w:r>
        <w:rPr>
          <w:rFonts w:hint="eastAsia" w:hAnsi="宋体"/>
          <w:color w:val="000000" w:themeColor="text1"/>
          <w:highlight w:val="none"/>
          <w:lang w:val="en-US" w:eastAsia="zh-CN"/>
          <w14:textFill>
            <w14:solidFill>
              <w14:schemeClr w14:val="tx1"/>
            </w14:solidFill>
          </w14:textFill>
        </w:rPr>
        <w:t>数据导入、</w:t>
      </w:r>
      <w:r>
        <w:rPr>
          <w:rFonts w:hint="eastAsia" w:ascii="宋体" w:hAnsi="宋体" w:cs="宋体"/>
          <w:color w:val="000000" w:themeColor="text1"/>
          <w:szCs w:val="21"/>
          <w:highlight w:val="none"/>
          <w14:textFill>
            <w14:solidFill>
              <w14:schemeClr w14:val="tx1"/>
            </w14:solidFill>
          </w14:textFill>
        </w:rPr>
        <w:t>气象信息综合监视</w:t>
      </w:r>
      <w:r>
        <w:rPr>
          <w:rFonts w:hint="eastAsia" w:hAnsi="宋体"/>
          <w:color w:val="000000" w:themeColor="text1"/>
          <w:highlight w:val="none"/>
          <w14:textFill>
            <w14:solidFill>
              <w14:schemeClr w14:val="tx1"/>
            </w14:solidFill>
          </w14:textFill>
        </w:rPr>
        <w:t>三大模块，实</w:t>
      </w:r>
      <w:r>
        <w:rPr>
          <w:rFonts w:hint="eastAsia" w:hAnsi="宋体"/>
          <w:highlight w:val="none"/>
        </w:rPr>
        <w:t>现自然灾害数据的采集与可视化展示两个具体目标。</w:t>
      </w:r>
    </w:p>
    <w:p>
      <w:pPr>
        <w:tabs>
          <w:tab w:val="left" w:pos="900"/>
        </w:tabs>
        <w:spacing w:before="156" w:beforeLines="50" w:line="360" w:lineRule="auto"/>
        <w:rPr>
          <w:b/>
          <w:szCs w:val="21"/>
          <w:highlight w:val="none"/>
        </w:rPr>
      </w:pPr>
      <w:r>
        <w:rPr>
          <w:rFonts w:hAnsi="宋体"/>
          <w:b/>
          <w:szCs w:val="21"/>
          <w:highlight w:val="none"/>
        </w:rPr>
        <w:t>（二）为落实政府采购政策需满足的要求</w:t>
      </w:r>
    </w:p>
    <w:p>
      <w:pPr>
        <w:tabs>
          <w:tab w:val="left" w:pos="900"/>
        </w:tabs>
        <w:spacing w:line="360" w:lineRule="auto"/>
        <w:ind w:left="420"/>
        <w:rPr>
          <w:rFonts w:hAnsi="宋体"/>
          <w:szCs w:val="21"/>
          <w:highlight w:val="none"/>
        </w:rPr>
      </w:pPr>
      <w:r>
        <w:rPr>
          <w:rFonts w:hAnsi="宋体"/>
          <w:szCs w:val="24"/>
          <w:highlight w:val="none"/>
        </w:rPr>
        <w:t>根据</w:t>
      </w:r>
      <w:r>
        <w:rPr>
          <w:rFonts w:hAnsi="宋体"/>
          <w:highlight w:val="none"/>
        </w:rPr>
        <w:t>《政府采购促进中小企业发展管理办法》</w:t>
      </w:r>
      <w:r>
        <w:rPr>
          <w:rFonts w:hint="eastAsia" w:hAnsi="宋体"/>
          <w:highlight w:val="none"/>
        </w:rPr>
        <w:t>（财库【2</w:t>
      </w:r>
      <w:r>
        <w:rPr>
          <w:rFonts w:hAnsi="宋体"/>
          <w:highlight w:val="none"/>
        </w:rPr>
        <w:t>020</w:t>
      </w:r>
      <w:r>
        <w:rPr>
          <w:rFonts w:hint="eastAsia" w:hAnsi="宋体"/>
          <w:highlight w:val="none"/>
        </w:rPr>
        <w:t>】4</w:t>
      </w:r>
      <w:r>
        <w:rPr>
          <w:rFonts w:hAnsi="宋体"/>
          <w:highlight w:val="none"/>
        </w:rPr>
        <w:t>6</w:t>
      </w:r>
      <w:r>
        <w:rPr>
          <w:rFonts w:hint="eastAsia" w:hAnsi="宋体"/>
          <w:highlight w:val="none"/>
        </w:rPr>
        <w:t>号）</w:t>
      </w:r>
      <w:r>
        <w:rPr>
          <w:rFonts w:hAnsi="宋体"/>
          <w:highlight w:val="none"/>
        </w:rPr>
        <w:t>规定，本项目</w:t>
      </w:r>
      <w:r>
        <w:rPr>
          <w:rFonts w:hint="eastAsia" w:hAnsi="宋体"/>
          <w:highlight w:val="none"/>
        </w:rPr>
        <w:t>采购标的</w:t>
      </w:r>
      <w:r>
        <w:rPr>
          <w:rFonts w:hAnsi="宋体"/>
          <w:highlight w:val="none"/>
        </w:rPr>
        <w:t>为</w:t>
      </w:r>
      <w:r>
        <w:rPr>
          <w:rFonts w:hint="eastAsia" w:hAnsi="宋体"/>
          <w:highlight w:val="none"/>
        </w:rPr>
        <w:t>中小</w:t>
      </w:r>
      <w:r>
        <w:rPr>
          <w:rFonts w:hAnsi="宋体"/>
          <w:highlight w:val="none"/>
        </w:rPr>
        <w:t>型企业</w:t>
      </w:r>
      <w:r>
        <w:rPr>
          <w:rFonts w:hint="eastAsia" w:hAnsi="宋体"/>
          <w:highlight w:val="none"/>
        </w:rPr>
        <w:t>制造、承建或承接</w:t>
      </w:r>
      <w:r>
        <w:rPr>
          <w:rFonts w:hAnsi="宋体"/>
          <w:szCs w:val="24"/>
          <w:highlight w:val="none"/>
        </w:rPr>
        <w:t>的，</w:t>
      </w:r>
      <w:r>
        <w:rPr>
          <w:rFonts w:hAnsi="宋体"/>
          <w:highlight w:val="none"/>
        </w:rPr>
        <w:t>投标人应</w:t>
      </w:r>
      <w:r>
        <w:rPr>
          <w:rFonts w:hint="eastAsia" w:hAnsi="宋体"/>
          <w:highlight w:val="none"/>
        </w:rPr>
        <w:t>提供办法规定的</w:t>
      </w:r>
      <w:r>
        <w:rPr>
          <w:rFonts w:hAnsi="宋体"/>
          <w:szCs w:val="21"/>
          <w:highlight w:val="none"/>
        </w:rPr>
        <w:t>《中小企业声明函》</w:t>
      </w:r>
      <w:r>
        <w:rPr>
          <w:rFonts w:hint="eastAsia" w:hAnsi="宋体"/>
          <w:szCs w:val="21"/>
          <w:highlight w:val="none"/>
        </w:rPr>
        <w:t>，否则不得享受相关中小企业扶持政策</w:t>
      </w:r>
      <w:r>
        <w:rPr>
          <w:rFonts w:hAnsi="宋体"/>
          <w:szCs w:val="24"/>
          <w:highlight w:val="none"/>
        </w:rPr>
        <w:t>。投标人应对提交的中小企业声明函的真实性负责，提交的中小企业声明函不真实的，应承担相应的法律责任</w:t>
      </w:r>
      <w:r>
        <w:rPr>
          <w:rFonts w:hAnsi="宋体"/>
          <w:szCs w:val="21"/>
          <w:highlight w:val="none"/>
        </w:rPr>
        <w:t>。</w:t>
      </w:r>
    </w:p>
    <w:p>
      <w:pPr>
        <w:tabs>
          <w:tab w:val="left" w:pos="900"/>
        </w:tabs>
        <w:spacing w:line="360" w:lineRule="auto"/>
        <w:ind w:left="420"/>
        <w:rPr>
          <w:rFonts w:hAnsi="宋体"/>
          <w:szCs w:val="24"/>
          <w:highlight w:val="none"/>
        </w:rPr>
      </w:pPr>
      <w:r>
        <w:rPr>
          <w:rFonts w:hint="eastAsia" w:hAnsi="宋体"/>
          <w:szCs w:val="24"/>
          <w:highlight w:val="none"/>
        </w:rPr>
        <w:t>本项目采购标的对应的《中小企业划型标准规定》所属行业为：</w:t>
      </w:r>
      <w:r>
        <w:rPr>
          <w:rFonts w:hint="eastAsia" w:hAnsi="宋体"/>
          <w:szCs w:val="24"/>
          <w:highlight w:val="none"/>
          <w:u w:val="single"/>
        </w:rPr>
        <w:t xml:space="preserve"> </w:t>
      </w:r>
      <w:bookmarkStart w:id="4" w:name="_GoBack"/>
      <w:r>
        <w:rPr>
          <w:rFonts w:hAnsi="宋体"/>
          <w:color w:val="000000" w:themeColor="text1"/>
          <w:szCs w:val="24"/>
          <w:highlight w:val="none"/>
          <w:u w:val="single"/>
          <w14:textFill>
            <w14:solidFill>
              <w14:schemeClr w14:val="tx1"/>
            </w14:solidFill>
          </w14:textFill>
        </w:rPr>
        <w:t xml:space="preserve"> </w:t>
      </w:r>
      <w:r>
        <w:rPr>
          <w:rFonts w:hint="eastAsia" w:hAnsi="宋体"/>
          <w:color w:val="000000" w:themeColor="text1"/>
          <w:szCs w:val="24"/>
          <w:highlight w:val="none"/>
          <w14:textFill>
            <w14:solidFill>
              <w14:schemeClr w14:val="tx1"/>
            </w14:solidFill>
          </w14:textFill>
        </w:rPr>
        <w:t>工业</w:t>
      </w:r>
      <w:r>
        <w:rPr>
          <w:rFonts w:hAnsi="宋体"/>
          <w:color w:val="000000" w:themeColor="text1"/>
          <w:szCs w:val="24"/>
          <w:highlight w:val="none"/>
          <w:u w:val="single"/>
          <w14:textFill>
            <w14:solidFill>
              <w14:schemeClr w14:val="tx1"/>
            </w14:solidFill>
          </w14:textFill>
        </w:rPr>
        <w:t xml:space="preserve">  </w:t>
      </w:r>
      <w:bookmarkEnd w:id="4"/>
      <w:r>
        <w:rPr>
          <w:rFonts w:hAnsi="宋体"/>
          <w:szCs w:val="24"/>
          <w:highlight w:val="none"/>
          <w:u w:val="single"/>
        </w:rPr>
        <w:t xml:space="preserve">   </w:t>
      </w:r>
      <w:r>
        <w:rPr>
          <w:rFonts w:hint="eastAsia" w:hAnsi="宋体"/>
          <w:szCs w:val="24"/>
          <w:highlight w:val="none"/>
        </w:rPr>
        <w:t>。</w:t>
      </w:r>
    </w:p>
    <w:p>
      <w:pPr>
        <w:tabs>
          <w:tab w:val="left" w:pos="900"/>
        </w:tabs>
        <w:spacing w:before="156" w:beforeLines="50" w:line="360" w:lineRule="auto"/>
        <w:rPr>
          <w:rFonts w:hAnsi="宋体"/>
          <w:b/>
          <w:szCs w:val="21"/>
          <w:highlight w:val="none"/>
        </w:rPr>
      </w:pPr>
      <w:r>
        <w:rPr>
          <w:rFonts w:hint="eastAsia" w:hAnsi="宋体"/>
          <w:b/>
          <w:szCs w:val="21"/>
          <w:highlight w:val="none"/>
        </w:rPr>
        <w:t>二、</w:t>
      </w:r>
      <w:r>
        <w:rPr>
          <w:rFonts w:hAnsi="宋体"/>
          <w:b/>
          <w:szCs w:val="21"/>
          <w:highlight w:val="none"/>
        </w:rPr>
        <w:t>采购</w:t>
      </w:r>
      <w:r>
        <w:rPr>
          <w:rFonts w:hint="eastAsia" w:hAnsi="宋体"/>
          <w:b/>
          <w:szCs w:val="21"/>
          <w:highlight w:val="none"/>
        </w:rPr>
        <w:t>标的</w:t>
      </w:r>
      <w:r>
        <w:rPr>
          <w:rFonts w:hAnsi="宋体"/>
          <w:b/>
          <w:szCs w:val="21"/>
          <w:highlight w:val="none"/>
        </w:rPr>
        <w:t>需执行的国家相关标准、行业标准、地方标准或者其他标准、规范：</w:t>
      </w:r>
    </w:p>
    <w:p>
      <w:pPr>
        <w:tabs>
          <w:tab w:val="left" w:pos="900"/>
        </w:tabs>
        <w:spacing w:before="156" w:beforeLines="50" w:line="360" w:lineRule="auto"/>
        <w:ind w:firstLine="420" w:firstLineChars="200"/>
        <w:rPr>
          <w:szCs w:val="21"/>
          <w:highlight w:val="none"/>
        </w:rPr>
      </w:pPr>
      <w:r>
        <w:rPr>
          <w:rFonts w:hint="eastAsia"/>
          <w:szCs w:val="21"/>
          <w:highlight w:val="none"/>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pPr>
        <w:tabs>
          <w:tab w:val="left" w:pos="900"/>
        </w:tabs>
        <w:spacing w:before="156" w:beforeLines="50" w:line="360" w:lineRule="auto"/>
        <w:rPr>
          <w:rFonts w:hAnsi="宋体"/>
          <w:b/>
          <w:szCs w:val="21"/>
          <w:highlight w:val="none"/>
        </w:rPr>
      </w:pPr>
      <w:r>
        <w:rPr>
          <w:rFonts w:hint="eastAsia" w:hAnsi="宋体"/>
          <w:b/>
          <w:szCs w:val="21"/>
          <w:highlight w:val="none"/>
        </w:rPr>
        <w:t>三、采购标的概况</w:t>
      </w:r>
    </w:p>
    <w:p>
      <w:pPr>
        <w:spacing w:before="156" w:beforeLines="50" w:line="360" w:lineRule="auto"/>
        <w:rPr>
          <w:rFonts w:hAnsi="宋体"/>
          <w:szCs w:val="21"/>
          <w:highlight w:val="none"/>
        </w:rPr>
      </w:pPr>
      <w:r>
        <w:rPr>
          <w:rFonts w:hint="eastAsia" w:ascii="宋体" w:hAnsi="宋体"/>
          <w:szCs w:val="21"/>
          <w:highlight w:val="none"/>
        </w:rPr>
        <w:t>（一）采购项目名称：</w:t>
      </w:r>
      <w:r>
        <w:rPr>
          <w:rFonts w:hint="eastAsia" w:ascii="宋体" w:hAnsi="宋体"/>
          <w:szCs w:val="21"/>
          <w:highlight w:val="none"/>
          <w:u w:val="single"/>
        </w:rPr>
        <w:t>电力系统极端自然灾害数据采集及可视化展示</w:t>
      </w:r>
      <w:r>
        <w:rPr>
          <w:rFonts w:hint="eastAsia" w:ascii="宋体" w:hAnsi="宋体"/>
          <w:szCs w:val="21"/>
          <w:highlight w:val="none"/>
          <w:u w:val="single"/>
          <w:lang w:val="en-US" w:eastAsia="zh-CN"/>
        </w:rPr>
        <w:t>应用系统</w:t>
      </w:r>
      <w:r>
        <w:rPr>
          <w:rFonts w:hint="eastAsia" w:ascii="宋体" w:hAnsi="宋体"/>
          <w:szCs w:val="21"/>
          <w:highlight w:val="none"/>
          <w:u w:val="single"/>
        </w:rPr>
        <w:t xml:space="preserve">开发 </w:t>
      </w:r>
      <w:r>
        <w:rPr>
          <w:rFonts w:ascii="宋体" w:hAnsi="宋体"/>
          <w:szCs w:val="21"/>
          <w:highlight w:val="none"/>
          <w:u w:val="single"/>
        </w:rPr>
        <w:t xml:space="preserve"> </w:t>
      </w:r>
    </w:p>
    <w:p>
      <w:pPr>
        <w:spacing w:before="156" w:beforeLines="50" w:line="360" w:lineRule="auto"/>
        <w:rPr>
          <w:rFonts w:hAnsi="宋体"/>
          <w:szCs w:val="21"/>
          <w:highlight w:val="none"/>
          <w:u w:val="single"/>
        </w:rPr>
      </w:pPr>
      <w:r>
        <w:rPr>
          <w:rFonts w:hint="eastAsia" w:hAnsi="宋体"/>
          <w:szCs w:val="21"/>
          <w:highlight w:val="none"/>
        </w:rPr>
        <w:t>（二）采购数量及计量单位：</w:t>
      </w:r>
      <w:r>
        <w:rPr>
          <w:rFonts w:hAnsi="宋体"/>
          <w:szCs w:val="21"/>
          <w:highlight w:val="none"/>
          <w:u w:val="single"/>
        </w:rPr>
        <w:t xml:space="preserve"> </w:t>
      </w:r>
      <w:r>
        <w:rPr>
          <w:rFonts w:hint="eastAsia" w:hAnsi="宋体"/>
          <w:szCs w:val="21"/>
          <w:highlight w:val="none"/>
          <w:u w:val="single"/>
        </w:rPr>
        <w:t>1套</w:t>
      </w:r>
      <w:r>
        <w:rPr>
          <w:rFonts w:hAnsi="宋体"/>
          <w:szCs w:val="21"/>
          <w:highlight w:val="none"/>
          <w:u w:val="single"/>
        </w:rPr>
        <w:t xml:space="preserve">        </w:t>
      </w:r>
    </w:p>
    <w:p>
      <w:pPr>
        <w:spacing w:before="156" w:beforeLines="50" w:line="360" w:lineRule="auto"/>
        <w:rPr>
          <w:rFonts w:hAnsi="宋体"/>
          <w:szCs w:val="21"/>
          <w:highlight w:val="none"/>
        </w:rPr>
      </w:pPr>
      <w:r>
        <w:rPr>
          <w:rFonts w:hint="eastAsia" w:hAnsi="宋体"/>
          <w:szCs w:val="21"/>
          <w:highlight w:val="none"/>
        </w:rPr>
        <w:t>（三）最高限价：人民币</w:t>
      </w:r>
      <w:r>
        <w:rPr>
          <w:rFonts w:hint="eastAsia" w:hAnsi="宋体"/>
          <w:szCs w:val="21"/>
          <w:highlight w:val="none"/>
          <w:u w:val="single"/>
        </w:rPr>
        <w:t xml:space="preserve"> </w:t>
      </w:r>
      <w:r>
        <w:rPr>
          <w:rFonts w:hAnsi="宋体"/>
          <w:szCs w:val="21"/>
          <w:highlight w:val="none"/>
          <w:u w:val="single"/>
        </w:rPr>
        <w:t xml:space="preserve"> </w:t>
      </w:r>
      <w:r>
        <w:rPr>
          <w:rFonts w:hint="eastAsia" w:hAnsi="宋体"/>
          <w:szCs w:val="21"/>
          <w:highlight w:val="none"/>
          <w:u w:val="single"/>
        </w:rPr>
        <w:t>850000</w:t>
      </w:r>
      <w:r>
        <w:rPr>
          <w:rFonts w:hAnsi="宋体"/>
          <w:szCs w:val="21"/>
          <w:highlight w:val="none"/>
          <w:u w:val="single"/>
        </w:rPr>
        <w:t xml:space="preserve">    </w:t>
      </w:r>
      <w:r>
        <w:rPr>
          <w:rFonts w:hAnsi="宋体"/>
          <w:szCs w:val="21"/>
          <w:highlight w:val="none"/>
        </w:rPr>
        <w:t xml:space="preserve"> </w:t>
      </w:r>
      <w:r>
        <w:rPr>
          <w:rFonts w:hint="eastAsia" w:hAnsi="宋体"/>
          <w:szCs w:val="21"/>
          <w:highlight w:val="none"/>
        </w:rPr>
        <w:t>元。</w:t>
      </w:r>
    </w:p>
    <w:p>
      <w:pPr>
        <w:spacing w:before="156" w:beforeLines="50" w:line="360" w:lineRule="auto"/>
        <w:rPr>
          <w:szCs w:val="21"/>
          <w:highlight w:val="none"/>
        </w:rPr>
      </w:pPr>
      <w:r>
        <w:rPr>
          <w:rFonts w:hint="eastAsia" w:hAnsi="宋体"/>
          <w:szCs w:val="21"/>
          <w:highlight w:val="none"/>
        </w:rPr>
        <w:t>（四）</w:t>
      </w:r>
      <w:r>
        <w:rPr>
          <w:rFonts w:hAnsi="宋体"/>
          <w:szCs w:val="21"/>
          <w:highlight w:val="none"/>
        </w:rPr>
        <w:t>交付时间：</w:t>
      </w:r>
      <w:r>
        <w:rPr>
          <w:rFonts w:hAnsi="宋体"/>
          <w:highlight w:val="none"/>
        </w:rPr>
        <w:t>合同签订后</w:t>
      </w:r>
      <w:r>
        <w:rPr>
          <w:rFonts w:hAnsi="宋体"/>
          <w:highlight w:val="none"/>
          <w:u w:val="single"/>
        </w:rPr>
        <w:t xml:space="preserve">  </w:t>
      </w:r>
      <w:r>
        <w:rPr>
          <w:rFonts w:hint="eastAsia" w:hAnsi="宋体"/>
          <w:highlight w:val="none"/>
          <w:u w:val="single"/>
        </w:rPr>
        <w:t>180</w:t>
      </w:r>
      <w:r>
        <w:rPr>
          <w:rFonts w:hAnsi="宋体"/>
          <w:highlight w:val="none"/>
          <w:u w:val="single"/>
        </w:rPr>
        <w:t xml:space="preserve">     </w:t>
      </w:r>
      <w:r>
        <w:rPr>
          <w:rFonts w:hint="eastAsia" w:hAnsi="宋体"/>
          <w:highlight w:val="none"/>
        </w:rPr>
        <w:t>天内。</w:t>
      </w:r>
    </w:p>
    <w:p>
      <w:pPr>
        <w:tabs>
          <w:tab w:val="left" w:pos="900"/>
        </w:tabs>
        <w:spacing w:before="156" w:beforeLines="50" w:line="360" w:lineRule="auto"/>
        <w:rPr>
          <w:rFonts w:hAnsi="宋体"/>
          <w:szCs w:val="21"/>
          <w:highlight w:val="none"/>
        </w:rPr>
      </w:pPr>
      <w:r>
        <w:rPr>
          <w:rFonts w:hint="eastAsia" w:hAnsi="宋体"/>
          <w:szCs w:val="21"/>
          <w:highlight w:val="none"/>
        </w:rPr>
        <w:t>（五）</w:t>
      </w:r>
      <w:r>
        <w:rPr>
          <w:rFonts w:hAnsi="宋体"/>
          <w:szCs w:val="21"/>
          <w:highlight w:val="none"/>
        </w:rPr>
        <w:t>交付地点：</w:t>
      </w:r>
      <w:r>
        <w:rPr>
          <w:rFonts w:hint="eastAsia" w:hAnsi="宋体"/>
          <w:szCs w:val="21"/>
          <w:highlight w:val="none"/>
          <w:u w:val="single"/>
        </w:rPr>
        <w:t xml:space="preserve">  </w:t>
      </w:r>
      <w:r>
        <w:rPr>
          <w:rFonts w:hAnsi="宋体"/>
          <w:szCs w:val="21"/>
          <w:highlight w:val="none"/>
          <w:u w:val="single"/>
        </w:rPr>
        <w:t xml:space="preserve">  </w:t>
      </w:r>
      <w:r>
        <w:rPr>
          <w:rFonts w:hint="eastAsia" w:hAnsi="宋体"/>
          <w:szCs w:val="21"/>
          <w:highlight w:val="none"/>
          <w:u w:val="single"/>
        </w:rPr>
        <w:t>西安交通大学指定地点</w:t>
      </w:r>
      <w:r>
        <w:rPr>
          <w:rFonts w:hAnsi="宋体"/>
          <w:szCs w:val="21"/>
          <w:highlight w:val="none"/>
          <w:u w:val="single"/>
        </w:rPr>
        <w:t xml:space="preserve">            </w:t>
      </w:r>
      <w:r>
        <w:rPr>
          <w:rFonts w:hint="eastAsia" w:hAnsi="宋体"/>
          <w:szCs w:val="21"/>
          <w:highlight w:val="none"/>
        </w:rPr>
        <w:t>。</w:t>
      </w:r>
    </w:p>
    <w:p>
      <w:pPr>
        <w:tabs>
          <w:tab w:val="left" w:pos="900"/>
        </w:tabs>
        <w:spacing w:before="156" w:beforeLines="50" w:line="360" w:lineRule="auto"/>
        <w:rPr>
          <w:rFonts w:hAnsi="宋体"/>
          <w:szCs w:val="21"/>
          <w:highlight w:val="none"/>
        </w:rPr>
      </w:pPr>
      <w:r>
        <w:rPr>
          <w:rFonts w:hint="eastAsia" w:hAnsi="宋体"/>
          <w:szCs w:val="21"/>
          <w:highlight w:val="none"/>
        </w:rPr>
        <w:t>（六）付款进度安排：</w:t>
      </w:r>
      <w:r>
        <w:rPr>
          <w:rFonts w:hint="eastAsia" w:hAnsi="宋体"/>
          <w:szCs w:val="21"/>
          <w:highlight w:val="none"/>
          <w:u w:val="single"/>
        </w:rPr>
        <w:t xml:space="preserve">  预付款30%，验收款65%，质保5%</w:t>
      </w:r>
      <w:r>
        <w:rPr>
          <w:rFonts w:hAnsi="宋体"/>
          <w:szCs w:val="21"/>
          <w:highlight w:val="none"/>
          <w:u w:val="single"/>
        </w:rPr>
        <w:t xml:space="preserve">     </w:t>
      </w:r>
      <w:r>
        <w:rPr>
          <w:rFonts w:hint="eastAsia" w:hAnsi="宋体"/>
          <w:szCs w:val="21"/>
          <w:highlight w:val="none"/>
        </w:rPr>
        <w:t>。</w:t>
      </w:r>
    </w:p>
    <w:p>
      <w:pPr>
        <w:tabs>
          <w:tab w:val="left" w:pos="900"/>
        </w:tabs>
        <w:spacing w:before="156" w:beforeLines="50" w:line="360" w:lineRule="auto"/>
        <w:rPr>
          <w:rFonts w:hAnsi="宋体"/>
          <w:szCs w:val="21"/>
          <w:highlight w:val="none"/>
        </w:rPr>
      </w:pPr>
    </w:p>
    <w:p>
      <w:pPr>
        <w:tabs>
          <w:tab w:val="left" w:pos="900"/>
        </w:tabs>
        <w:spacing w:before="156" w:beforeLines="50" w:line="360" w:lineRule="auto"/>
        <w:rPr>
          <w:rFonts w:hAnsi="宋体"/>
          <w:b/>
          <w:szCs w:val="21"/>
          <w:highlight w:val="none"/>
        </w:rPr>
      </w:pPr>
      <w:r>
        <w:rPr>
          <w:rFonts w:hint="eastAsia" w:hAnsi="宋体"/>
          <w:b/>
          <w:szCs w:val="21"/>
          <w:highlight w:val="none"/>
        </w:rPr>
        <w:t>四、采购标的需满足的质量、安全、技术规格、物理特性等要求：</w:t>
      </w:r>
    </w:p>
    <w:p>
      <w:pPr>
        <w:tabs>
          <w:tab w:val="left" w:pos="900"/>
        </w:tabs>
        <w:spacing w:before="156" w:beforeLines="50" w:line="360" w:lineRule="auto"/>
        <w:rPr>
          <w:szCs w:val="21"/>
          <w:highlight w:val="none"/>
        </w:rPr>
      </w:pPr>
      <w:r>
        <w:rPr>
          <w:rFonts w:hint="eastAsia"/>
          <w:szCs w:val="21"/>
          <w:highlight w:val="none"/>
          <w:lang w:val="en-US" w:eastAsia="zh-CN"/>
        </w:rPr>
        <w:t>应用系统</w:t>
      </w:r>
      <w:r>
        <w:rPr>
          <w:rFonts w:hint="eastAsia"/>
          <w:szCs w:val="21"/>
          <w:highlight w:val="none"/>
        </w:rPr>
        <w:t>开发标准满足以下要求：</w:t>
      </w:r>
    </w:p>
    <w:p>
      <w:pPr>
        <w:pStyle w:val="23"/>
        <w:numPr>
          <w:ilvl w:val="0"/>
          <w:numId w:val="2"/>
        </w:numPr>
        <w:autoSpaceDE w:val="0"/>
        <w:autoSpaceDN w:val="0"/>
        <w:adjustRightInd w:val="0"/>
        <w:spacing w:line="360" w:lineRule="auto"/>
        <w:ind w:firstLineChars="0"/>
        <w:rPr>
          <w:rFonts w:ascii="宋体" w:hAnsi="宋体" w:cs="宋体"/>
          <w:sz w:val="21"/>
          <w:szCs w:val="21"/>
          <w:highlight w:val="none"/>
        </w:rPr>
      </w:pPr>
      <w:r>
        <w:rPr>
          <w:rFonts w:hint="eastAsia" w:ascii="宋体" w:hAnsi="宋体" w:cs="宋体"/>
          <w:sz w:val="21"/>
          <w:szCs w:val="21"/>
          <w:highlight w:val="none"/>
        </w:rPr>
        <w:t>《信息安全技术 网络安全等级保护基本要求》（GB/T 22239-2019）</w:t>
      </w:r>
    </w:p>
    <w:p>
      <w:pPr>
        <w:pStyle w:val="23"/>
        <w:numPr>
          <w:ilvl w:val="0"/>
          <w:numId w:val="2"/>
        </w:numPr>
        <w:autoSpaceDE w:val="0"/>
        <w:autoSpaceDN w:val="0"/>
        <w:adjustRightInd w:val="0"/>
        <w:spacing w:line="360" w:lineRule="auto"/>
        <w:ind w:firstLineChars="0"/>
        <w:rPr>
          <w:rFonts w:ascii="宋体" w:hAnsi="宋体" w:cs="宋体"/>
          <w:sz w:val="21"/>
          <w:szCs w:val="21"/>
          <w:highlight w:val="none"/>
        </w:rPr>
      </w:pPr>
      <w:r>
        <w:rPr>
          <w:rFonts w:hint="eastAsia" w:ascii="宋体" w:hAnsi="宋体" w:cs="宋体"/>
          <w:sz w:val="21"/>
          <w:szCs w:val="21"/>
          <w:highlight w:val="none"/>
        </w:rPr>
        <w:t>《电力监控系统安全防护规定》（国家发展和改革委员会令第14号）</w:t>
      </w:r>
    </w:p>
    <w:p>
      <w:pPr>
        <w:pStyle w:val="23"/>
        <w:numPr>
          <w:ilvl w:val="0"/>
          <w:numId w:val="2"/>
        </w:numPr>
        <w:autoSpaceDE w:val="0"/>
        <w:autoSpaceDN w:val="0"/>
        <w:adjustRightInd w:val="0"/>
        <w:spacing w:line="360" w:lineRule="auto"/>
        <w:ind w:firstLineChars="0"/>
        <w:rPr>
          <w:rFonts w:ascii="宋体" w:hAnsi="宋体" w:cs="宋体"/>
          <w:sz w:val="21"/>
          <w:szCs w:val="21"/>
          <w:highlight w:val="none"/>
        </w:rPr>
      </w:pPr>
      <w:r>
        <w:rPr>
          <w:rFonts w:hint="eastAsia" w:ascii="宋体" w:hAnsi="宋体" w:cs="宋体"/>
          <w:sz w:val="21"/>
          <w:szCs w:val="21"/>
          <w:highlight w:val="none"/>
        </w:rPr>
        <w:t>《南方电网一体化电网运行智能系统技术规范》（QCSG1204005-2014）</w:t>
      </w:r>
    </w:p>
    <w:p>
      <w:pPr>
        <w:pStyle w:val="23"/>
        <w:numPr>
          <w:ilvl w:val="0"/>
          <w:numId w:val="2"/>
        </w:numPr>
        <w:autoSpaceDE w:val="0"/>
        <w:autoSpaceDN w:val="0"/>
        <w:adjustRightInd w:val="0"/>
        <w:spacing w:line="360" w:lineRule="auto"/>
        <w:ind w:firstLineChars="0"/>
        <w:rPr>
          <w:rFonts w:ascii="宋体" w:hAnsi="宋体" w:cs="宋体"/>
          <w:sz w:val="21"/>
          <w:szCs w:val="21"/>
          <w:highlight w:val="none"/>
        </w:rPr>
      </w:pPr>
      <w:r>
        <w:rPr>
          <w:rFonts w:hint="eastAsia" w:ascii="宋体" w:hAnsi="宋体" w:cs="宋体"/>
          <w:sz w:val="21"/>
          <w:szCs w:val="21"/>
          <w:highlight w:val="none"/>
        </w:rPr>
        <w:t>《南方电网一体化电网运行智能系统设计指南(2018)》</w:t>
      </w:r>
    </w:p>
    <w:p>
      <w:pPr>
        <w:pStyle w:val="23"/>
        <w:numPr>
          <w:ilvl w:val="0"/>
          <w:numId w:val="2"/>
        </w:numPr>
        <w:autoSpaceDE w:val="0"/>
        <w:autoSpaceDN w:val="0"/>
        <w:adjustRightInd w:val="0"/>
        <w:spacing w:line="360" w:lineRule="auto"/>
        <w:ind w:firstLineChars="0"/>
        <w:rPr>
          <w:rFonts w:ascii="宋体" w:hAnsi="宋体" w:cs="宋体"/>
          <w:sz w:val="21"/>
          <w:szCs w:val="21"/>
          <w:highlight w:val="none"/>
        </w:rPr>
      </w:pPr>
      <w:r>
        <w:rPr>
          <w:rFonts w:hint="eastAsia" w:ascii="宋体" w:hAnsi="宋体" w:cs="宋体"/>
          <w:sz w:val="21"/>
          <w:szCs w:val="21"/>
          <w:highlight w:val="none"/>
        </w:rPr>
        <w:t>《中国南方电网电力监控系统安全防护技术规范》（QCSG1204009-2015）</w:t>
      </w:r>
    </w:p>
    <w:p>
      <w:pPr>
        <w:pStyle w:val="23"/>
        <w:numPr>
          <w:ilvl w:val="0"/>
          <w:numId w:val="2"/>
        </w:numPr>
        <w:autoSpaceDE w:val="0"/>
        <w:autoSpaceDN w:val="0"/>
        <w:adjustRightInd w:val="0"/>
        <w:spacing w:line="360" w:lineRule="auto"/>
        <w:ind w:firstLineChars="0"/>
        <w:rPr>
          <w:rFonts w:ascii="宋体" w:hAnsi="宋体" w:cs="宋体"/>
          <w:sz w:val="21"/>
          <w:szCs w:val="21"/>
          <w:highlight w:val="none"/>
        </w:rPr>
      </w:pPr>
      <w:r>
        <w:rPr>
          <w:rFonts w:hint="eastAsia" w:ascii="宋体" w:hAnsi="宋体" w:cs="宋体"/>
          <w:sz w:val="21"/>
          <w:szCs w:val="21"/>
          <w:highlight w:val="none"/>
        </w:rPr>
        <w:t>《南方电网一体化电网运行智能系统建设可行性研究报告》</w:t>
      </w:r>
    </w:p>
    <w:p>
      <w:pPr>
        <w:pStyle w:val="23"/>
        <w:numPr>
          <w:ilvl w:val="0"/>
          <w:numId w:val="2"/>
        </w:numPr>
        <w:autoSpaceDE w:val="0"/>
        <w:autoSpaceDN w:val="0"/>
        <w:adjustRightInd w:val="0"/>
        <w:spacing w:line="360" w:lineRule="auto"/>
        <w:ind w:firstLineChars="0"/>
        <w:rPr>
          <w:rFonts w:ascii="宋体" w:hAnsi="宋体" w:cs="宋体"/>
          <w:sz w:val="21"/>
          <w:szCs w:val="21"/>
          <w:highlight w:val="none"/>
        </w:rPr>
      </w:pPr>
      <w:r>
        <w:rPr>
          <w:rFonts w:hint="eastAsia" w:ascii="宋体" w:hAnsi="宋体" w:cs="宋体"/>
          <w:sz w:val="21"/>
          <w:szCs w:val="21"/>
          <w:highlight w:val="none"/>
        </w:rPr>
        <w:t>《南方电网柔直输电(含多端)控制保护系统技术规范》</w:t>
      </w:r>
    </w:p>
    <w:p>
      <w:pPr>
        <w:pStyle w:val="23"/>
        <w:numPr>
          <w:ilvl w:val="0"/>
          <w:numId w:val="2"/>
        </w:numPr>
        <w:autoSpaceDE w:val="0"/>
        <w:autoSpaceDN w:val="0"/>
        <w:adjustRightInd w:val="0"/>
        <w:spacing w:line="360" w:lineRule="auto"/>
        <w:ind w:firstLineChars="0"/>
        <w:rPr>
          <w:rFonts w:ascii="宋体" w:hAnsi="宋体" w:cs="宋体"/>
          <w:sz w:val="21"/>
          <w:szCs w:val="21"/>
          <w:highlight w:val="none"/>
        </w:rPr>
      </w:pPr>
      <w:r>
        <w:rPr>
          <w:rFonts w:hint="eastAsia" w:ascii="宋体" w:hAnsi="宋体" w:cs="宋体"/>
          <w:sz w:val="21"/>
          <w:szCs w:val="21"/>
          <w:highlight w:val="none"/>
        </w:rPr>
        <w:t>《关于印发省地调度机构核心场所及系统纵深防御配套改造专项提升工作方案的通知》（南方电网总调[2020]16号）</w:t>
      </w:r>
    </w:p>
    <w:p>
      <w:pPr>
        <w:pStyle w:val="23"/>
        <w:numPr>
          <w:ilvl w:val="0"/>
          <w:numId w:val="2"/>
        </w:numPr>
        <w:autoSpaceDE w:val="0"/>
        <w:autoSpaceDN w:val="0"/>
        <w:adjustRightInd w:val="0"/>
        <w:spacing w:line="360" w:lineRule="auto"/>
        <w:ind w:firstLineChars="0"/>
        <w:rPr>
          <w:rFonts w:ascii="宋体" w:hAnsi="宋体" w:cs="宋体"/>
          <w:sz w:val="21"/>
          <w:szCs w:val="21"/>
          <w:highlight w:val="none"/>
        </w:rPr>
      </w:pPr>
      <w:r>
        <w:rPr>
          <w:rFonts w:hint="eastAsia" w:ascii="宋体" w:hAnsi="宋体" w:cs="宋体"/>
          <w:sz w:val="21"/>
          <w:szCs w:val="21"/>
          <w:highlight w:val="none"/>
        </w:rPr>
        <w:t>《关于印发南方电网调度自动化系统纵深防御配套功能建设工作方案的通知》（南方电网总调[2020]12号）</w:t>
      </w:r>
    </w:p>
    <w:p>
      <w:pPr>
        <w:pStyle w:val="23"/>
        <w:numPr>
          <w:ilvl w:val="0"/>
          <w:numId w:val="2"/>
        </w:numPr>
        <w:autoSpaceDE w:val="0"/>
        <w:autoSpaceDN w:val="0"/>
        <w:adjustRightInd w:val="0"/>
        <w:spacing w:line="360" w:lineRule="auto"/>
        <w:ind w:firstLineChars="0"/>
        <w:rPr>
          <w:rFonts w:ascii="宋体" w:hAnsi="宋体" w:cs="宋体"/>
          <w:sz w:val="21"/>
          <w:szCs w:val="21"/>
          <w:highlight w:val="none"/>
        </w:rPr>
      </w:pPr>
      <w:r>
        <w:rPr>
          <w:rFonts w:hint="eastAsia" w:ascii="宋体" w:hAnsi="宋体" w:cs="宋体"/>
          <w:sz w:val="21"/>
          <w:szCs w:val="21"/>
          <w:highlight w:val="none"/>
        </w:rPr>
        <w:t>《关于印发南方电网电力监控系统网络安全全域防御与纵深防御体系建设工作方案的通知》总调〔2020〕4号</w:t>
      </w:r>
    </w:p>
    <w:p>
      <w:pPr>
        <w:pStyle w:val="23"/>
        <w:numPr>
          <w:ilvl w:val="0"/>
          <w:numId w:val="2"/>
        </w:numPr>
        <w:autoSpaceDE w:val="0"/>
        <w:autoSpaceDN w:val="0"/>
        <w:adjustRightInd w:val="0"/>
        <w:spacing w:line="360" w:lineRule="auto"/>
        <w:ind w:firstLineChars="0"/>
        <w:rPr>
          <w:rFonts w:ascii="宋体" w:hAnsi="宋体" w:cs="宋体"/>
          <w:sz w:val="21"/>
          <w:szCs w:val="21"/>
          <w:highlight w:val="none"/>
        </w:rPr>
      </w:pPr>
      <w:r>
        <w:rPr>
          <w:rFonts w:hint="eastAsia" w:ascii="宋体" w:hAnsi="宋体" w:cs="宋体"/>
          <w:sz w:val="21"/>
          <w:szCs w:val="21"/>
          <w:highlight w:val="none"/>
        </w:rPr>
        <w:t>《关于印发南方电网调度自动化系统本质安全提升工作方案的通知》（总调自[2020]12号）</w:t>
      </w:r>
    </w:p>
    <w:p>
      <w:pPr>
        <w:pStyle w:val="23"/>
        <w:numPr>
          <w:ilvl w:val="0"/>
          <w:numId w:val="2"/>
        </w:numPr>
        <w:autoSpaceDE w:val="0"/>
        <w:autoSpaceDN w:val="0"/>
        <w:adjustRightInd w:val="0"/>
        <w:spacing w:line="360" w:lineRule="auto"/>
        <w:ind w:firstLineChars="0"/>
        <w:rPr>
          <w:rFonts w:ascii="宋体" w:hAnsi="宋体" w:cs="宋体"/>
          <w:sz w:val="21"/>
          <w:szCs w:val="21"/>
          <w:highlight w:val="none"/>
        </w:rPr>
      </w:pPr>
      <w:r>
        <w:rPr>
          <w:rFonts w:hint="eastAsia" w:ascii="宋体" w:hAnsi="宋体" w:cs="宋体"/>
          <w:sz w:val="21"/>
          <w:szCs w:val="21"/>
          <w:highlight w:val="none"/>
        </w:rPr>
        <w:t>南方电网总调新能源调度运行管理规定〔2021〕 21号</w:t>
      </w:r>
    </w:p>
    <w:p>
      <w:pPr>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本次开发模块功能明细如下：</w:t>
      </w:r>
    </w:p>
    <w:p>
      <w:pPr>
        <w:numPr>
          <w:ilvl w:val="0"/>
          <w:numId w:val="3"/>
        </w:numPr>
        <w:spacing w:line="360" w:lineRule="auto"/>
        <w:rPr>
          <w:rFonts w:ascii="宋体" w:hAnsi="宋体" w:cs="宋体"/>
          <w:szCs w:val="21"/>
          <w:highlight w:val="none"/>
        </w:rPr>
      </w:pPr>
      <w:r>
        <w:rPr>
          <w:rFonts w:hint="eastAsia" w:ascii="宋体" w:hAnsi="宋体" w:cs="宋体"/>
          <w:szCs w:val="21"/>
          <w:highlight w:val="none"/>
        </w:rPr>
        <w:t>数据采集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通过自动获取广东电网公司气象监测系统和线路覆冰监测系统中的相关数据，实现对线路覆冰及微气象信息的在线监视，实现与输电运行监视模块的联动，可通过输电运行监视模块的线路关联查看线路覆冰及微气象信息，也可通过线路覆冰及微气象监视模块中的线路关联查看输电运行监视信息或画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自动接入气象监视、雷电监视、自然灾害监视、覆冰监视、一次设备状态监视各模块为调度中心提供受气象环境影响的风险设备集，作为调度中心进行电网安全评估的基础信息。</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气象接口数据格式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mc:AlternateContent>
          <mc:Choice Requires="wpg">
            <w:drawing>
              <wp:inline distT="0" distB="0" distL="114300" distR="114300">
                <wp:extent cx="4229100" cy="835025"/>
                <wp:effectExtent l="5080" t="4445" r="13970" b="17780"/>
                <wp:docPr id="57" name="组合 57"/>
                <wp:cNvGraphicFramePr/>
                <a:graphic xmlns:a="http://schemas.openxmlformats.org/drawingml/2006/main">
                  <a:graphicData uri="http://schemas.microsoft.com/office/word/2010/wordprocessingGroup">
                    <wpg:wgp>
                      <wpg:cNvGrpSpPr>
                        <a:grpSpLocks noRot="1"/>
                      </wpg:cNvGrpSpPr>
                      <wpg:grpSpPr>
                        <a:xfrm>
                          <a:off x="0" y="0"/>
                          <a:ext cx="4229100" cy="835025"/>
                          <a:chOff x="0" y="0"/>
                          <a:chExt cx="5773" cy="1140"/>
                        </a:xfrm>
                        <a:effectLst/>
                      </wpg:grpSpPr>
                      <wps:wsp>
                        <wps:cNvPr id="133" name="图片框 1041"/>
                        <wps:cNvSpPr>
                          <a:spLocks noChangeAspect="1" noChangeArrowheads="1"/>
                        </wps:cNvSpPr>
                        <wps:spPr bwMode="auto">
                          <a:xfrm>
                            <a:off x="0" y="0"/>
                            <a:ext cx="5773" cy="1140"/>
                          </a:xfrm>
                          <a:prstGeom prst="rect">
                            <a:avLst/>
                          </a:prstGeom>
                          <a:noFill/>
                          <a:ln>
                            <a:noFill/>
                          </a:ln>
                          <a:effectLst/>
                        </wps:spPr>
                        <wps:bodyPr rot="0" vert="horz" wrap="square" lIns="91440" tIns="45720" rIns="91440" bIns="45720" anchor="t" anchorCtr="0" upright="1">
                          <a:noAutofit/>
                        </wps:bodyPr>
                      </wps:wsp>
                      <wps:wsp>
                        <wps:cNvPr id="135" name="圆角矩形 1042"/>
                        <wps:cNvSpPr>
                          <a:spLocks noChangeArrowheads="1"/>
                        </wps:cNvSpPr>
                        <wps:spPr bwMode="auto">
                          <a:xfrm>
                            <a:off x="0" y="0"/>
                            <a:ext cx="2626" cy="1140"/>
                          </a:xfrm>
                          <a:prstGeom prst="roundRect">
                            <a:avLst>
                              <a:gd name="adj" fmla="val 16667"/>
                            </a:avLst>
                          </a:prstGeom>
                          <a:gradFill rotWithShape="1">
                            <a:gsLst>
                              <a:gs pos="0">
                                <a:srgbClr val="FFFFFF"/>
                              </a:gs>
                              <a:gs pos="100000">
                                <a:srgbClr val="8DB3E2"/>
                              </a:gs>
                            </a:gsLst>
                            <a:lin ang="5400000" scaled="1"/>
                          </a:gradFill>
                          <a:ln w="9525">
                            <a:solidFill>
                              <a:srgbClr val="000000"/>
                            </a:solidFill>
                            <a:round/>
                          </a:ln>
                          <a:effectLst/>
                        </wps:spPr>
                        <wps:txbx>
                          <w:txbxContent>
                            <w:p>
                              <w:pPr>
                                <w:spacing w:before="120" w:after="120"/>
                                <w:ind w:firstLine="422"/>
                                <w:jc w:val="center"/>
                                <w:rPr>
                                  <w:b/>
                                </w:rPr>
                              </w:pPr>
                              <w:r>
                                <w:rPr>
                                  <w:rFonts w:hint="eastAsia"/>
                                  <w:b/>
                                </w:rPr>
                                <w:t>气象信息文件</w:t>
                              </w:r>
                            </w:p>
                            <w:p>
                              <w:pPr>
                                <w:spacing w:before="120" w:after="120"/>
                                <w:ind w:firstLine="422"/>
                                <w:jc w:val="center"/>
                                <w:rPr>
                                  <w:b/>
                                </w:rPr>
                              </w:pPr>
                              <w:r>
                                <w:rPr>
                                  <w:rFonts w:hint="eastAsia"/>
                                  <w:b/>
                                </w:rPr>
                                <w:t>气象风险设备信息文件</w:t>
                              </w:r>
                            </w:p>
                            <w:p>
                              <w:pPr>
                                <w:spacing w:before="120" w:after="120"/>
                                <w:ind w:firstLine="482"/>
                                <w:jc w:val="center"/>
                                <w:rPr>
                                  <w:b/>
                                </w:rPr>
                              </w:pPr>
                              <w:r>
                                <w:rPr>
                                  <w:rFonts w:hint="eastAsia"/>
                                  <w:b/>
                                </w:rPr>
                                <w:t>（</w:t>
                              </w:r>
                              <w:r>
                                <w:rPr>
                                  <w:b/>
                                </w:rPr>
                                <w:t>xml</w:t>
                              </w:r>
                              <w:r>
                                <w:rPr>
                                  <w:rFonts w:hint="eastAsia"/>
                                  <w:b/>
                                </w:rPr>
                                <w:t>）</w:t>
                              </w:r>
                            </w:p>
                          </w:txbxContent>
                        </wps:txbx>
                        <wps:bodyPr rot="0" vert="horz" wrap="square" lIns="91440" tIns="45720" rIns="91440" bIns="45720" anchor="t" anchorCtr="0" upright="1">
                          <a:noAutofit/>
                        </wps:bodyPr>
                      </wps:wsp>
                      <wps:wsp>
                        <wps:cNvPr id="136" name="圆角矩形 1043"/>
                        <wps:cNvSpPr>
                          <a:spLocks noChangeArrowheads="1"/>
                        </wps:cNvSpPr>
                        <wps:spPr bwMode="auto">
                          <a:xfrm>
                            <a:off x="3155" y="0"/>
                            <a:ext cx="2618" cy="1140"/>
                          </a:xfrm>
                          <a:prstGeom prst="roundRect">
                            <a:avLst>
                              <a:gd name="adj" fmla="val 16667"/>
                            </a:avLst>
                          </a:prstGeom>
                          <a:gradFill rotWithShape="1">
                            <a:gsLst>
                              <a:gs pos="0">
                                <a:srgbClr val="FFFFFF"/>
                              </a:gs>
                              <a:gs pos="100000">
                                <a:srgbClr val="8DB3E2"/>
                              </a:gs>
                            </a:gsLst>
                            <a:lin ang="5400000" scaled="1"/>
                          </a:gradFill>
                          <a:ln w="9525">
                            <a:solidFill>
                              <a:srgbClr val="000000"/>
                            </a:solidFill>
                            <a:round/>
                          </a:ln>
                          <a:effectLst/>
                        </wps:spPr>
                        <wps:txbx>
                          <w:txbxContent>
                            <w:p>
                              <w:pPr>
                                <w:spacing w:before="120" w:after="120"/>
                                <w:ind w:firstLine="422"/>
                                <w:jc w:val="center"/>
                                <w:rPr>
                                  <w:b/>
                                </w:rPr>
                              </w:pPr>
                              <w:r>
                                <w:rPr>
                                  <w:rFonts w:hint="eastAsia"/>
                                  <w:b/>
                                </w:rPr>
                                <w:t>气象专题图信息文件</w:t>
                              </w:r>
                            </w:p>
                            <w:p>
                              <w:pPr>
                                <w:spacing w:before="120" w:after="120"/>
                                <w:ind w:firstLine="422"/>
                                <w:jc w:val="center"/>
                                <w:rPr>
                                  <w:b/>
                                </w:rPr>
                              </w:pPr>
                              <w:r>
                                <w:rPr>
                                  <w:rFonts w:hint="eastAsia"/>
                                  <w:b/>
                                </w:rPr>
                                <w:t>（</w:t>
                              </w:r>
                              <w:r>
                                <w:rPr>
                                  <w:b/>
                                </w:rPr>
                                <w:t>SHP,GML</w:t>
                              </w:r>
                              <w:r>
                                <w:rPr>
                                  <w:rFonts w:hint="eastAsia"/>
                                  <w:b/>
                                </w:rPr>
                                <w:t>）</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65.75pt;width:333pt;" coordsize="5773,1140" o:gfxdata="UEsDBAoAAAAAAIdO4kAAAAAAAAAAAAAAAAAEAAAAZHJzL1BLAwQUAAAACACHTuJAmnk6a9QAAAAF&#10;AQAADwAAAGRycy9kb3ducmV2LnhtbE2PQUvDQBCF74L/YZmCN7uJpUFiNqUU9VQEW0G8TbPTJDQ7&#10;G7LbpP33jl70MvB4jzffK1YX16mRhtB6NpDOE1DElbct1wY+9i/3j6BCRLbYeSYDVwqwKm9vCsyt&#10;n/idxl2slZRwyNFAE2Ofax2qhhyGue+JxTv6wWEUOdTaDjhJuev0Q5Jk2mHL8qHBnjYNVafd2Rl4&#10;nXBaL9LncXs6bq5f++Xb5zYlY+5mafIEKtIl/oXhB1/QoRSmgz+zDaozIEPi7xUvyzKRBwkt0iXo&#10;stD/6ctvUEsDBBQAAAAIAIdO4kBVyTP3lAMAAEUMAAAOAAAAZHJzL2Uyb0RvYy54bWztVstuGzcU&#10;3RfoPxDcx6MZaWRn4HGQ2rFRIC8kKbqmOJxHwiEZkvLIXRdOuiu6bYAg2QT9hqL9G8f5jFySM4ok&#10;J4GRAF5ZixGfl+eee+4ld28tWo6OmTaNFDmOt0YYMUFl0Ygqx788Obyxg5GxRBSES8FyfMIMvrX3&#10;4w+7ncpYImvJC6YRGBEm61SOa2tVFkWG1qwlZksqJmCylLolFrq6igpNOrDe8igZjaZRJ3WhtKTM&#10;GBg9CJO4t6gvY1CWZUPZgaTzlgkbrGrGiQWXTN0og/c82rJk1D4oS8Ms4jkGT63/wiHQnrlvtLdL&#10;skoTVTe0h0AuA2HDp5Y0Ag5dmjoglqC5bi6YahuqpZGl3aKyjYIjnhHwIh5tcHOk5Vx5X6qsq9SS&#10;dAjUBuvfbJbeP36oUVPkON3GSJAWIn7+7+9nf75EMADsdKrKYNGRVo/VQx1chOZdSZ8ZJOQjCZTG&#10;bmG0udL1q0/bFqVu3XbwGS18AE6WAWALiygMTpLkZjyC2FCY2xmnoyQNEaI1hPHCNlrf6Tem29vj&#10;sCuOJz6qEcmGE5nXwV1jB5RLVJ0CDZtPxJrvI/ZxTRTz8TKOs57YeAzQArNnf/9//seL929OUTya&#10;eNYcAlg6cGuWxO7XRFTstlEgYccwcN0PaS27mpECwA7Er9hwBg1ECs26e7KAaJK5lV6aAx1fC8BX&#10;eVTa2CMmW+QaOdaAzBsmxz23JBuWuEALedhw7hOMi7UBiE0Y2YhMQO40Z7KZLE7AC+30BYKAggWN&#10;WurfMOogXXNsns+JZhjxnwUwcTOeQNyR9Z1Jup1AR6/OzFZniKBgKscWo9Dct6EmzJVuqtoTHhDf&#10;BvbKplfOgMqL3SsnYL0CCaVLCb06/fDur/PX/5z999apKAlJuqIAAvEf0vMKJJNMk+kXU2/QwyAZ&#10;ORfFozXdOJqros8PUjzFqGw5lOBjwlE8nU59EQLBeJEB8esag8pdOJU5nfza2NpnoMsLb9aALkMD&#10;KQkiGflho6vZPtcITsjxof/5+gU4zOpqKETwu7hl5+Cn8R1PO4BxW/xffxRvBEgKCnQ6CduRoYSz&#10;YshVf0N4yO4oLlAH2k2hzLmukbxZzq3B9LaGura2DK4IUbjCdomcsovZApZep5enYLVCg4L7Cr2R&#10;XuMrTK9xnEKaX7wVk2kMbzJ3JX7mcrvOsOsMg7vs2y8w/26D12WoY+El7J6vq31or77+9z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QYAAFtD&#10;b250ZW50X1R5cGVzXS54bWxQSwECFAAKAAAAAACHTuJAAAAAAAAAAAAAAAAABgAAAAAAAAAAABAA&#10;AADjBAAAX3JlbHMvUEsBAhQAFAAAAAgAh07iQIoUZjzRAAAAlAEAAAsAAAAAAAAAAQAgAAAABwUA&#10;AF9yZWxzLy5yZWxzUEsBAhQACgAAAAAAh07iQAAAAAAAAAAAAAAAAAQAAAAAAAAAAAAQAAAAAAAA&#10;AGRycy9QSwECFAAUAAAACACHTuJAmnk6a9QAAAAFAQAADwAAAAAAAAABACAAAAAiAAAAZHJzL2Rv&#10;d25yZXYueG1sUEsBAhQAFAAAAAgAh07iQFXJM/eUAwAARQwAAA4AAAAAAAAAAQAgAAAAIwEAAGRy&#10;cy9lMm9Eb2MueG1sUEsFBgAAAAAGAAYAWQEAACkHAAAAAA==&#10;">
                <o:lock v:ext="edit" rotation="t" aspectratio="f"/>
                <v:rect id="图片框 1041" o:spid="_x0000_s1026" o:spt="1" style="position:absolute;left:0;top:0;height:1140;width:5773;" filled="f" stroked="f" coordsize="21600,21600" o:gfxdata="UEsDBAoAAAAAAIdO4kAAAAAAAAAAAAAAAAAEAAAAZHJzL1BLAwQUAAAACACHTuJA1pLIVbsAAADc&#10;AAAADwAAAGRycy9kb3ducmV2LnhtbEVPS4vCMBC+C/6HMIIX0VSFRarRgyAWWZCtj/PQjG2xmdQm&#10;tu6/N8LC3ubje85q8zKVaKlxpWUF00kEgjizuuRcwfm0Gy9AOI+ssbJMCn7JwWbd760w1rbjH2pT&#10;n4sQwi5GBYX3dSylywoy6Ca2Jg7czTYGfYBNLnWDXQg3lZxF0Zc0WHJoKLCmbUHZPX0aBV12bK+n&#10;7708jq6J5Ufy2KaXg1LDwTRagvD08v/iP3eiw/z5HD7PhAvk+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pLIVbsAAADc&#10;AAAADwAAAAAAAAABACAAAAAiAAAAZHJzL2Rvd25yZXYueG1sUEsBAhQAFAAAAAgAh07iQDMvBZ47&#10;AAAAOQAAABAAAAAAAAAAAQAgAAAACgEAAGRycy9zaGFwZXhtbC54bWxQSwUGAAAAAAYABgBbAQAA&#10;tAMAAAAA&#10;">
                  <v:fill on="f" focussize="0,0"/>
                  <v:stroke on="f"/>
                  <v:imagedata o:title=""/>
                  <o:lock v:ext="edit" aspectratio="t"/>
                </v:rect>
                <v:roundrect id="圆角矩形 1042" o:spid="_x0000_s1026" o:spt="2" style="position:absolute;left:0;top:0;height:1140;width:2626;" fillcolor="#FFFFFF" filled="t" stroked="t" coordsize="21600,21600" arcsize="0.166666666666667" o:gfxdata="UEsDBAoAAAAAAIdO4kAAAAAAAAAAAAAAAAAEAAAAZHJzL1BLAwQUAAAACACHTuJAYc2FJr0AAADc&#10;AAAADwAAAGRycy9kb3ducmV2LnhtbEVPTWuDQBC9F/Iflgn01qyxGIx1zSEgbcmpWmh7G9ypStxZ&#10;cTeJ+ffdQCG3ebzPyXezGcSZJtdbVrBeRSCIG6t7bhV81uVTCsJ5ZI2DZVJwJQe7YvGQY6bthT/o&#10;XPlWhBB2GSrovB8zKV3TkUG3siNx4H7tZNAHOLVST3gJ4WaQcRRtpMGeQ0OHI+07ao7VySiIv+bv&#10;9/Ynfb1u43k4JK6sT9tSqcflOnoB4Wn2d/G/+02H+c8J3J4JF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zYUmvQAA&#10;ANwAAAAPAAAAAAAAAAEAIAAAACIAAABkcnMvZG93bnJldi54bWxQSwECFAAUAAAACACHTuJAMy8F&#10;njsAAAA5AAAAEAAAAAAAAAABACAAAAAMAQAAZHJzL3NoYXBleG1sLnhtbFBLBQYAAAAABgAGAFsB&#10;AAC2AwAAAAA=&#10;">
                  <v:fill type="gradient" on="t" color2="#8DB3E2" focus="100%" focussize="0,0" rotate="t"/>
                  <v:stroke color="#000000" joinstyle="round"/>
                  <v:imagedata o:title=""/>
                  <o:lock v:ext="edit" aspectratio="f"/>
                  <v:textbox>
                    <w:txbxContent>
                      <w:p>
                        <w:pPr>
                          <w:spacing w:before="120" w:after="120"/>
                          <w:ind w:firstLine="422"/>
                          <w:jc w:val="center"/>
                          <w:rPr>
                            <w:b/>
                          </w:rPr>
                        </w:pPr>
                        <w:r>
                          <w:rPr>
                            <w:rFonts w:hint="eastAsia"/>
                            <w:b/>
                          </w:rPr>
                          <w:t>气象信息文件</w:t>
                        </w:r>
                      </w:p>
                      <w:p>
                        <w:pPr>
                          <w:spacing w:before="120" w:after="120"/>
                          <w:ind w:firstLine="422"/>
                          <w:jc w:val="center"/>
                          <w:rPr>
                            <w:b/>
                          </w:rPr>
                        </w:pPr>
                        <w:r>
                          <w:rPr>
                            <w:rFonts w:hint="eastAsia"/>
                            <w:b/>
                          </w:rPr>
                          <w:t>气象风险设备信息文件</w:t>
                        </w:r>
                      </w:p>
                      <w:p>
                        <w:pPr>
                          <w:spacing w:before="120" w:after="120"/>
                          <w:ind w:firstLine="482"/>
                          <w:jc w:val="center"/>
                          <w:rPr>
                            <w:b/>
                          </w:rPr>
                        </w:pPr>
                        <w:r>
                          <w:rPr>
                            <w:rFonts w:hint="eastAsia"/>
                            <w:b/>
                          </w:rPr>
                          <w:t>（</w:t>
                        </w:r>
                        <w:r>
                          <w:rPr>
                            <w:b/>
                          </w:rPr>
                          <w:t>xml</w:t>
                        </w:r>
                        <w:r>
                          <w:rPr>
                            <w:rFonts w:hint="eastAsia"/>
                            <w:b/>
                          </w:rPr>
                          <w:t>）</w:t>
                        </w:r>
                      </w:p>
                    </w:txbxContent>
                  </v:textbox>
                </v:roundrect>
                <v:roundrect id="圆角矩形 1043" o:spid="_x0000_s1026" o:spt="2" style="position:absolute;left:3155;top:0;height:1140;width:2618;" fillcolor="#FFFFFF" filled="t" stroked="t" coordsize="21600,21600" arcsize="0.166666666666667" o:gfxdata="UEsDBAoAAAAAAIdO4kAAAAAAAAAAAAAAAAAEAAAAZHJzL1BLAwQUAAAACACHTuJAkR8bUb0AAADc&#10;AAAADwAAAGRycy9kb3ducmV2LnhtbEVPTWvCQBC9C/6HZYTedGNKQ4yuHoTQlp6aFKq3ITsmwexs&#10;yK4a/323IHibx/uczW40nbjS4FrLCpaLCARxZXXLtYKfMp+nIJxH1thZJgV3crDbTicbzLS98Tdd&#10;C1+LEMIuQwWN930mpasaMugWticO3MkOBn2AQy31gLcQbjoZR1EiDbYcGhrsad9QdS4uRkH8Ox4+&#10;62P6fl/FY/f15vLyssqVepktozUIT6N/ih/uDx3mvybw/0y4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HxtRvQAA&#10;ANwAAAAPAAAAAAAAAAEAIAAAACIAAABkcnMvZG93bnJldi54bWxQSwECFAAUAAAACACHTuJAMy8F&#10;njsAAAA5AAAAEAAAAAAAAAABACAAAAAMAQAAZHJzL3NoYXBleG1sLnhtbFBLBQYAAAAABgAGAFsB&#10;AAC2AwAAAAA=&#10;">
                  <v:fill type="gradient" on="t" color2="#8DB3E2" focus="100%" focussize="0,0" rotate="t"/>
                  <v:stroke color="#000000" joinstyle="round"/>
                  <v:imagedata o:title=""/>
                  <o:lock v:ext="edit" aspectratio="f"/>
                  <v:textbox>
                    <w:txbxContent>
                      <w:p>
                        <w:pPr>
                          <w:spacing w:before="120" w:after="120"/>
                          <w:ind w:firstLine="422"/>
                          <w:jc w:val="center"/>
                          <w:rPr>
                            <w:b/>
                          </w:rPr>
                        </w:pPr>
                        <w:r>
                          <w:rPr>
                            <w:rFonts w:hint="eastAsia"/>
                            <w:b/>
                          </w:rPr>
                          <w:t>气象专题图信息文件</w:t>
                        </w:r>
                      </w:p>
                      <w:p>
                        <w:pPr>
                          <w:spacing w:before="120" w:after="120"/>
                          <w:ind w:firstLine="422"/>
                          <w:jc w:val="center"/>
                          <w:rPr>
                            <w:b/>
                          </w:rPr>
                        </w:pPr>
                        <w:r>
                          <w:rPr>
                            <w:rFonts w:hint="eastAsia"/>
                            <w:b/>
                          </w:rPr>
                          <w:t>（</w:t>
                        </w:r>
                        <w:r>
                          <w:rPr>
                            <w:b/>
                          </w:rPr>
                          <w:t>SHP,GML</w:t>
                        </w:r>
                        <w:r>
                          <w:rPr>
                            <w:rFonts w:hint="eastAsia"/>
                            <w:b/>
                          </w:rPr>
                          <w:t>）</w:t>
                        </w:r>
                      </w:p>
                    </w:txbxContent>
                  </v:textbox>
                </v:roundrect>
                <w10:wrap type="none"/>
                <w10:anchorlock/>
              </v:group>
            </w:pict>
          </mc:Fallback>
        </mc:AlternateConten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气象(台风,雷电)信息文件，主要是描述台风或雷电信息的文件，气象风险设备信息文件均为XML格式。</w:t>
      </w:r>
    </w:p>
    <w:p>
      <w:pPr>
        <w:spacing w:line="360" w:lineRule="auto"/>
        <w:ind w:firstLine="420" w:firstLineChars="200"/>
        <w:rPr>
          <w:rFonts w:hint="default" w:eastAsia="宋体"/>
          <w:highlight w:val="none"/>
          <w:lang w:val="en-US" w:eastAsia="zh-CN"/>
        </w:rPr>
      </w:pPr>
      <w:r>
        <w:rPr>
          <w:rFonts w:hint="eastAsia" w:ascii="宋体" w:hAnsi="宋体" w:cs="宋体"/>
          <w:szCs w:val="21"/>
          <w:highlight w:val="none"/>
        </w:rPr>
        <w:t>台风信息主要有：发生时间，经度，纬度，中心风速，风圈大小。</w:t>
      </w:r>
      <w:r>
        <w:rPr>
          <w:rFonts w:hint="eastAsia" w:ascii="宋体" w:hAnsi="宋体" w:cs="宋体"/>
          <w:szCs w:val="21"/>
          <w:highlight w:val="none"/>
          <w:lang w:val="en-US" w:eastAsia="zh-CN"/>
        </w:rPr>
        <w:t>其中</w:t>
      </w:r>
      <w:r>
        <w:rPr>
          <w:rFonts w:hint="eastAsia"/>
          <w:highlight w:val="none"/>
          <w:lang w:val="en-US" w:eastAsia="zh-CN"/>
        </w:rPr>
        <w:t>发生时间精确到秒，经、纬度精确到小数点2位，中心风速精确到公里/小时，风圈大小精确到公里。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雷电信息主要有：发生时间，经度，纬度。</w:t>
      </w:r>
      <w:r>
        <w:rPr>
          <w:rFonts w:hint="eastAsia" w:ascii="宋体" w:hAnsi="宋体" w:cs="宋体"/>
          <w:szCs w:val="21"/>
          <w:highlight w:val="none"/>
          <w:lang w:val="en-US" w:eastAsia="zh-CN"/>
        </w:rPr>
        <w:t>其中发生时间</w:t>
      </w:r>
      <w:r>
        <w:rPr>
          <w:rFonts w:hint="eastAsia"/>
          <w:highlight w:val="none"/>
          <w:lang w:val="en-US" w:eastAsia="zh-CN"/>
        </w:rPr>
        <w:t>精确到秒，经、纬度精确到小数点2位。</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气象接口流程图（图形要求）</w:t>
      </w:r>
    </w:p>
    <w:p>
      <w:pPr>
        <w:pStyle w:val="2"/>
        <w:ind w:firstLine="420"/>
        <w:jc w:val="both"/>
        <w:rPr>
          <w:rFonts w:hint="eastAsia" w:eastAsia="宋体"/>
          <w:highlight w:val="none"/>
          <w:lang w:eastAsia="zh-CN"/>
        </w:rPr>
      </w:pPr>
      <w:r>
        <w:rPr>
          <w:rFonts w:hint="eastAsia" w:eastAsia="宋体"/>
          <w:highlight w:val="none"/>
          <w:lang w:eastAsia="zh-CN"/>
        </w:rPr>
        <w:object>
          <v:shape id="_x0000_i1025" o:spt="75" type="#_x0000_t75" style="height:60.65pt;width:415.25pt;" o:ole="t" filled="f" o:preferrelative="t" stroked="f" coordsize="21600,21600">
            <v:path/>
            <v:fill on="f" focussize="0,0"/>
            <v:stroke on="f"/>
            <v:imagedata r:id="rId6" o:title=""/>
            <o:lock v:ext="edit" aspectratio="f"/>
            <w10:wrap type="none"/>
            <w10:anchorlock/>
          </v:shape>
          <o:OLEObject Type="Embed" ProgID="Visio.Drawing.11" ShapeID="_x0000_i1025" DrawAspect="Content" ObjectID="_1468075725" r:id="rId5">
            <o:LockedField>false</o:LockedField>
          </o:OLEObject>
        </w:objec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接口</w:t>
      </w:r>
      <w:r>
        <w:rPr>
          <w:rFonts w:hint="eastAsia" w:ascii="宋体" w:hAnsi="宋体" w:cs="宋体"/>
          <w:szCs w:val="21"/>
          <w:highlight w:val="none"/>
          <w:lang w:val="en-US" w:eastAsia="zh-CN"/>
        </w:rPr>
        <w:t>规范</w:t>
      </w:r>
    </w:p>
    <w:p>
      <w:pPr>
        <w:spacing w:line="360" w:lineRule="auto"/>
        <w:ind w:firstLine="420" w:firstLineChars="200"/>
        <w:rPr>
          <w:rFonts w:ascii="宋体" w:hAnsi="宋体" w:cs="宋体"/>
          <w:szCs w:val="21"/>
          <w:highlight w:val="none"/>
        </w:rPr>
      </w:pPr>
      <w:r>
        <w:rPr>
          <w:rFonts w:hint="eastAsia"/>
          <w:color w:val="auto"/>
          <w:highlight w:val="none"/>
          <w:lang w:val="en-US" w:eastAsia="zh-CN"/>
        </w:rPr>
        <w:t>基于</w:t>
      </w:r>
      <w:r>
        <w:rPr>
          <w:rFonts w:hint="eastAsia"/>
          <w:color w:val="auto"/>
          <w:highlight w:val="none"/>
          <w:lang w:eastAsia="zh-CN"/>
        </w:rPr>
        <w:t>南网规范的通用数据服务接口的GetData来开发</w:t>
      </w:r>
      <w:r>
        <w:rPr>
          <w:rFonts w:hint="eastAsia"/>
          <w:color w:val="auto"/>
          <w:highlight w:val="none"/>
          <w:lang w:val="en-US" w:eastAsia="zh-CN"/>
        </w:rPr>
        <w:t>一个webservice服务，用于实现广东电科院与</w:t>
      </w:r>
      <w:r>
        <w:rPr>
          <w:rFonts w:hint="eastAsia" w:ascii="Times New Roman" w:hAnsi="Times New Roman"/>
          <w:color w:val="auto"/>
          <w:sz w:val="21"/>
          <w:highlight w:val="none"/>
        </w:rPr>
        <w:t>电力系统极端自然灾害数据采集及可视化展示</w:t>
      </w:r>
      <w:r>
        <w:rPr>
          <w:rFonts w:hint="eastAsia" w:ascii="Times New Roman" w:hAnsi="Times New Roman"/>
          <w:color w:val="auto"/>
          <w:sz w:val="21"/>
          <w:highlight w:val="none"/>
          <w:lang w:val="en-US" w:eastAsia="zh-CN"/>
        </w:rPr>
        <w:t>应用系统</w:t>
      </w:r>
      <w:r>
        <w:rPr>
          <w:rFonts w:hint="eastAsia"/>
          <w:color w:val="auto"/>
          <w:highlight w:val="none"/>
          <w:lang w:eastAsia="zh-CN"/>
        </w:rPr>
        <w:t>的</w:t>
      </w:r>
      <w:r>
        <w:rPr>
          <w:rFonts w:hint="eastAsia"/>
          <w:color w:val="auto"/>
          <w:highlight w:val="none"/>
          <w:lang w:val="en-US" w:eastAsia="zh-CN"/>
        </w:rPr>
        <w:t>数据交互。</w:t>
      </w:r>
    </w:p>
    <w:p>
      <w:pPr>
        <w:numPr>
          <w:ilvl w:val="0"/>
          <w:numId w:val="3"/>
        </w:numPr>
        <w:spacing w:line="360" w:lineRule="auto"/>
        <w:rPr>
          <w:rFonts w:ascii="宋体" w:hAnsi="宋体" w:cs="宋体"/>
          <w:szCs w:val="21"/>
          <w:highlight w:val="none"/>
        </w:rPr>
      </w:pPr>
      <w:r>
        <w:rPr>
          <w:rFonts w:hint="eastAsia" w:ascii="宋体" w:hAnsi="宋体" w:cs="宋体"/>
          <w:szCs w:val="21"/>
          <w:highlight w:val="none"/>
        </w:rPr>
        <w:t>数据导入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气象(台风,雷电)信息文件，气象风险设备信息文件 (XML)，气象专题图信息文件（SHP，GML）文件穿过隔离装置，被传递到数据中心，数据接入服务器有常驻气象接口进程，由气象接口程序将该文件分别写入到实时库和关系库中。</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rPr>
        <w:tab/>
      </w:r>
      <w:r>
        <w:rPr>
          <w:rFonts w:hint="eastAsia" w:ascii="宋体" w:hAnsi="宋体" w:cs="宋体"/>
          <w:szCs w:val="21"/>
          <w:highlight w:val="none"/>
        </w:rPr>
        <w:t>台风数据入库流程图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台风预报数据需要入台风路径表，台风路径表只记录某一个台风从起始时间到结束时间所有的路径，当实际数据接入时，需要修正台风路径经纬度等内容。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rPr>
        <w:tab/>
      </w:r>
      <w:r>
        <w:rPr>
          <w:rFonts w:hint="eastAsia" w:ascii="宋体" w:hAnsi="宋体" w:cs="宋体"/>
          <w:szCs w:val="21"/>
          <w:highlight w:val="none"/>
        </w:rPr>
        <w:t>台风风险设备入库流程图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rPr>
        <w:tab/>
      </w:r>
      <w:r>
        <w:rPr>
          <w:rFonts w:hint="eastAsia" w:ascii="宋体" w:hAnsi="宋体" w:cs="宋体"/>
          <w:szCs w:val="21"/>
          <w:highlight w:val="none"/>
        </w:rPr>
        <w:t>即时雷电数据入库流程图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rPr>
        <w:tab/>
      </w:r>
      <w:r>
        <w:rPr>
          <w:rFonts w:hint="eastAsia" w:ascii="宋体" w:hAnsi="宋体" w:cs="宋体"/>
          <w:szCs w:val="21"/>
          <w:highlight w:val="none"/>
        </w:rPr>
        <w:t>雷电风险设备入库流程图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一次设备状态信息接入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导线状态信息包括：导线弧垂、对地距离、导线温度、导线的振幅、频率和疲劳损伤、导线风偏角、导线倾斜角、舞动振幅、频率、半波数等。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杆塔监测信息包括：方向、加速度、顺线倾斜角，横向倾斜角等。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接入流程如下图所示：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气象信息统计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按照各地区、各时段有关气象要素历史资料进行发生概率、极值等统计。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对行政区、输电线路、电厂、变电站等进行雷电统计分析。</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对落雷密度、雷电日、雷电小时、落雷总数、平均强度，并形成日报表、月报表、年报表。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设备查询统计各类监测数据，并实现对各类监测结果中正常和异常数据分别进行查询、统计、导出和打印。</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按监测类型查询各类设备的监测数据，并实现对各类监测结果中正常和异常数据分别进行查询、统计、导出和打印</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监测点统计功能。按照线路、通道、区域查询该对象范围内的各类监测点数量和分布进行统计。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统计分析报表，报表类型主要包括监测数据月报表、报警信息统计报表。月报表以曲线和表格的方式按月进行统计，统计每日最高，最小和平均值。</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报警信息统计表按照某一时间段进行报警信息的统计，报警信息主要包括：报警时间、报警地点、报警参数、报警值、报警原因、处理方式、处理人等。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气象监视和雷电监视模块信息接入后的监视和预警功能</w:t>
      </w:r>
    </w:p>
    <w:p>
      <w:pPr>
        <w:numPr>
          <w:ilvl w:val="0"/>
          <w:numId w:val="3"/>
        </w:numPr>
        <w:spacing w:line="360" w:lineRule="auto"/>
        <w:rPr>
          <w:rFonts w:ascii="宋体" w:hAnsi="宋体" w:cs="宋体"/>
          <w:szCs w:val="21"/>
          <w:highlight w:val="none"/>
        </w:rPr>
      </w:pPr>
      <w:r>
        <w:rPr>
          <w:rFonts w:hint="eastAsia" w:ascii="宋体" w:hAnsi="宋体" w:cs="宋体"/>
          <w:szCs w:val="21"/>
          <w:highlight w:val="none"/>
        </w:rPr>
        <w:t>气象信息综合监视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气象和雷电监视信息接入后，利用基础平台提供的地理潮流图进行信息的综合展示。如下图所示为台风信息接入后的在线监视，图中的台风风圈显示台风的实时位置，气泡图标显示受台风影响的一次设备。</w:t>
      </w:r>
    </w:p>
    <w:p>
      <w:pPr>
        <w:tabs>
          <w:tab w:val="left" w:pos="900"/>
        </w:tabs>
        <w:spacing w:before="156" w:beforeLines="50" w:line="360" w:lineRule="auto"/>
        <w:rPr>
          <w:rFonts w:hAnsi="宋体"/>
          <w:b/>
          <w:szCs w:val="21"/>
          <w:highlight w:val="none"/>
        </w:rPr>
      </w:pPr>
      <w:r>
        <w:rPr>
          <w:rFonts w:hint="eastAsia" w:hAnsi="宋体"/>
          <w:b/>
          <w:szCs w:val="21"/>
          <w:highlight w:val="none"/>
        </w:rPr>
        <w:t>五、采购标的需满足的服务标准、期限、效率等要求</w:t>
      </w:r>
    </w:p>
    <w:p>
      <w:pPr>
        <w:numPr>
          <w:ilvl w:val="0"/>
          <w:numId w:val="4"/>
        </w:numPr>
        <w:tabs>
          <w:tab w:val="left" w:pos="900"/>
        </w:tabs>
        <w:spacing w:before="156" w:beforeLines="50" w:line="360" w:lineRule="auto"/>
        <w:rPr>
          <w:rFonts w:hAnsi="宋体"/>
          <w:szCs w:val="21"/>
          <w:highlight w:val="none"/>
        </w:rPr>
      </w:pPr>
      <w:r>
        <w:rPr>
          <w:rFonts w:hint="eastAsia" w:hAnsi="宋体"/>
          <w:szCs w:val="21"/>
          <w:highlight w:val="none"/>
        </w:rPr>
        <w:t xml:space="preserve">质保期： </w:t>
      </w:r>
      <w:r>
        <w:rPr>
          <w:rFonts w:hAnsi="宋体"/>
          <w:szCs w:val="21"/>
          <w:highlight w:val="none"/>
          <w:u w:val="single"/>
        </w:rPr>
        <w:t xml:space="preserve">    </w:t>
      </w:r>
      <w:r>
        <w:rPr>
          <w:rFonts w:hint="eastAsia" w:hAnsi="宋体"/>
          <w:szCs w:val="21"/>
          <w:highlight w:val="none"/>
          <w:u w:val="single"/>
        </w:rPr>
        <w:t>1</w:t>
      </w:r>
      <w:r>
        <w:rPr>
          <w:rFonts w:hAnsi="宋体"/>
          <w:szCs w:val="21"/>
          <w:highlight w:val="none"/>
          <w:u w:val="single"/>
        </w:rPr>
        <w:t xml:space="preserve">   </w:t>
      </w:r>
      <w:r>
        <w:rPr>
          <w:rFonts w:hint="eastAsia" w:hAnsi="宋体"/>
          <w:szCs w:val="21"/>
          <w:highlight w:val="none"/>
        </w:rPr>
        <w:t>年。质保期满后，仍需提供专业维修服务，投标人在投标文件中需注明维修服务单项报价。</w:t>
      </w:r>
    </w:p>
    <w:p>
      <w:pPr>
        <w:numPr>
          <w:ilvl w:val="0"/>
          <w:numId w:val="4"/>
        </w:numPr>
        <w:tabs>
          <w:tab w:val="left" w:pos="900"/>
        </w:tabs>
        <w:spacing w:before="156" w:beforeLines="50" w:line="360" w:lineRule="auto"/>
        <w:rPr>
          <w:rFonts w:hAnsi="宋体"/>
          <w:szCs w:val="21"/>
          <w:highlight w:val="none"/>
        </w:rPr>
      </w:pPr>
      <w:r>
        <w:rPr>
          <w:rFonts w:hint="eastAsia" w:hAnsi="宋体"/>
          <w:szCs w:val="21"/>
          <w:highlight w:val="none"/>
        </w:rPr>
        <w:t>服务响应时间：接到维修电话后4小时内给予明确答复，8小时内到达现场维修。维修人员到现场后若问题特殊无法现场修复的，供货方需在24小时内给出合理解决方案。</w:t>
      </w:r>
    </w:p>
    <w:p>
      <w:pPr>
        <w:numPr>
          <w:ilvl w:val="0"/>
          <w:numId w:val="4"/>
        </w:numPr>
        <w:tabs>
          <w:tab w:val="left" w:pos="900"/>
        </w:tabs>
        <w:spacing w:before="156" w:beforeLines="50" w:line="360" w:lineRule="auto"/>
        <w:rPr>
          <w:rFonts w:ascii="宋体" w:hAnsi="宋体"/>
          <w:b/>
          <w:szCs w:val="21"/>
          <w:highlight w:val="none"/>
        </w:rPr>
      </w:pPr>
      <w:r>
        <w:rPr>
          <w:rFonts w:hAnsi="宋体"/>
          <w:szCs w:val="21"/>
          <w:highlight w:val="none"/>
        </w:rPr>
        <w:t>培训</w:t>
      </w:r>
      <w:r>
        <w:rPr>
          <w:rFonts w:hint="eastAsia" w:hAnsi="宋体"/>
          <w:szCs w:val="21"/>
          <w:highlight w:val="none"/>
        </w:rPr>
        <w:t>要求：</w:t>
      </w:r>
      <w:r>
        <w:rPr>
          <w:rFonts w:hint="eastAsia" w:hAnsi="宋体"/>
          <w:szCs w:val="21"/>
          <w:highlight w:val="none"/>
          <w:u w:val="single"/>
        </w:rPr>
        <w:t xml:space="preserve"> </w:t>
      </w:r>
      <w:r>
        <w:rPr>
          <w:rFonts w:hAnsi="宋体"/>
          <w:szCs w:val="21"/>
          <w:highlight w:val="none"/>
          <w:u w:val="single"/>
        </w:rPr>
        <w:t xml:space="preserve">    </w:t>
      </w:r>
      <w:r>
        <w:rPr>
          <w:rFonts w:hint="eastAsia" w:hAnsi="宋体"/>
          <w:szCs w:val="21"/>
          <w:highlight w:val="none"/>
          <w:u w:val="single"/>
        </w:rPr>
        <w:t>开展现场技术培训1次</w:t>
      </w:r>
      <w:r>
        <w:rPr>
          <w:rFonts w:hAnsi="宋体"/>
          <w:szCs w:val="21"/>
          <w:highlight w:val="none"/>
          <w:u w:val="single"/>
        </w:rPr>
        <w:t xml:space="preserve">            </w:t>
      </w:r>
      <w:r>
        <w:rPr>
          <w:rFonts w:ascii="宋体" w:hAnsi="宋体"/>
          <w:b/>
          <w:szCs w:val="21"/>
          <w:highlight w:val="none"/>
        </w:rPr>
        <w:t xml:space="preserve"> </w:t>
      </w:r>
    </w:p>
    <w:p>
      <w:pPr>
        <w:tabs>
          <w:tab w:val="left" w:pos="900"/>
        </w:tabs>
        <w:spacing w:before="156" w:beforeLines="50" w:line="360" w:lineRule="auto"/>
        <w:rPr>
          <w:rFonts w:ascii="宋体" w:hAnsi="宋体"/>
          <w:b/>
          <w:szCs w:val="21"/>
          <w:highlight w:val="none"/>
        </w:rPr>
      </w:pPr>
      <w:r>
        <w:rPr>
          <w:rFonts w:hint="eastAsia" w:ascii="宋体" w:hAnsi="宋体"/>
          <w:b/>
          <w:szCs w:val="21"/>
          <w:highlight w:val="none"/>
        </w:rPr>
        <w:t>六、</w:t>
      </w:r>
      <w:r>
        <w:rPr>
          <w:rFonts w:ascii="宋体" w:hAnsi="宋体"/>
          <w:b/>
          <w:szCs w:val="21"/>
          <w:highlight w:val="none"/>
        </w:rPr>
        <w:t>采购标的的</w:t>
      </w:r>
      <w:r>
        <w:rPr>
          <w:rFonts w:hint="eastAsia" w:ascii="宋体" w:hAnsi="宋体"/>
          <w:b/>
          <w:szCs w:val="21"/>
          <w:highlight w:val="none"/>
        </w:rPr>
        <w:t>履约验收方案</w:t>
      </w:r>
    </w:p>
    <w:tbl>
      <w:tblPr>
        <w:tblStyle w:val="11"/>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2242"/>
        <w:gridCol w:w="279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widowControl/>
              <w:spacing w:line="450" w:lineRule="atLeast"/>
              <w:jc w:val="center"/>
              <w:textAlignment w:val="baseline"/>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验收主体</w:t>
            </w:r>
          </w:p>
        </w:tc>
        <w:tc>
          <w:tcPr>
            <w:tcW w:w="7542" w:type="dxa"/>
            <w:gridSpan w:val="3"/>
          </w:tcPr>
          <w:p>
            <w:pPr>
              <w:widowControl/>
              <w:spacing w:line="450" w:lineRule="atLeast"/>
              <w:jc w:val="center"/>
              <w:textAlignment w:val="baseline"/>
              <w:rPr>
                <w:rFonts w:cs="宋体" w:asciiTheme="minorEastAsia" w:hAnsiTheme="minorEastAsia" w:eastAsiaTheme="minorEastAsia"/>
                <w:color w:val="000000"/>
                <w:kern w:val="0"/>
                <w:szCs w:val="21"/>
                <w:highlight w:val="none"/>
              </w:rPr>
            </w:pPr>
            <w:r>
              <w:rPr>
                <w:rFonts w:hint="eastAsia" w:ascii="宋体" w:hAnsi="宋体" w:eastAsiaTheme="minorEastAsia"/>
                <w:szCs w:val="21"/>
                <w:highlight w:val="none"/>
              </w:rPr>
              <w:t>湾区电力系统极端自然灾害数据采集及可视化展示功能开发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pPr>
              <w:widowControl/>
              <w:spacing w:line="450" w:lineRule="atLeast"/>
              <w:jc w:val="center"/>
              <w:textAlignment w:val="baseline"/>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现场</w:t>
            </w:r>
            <w:r>
              <w:rPr>
                <w:rFonts w:hint="eastAsia" w:cs="宋体" w:asciiTheme="minorEastAsia" w:hAnsiTheme="minorEastAsia" w:eastAsiaTheme="minorEastAsia"/>
                <w:color w:val="000000"/>
                <w:kern w:val="0"/>
                <w:szCs w:val="21"/>
                <w:highlight w:val="none"/>
              </w:rPr>
              <w:t>验收的内容及方法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widowControl/>
              <w:spacing w:line="450" w:lineRule="atLeast"/>
              <w:jc w:val="left"/>
              <w:textAlignment w:val="baseline"/>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序号</w:t>
            </w:r>
          </w:p>
        </w:tc>
        <w:tc>
          <w:tcPr>
            <w:tcW w:w="2242" w:type="dxa"/>
          </w:tcPr>
          <w:p>
            <w:pPr>
              <w:widowControl/>
              <w:spacing w:line="450" w:lineRule="atLeast"/>
              <w:jc w:val="left"/>
              <w:textAlignment w:val="baseline"/>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功能</w:t>
            </w:r>
            <w:r>
              <w:rPr>
                <w:rFonts w:cs="宋体" w:asciiTheme="minorEastAsia" w:hAnsiTheme="minorEastAsia" w:eastAsiaTheme="minorEastAsia"/>
                <w:color w:val="000000"/>
                <w:kern w:val="0"/>
                <w:szCs w:val="21"/>
                <w:highlight w:val="none"/>
              </w:rPr>
              <w:t>或指标</w:t>
            </w:r>
          </w:p>
        </w:tc>
        <w:tc>
          <w:tcPr>
            <w:tcW w:w="2795" w:type="dxa"/>
          </w:tcPr>
          <w:p>
            <w:pPr>
              <w:widowControl/>
              <w:spacing w:line="450" w:lineRule="atLeast"/>
              <w:jc w:val="left"/>
              <w:textAlignment w:val="baseline"/>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验收方式或测试方法</w:t>
            </w:r>
          </w:p>
        </w:tc>
        <w:tc>
          <w:tcPr>
            <w:tcW w:w="2505" w:type="dxa"/>
          </w:tcPr>
          <w:p>
            <w:pPr>
              <w:widowControl/>
              <w:spacing w:line="450" w:lineRule="atLeast"/>
              <w:ind w:firstLine="487"/>
              <w:jc w:val="left"/>
              <w:textAlignment w:val="baseline"/>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履约情况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widowControl/>
              <w:spacing w:line="450" w:lineRule="atLeast"/>
              <w:jc w:val="left"/>
              <w:textAlignment w:val="baseline"/>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1</w:t>
            </w:r>
          </w:p>
        </w:tc>
        <w:tc>
          <w:tcPr>
            <w:tcW w:w="2242" w:type="dxa"/>
          </w:tcPr>
          <w:p>
            <w:pPr>
              <w:widowControl/>
              <w:spacing w:line="360" w:lineRule="auto"/>
              <w:jc w:val="left"/>
              <w:textAlignment w:val="baseline"/>
              <w:rPr>
                <w:rFonts w:cs="宋体" w:asciiTheme="minorEastAsia" w:hAnsiTheme="minorEastAsia" w:eastAsiaTheme="minorEastAsia"/>
                <w:color w:val="000000"/>
                <w:kern w:val="0"/>
                <w:szCs w:val="21"/>
                <w:highlight w:val="none"/>
              </w:rPr>
            </w:pPr>
            <w:r>
              <w:rPr>
                <w:rFonts w:hint="eastAsia"/>
                <w:highlight w:val="none"/>
              </w:rPr>
              <w:t>湾区电力系统极端自然灾害数据采集</w:t>
            </w:r>
          </w:p>
        </w:tc>
        <w:tc>
          <w:tcPr>
            <w:tcW w:w="2795" w:type="dxa"/>
          </w:tcPr>
          <w:p>
            <w:pPr>
              <w:widowControl/>
              <w:spacing w:line="450" w:lineRule="atLeast"/>
              <w:jc w:val="left"/>
              <w:textAlignment w:val="baseline"/>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满足相关技术规范要求</w:t>
            </w:r>
          </w:p>
        </w:tc>
        <w:tc>
          <w:tcPr>
            <w:tcW w:w="2505" w:type="dxa"/>
          </w:tcPr>
          <w:p>
            <w:pPr>
              <w:widowControl/>
              <w:spacing w:line="450" w:lineRule="atLeast"/>
              <w:jc w:val="left"/>
              <w:textAlignment w:val="baseline"/>
              <w:rPr>
                <w:rFonts w:cs="宋体" w:asciiTheme="minorEastAsia" w:hAnsiTheme="minorEastAsia" w:eastAsiaTheme="minorEastAsia"/>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widowControl/>
              <w:spacing w:line="450" w:lineRule="atLeast"/>
              <w:jc w:val="left"/>
              <w:textAlignment w:val="baseline"/>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2</w:t>
            </w:r>
          </w:p>
        </w:tc>
        <w:tc>
          <w:tcPr>
            <w:tcW w:w="2242" w:type="dxa"/>
          </w:tcPr>
          <w:p>
            <w:pPr>
              <w:widowControl/>
              <w:spacing w:line="360" w:lineRule="auto"/>
              <w:jc w:val="left"/>
              <w:textAlignment w:val="baseline"/>
              <w:rPr>
                <w:rFonts w:cs="宋体" w:asciiTheme="minorEastAsia" w:hAnsiTheme="minorEastAsia" w:eastAsiaTheme="minorEastAsia"/>
                <w:color w:val="000000"/>
                <w:kern w:val="0"/>
                <w:szCs w:val="21"/>
                <w:highlight w:val="none"/>
              </w:rPr>
            </w:pPr>
            <w:r>
              <w:rPr>
                <w:rFonts w:hint="eastAsia"/>
                <w:highlight w:val="none"/>
              </w:rPr>
              <w:t>湾区电力系统极端自然灾害数据导入</w:t>
            </w:r>
          </w:p>
        </w:tc>
        <w:tc>
          <w:tcPr>
            <w:tcW w:w="2795" w:type="dxa"/>
          </w:tcPr>
          <w:p>
            <w:pPr>
              <w:widowControl/>
              <w:spacing w:line="450" w:lineRule="atLeast"/>
              <w:jc w:val="left"/>
              <w:textAlignment w:val="baseline"/>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满足相关技术规范要求</w:t>
            </w:r>
          </w:p>
        </w:tc>
        <w:tc>
          <w:tcPr>
            <w:tcW w:w="2505" w:type="dxa"/>
          </w:tcPr>
          <w:p>
            <w:pPr>
              <w:widowControl/>
              <w:spacing w:line="450" w:lineRule="atLeast"/>
              <w:jc w:val="left"/>
              <w:textAlignment w:val="baseline"/>
              <w:rPr>
                <w:rFonts w:cs="宋体" w:asciiTheme="minorEastAsia" w:hAnsiTheme="minorEastAsia" w:eastAsiaTheme="minorEastAsia"/>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widowControl/>
              <w:spacing w:line="450" w:lineRule="atLeast"/>
              <w:jc w:val="left"/>
              <w:textAlignment w:val="baseline"/>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3</w:t>
            </w:r>
          </w:p>
        </w:tc>
        <w:tc>
          <w:tcPr>
            <w:tcW w:w="2242" w:type="dxa"/>
          </w:tcPr>
          <w:p>
            <w:pPr>
              <w:widowControl/>
              <w:spacing w:line="450" w:lineRule="atLeast"/>
              <w:jc w:val="left"/>
              <w:textAlignment w:val="baseline"/>
              <w:rPr>
                <w:rFonts w:cs="宋体" w:asciiTheme="minorEastAsia" w:hAnsiTheme="minorEastAsia" w:eastAsiaTheme="minorEastAsia"/>
                <w:color w:val="000000"/>
                <w:kern w:val="0"/>
                <w:szCs w:val="21"/>
                <w:highlight w:val="none"/>
              </w:rPr>
            </w:pPr>
            <w:r>
              <w:rPr>
                <w:rFonts w:hint="eastAsia"/>
                <w:highlight w:val="none"/>
              </w:rPr>
              <w:t>湾区电力系统极端自然灾害数据可视化展示</w:t>
            </w:r>
          </w:p>
        </w:tc>
        <w:tc>
          <w:tcPr>
            <w:tcW w:w="2795" w:type="dxa"/>
          </w:tcPr>
          <w:p>
            <w:pPr>
              <w:widowControl/>
              <w:spacing w:line="450" w:lineRule="atLeast"/>
              <w:jc w:val="left"/>
              <w:textAlignment w:val="baseline"/>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满足相关技术规范要求</w:t>
            </w:r>
          </w:p>
        </w:tc>
        <w:tc>
          <w:tcPr>
            <w:tcW w:w="2505" w:type="dxa"/>
          </w:tcPr>
          <w:p>
            <w:pPr>
              <w:widowControl/>
              <w:spacing w:line="450" w:lineRule="atLeast"/>
              <w:jc w:val="left"/>
              <w:textAlignment w:val="baseline"/>
              <w:rPr>
                <w:rFonts w:cs="宋体" w:asciiTheme="minorEastAsia" w:hAnsiTheme="minorEastAsia" w:eastAsiaTheme="minorEastAsia"/>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gridSpan w:val="2"/>
          </w:tcPr>
          <w:p>
            <w:pPr>
              <w:widowControl/>
              <w:spacing w:line="450" w:lineRule="atLeast"/>
              <w:jc w:val="left"/>
              <w:textAlignment w:val="baseline"/>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验收时是否需要</w:t>
            </w:r>
            <w:r>
              <w:rPr>
                <w:rFonts w:cs="宋体" w:asciiTheme="minorEastAsia" w:hAnsiTheme="minorEastAsia" w:eastAsiaTheme="minorEastAsia"/>
                <w:color w:val="000000"/>
                <w:kern w:val="0"/>
                <w:szCs w:val="21"/>
                <w:highlight w:val="none"/>
              </w:rPr>
              <w:t>供应商提供样品</w:t>
            </w:r>
          </w:p>
        </w:tc>
        <w:tc>
          <w:tcPr>
            <w:tcW w:w="2795" w:type="dxa"/>
          </w:tcPr>
          <w:p>
            <w:pPr>
              <w:widowControl/>
              <w:spacing w:line="450" w:lineRule="atLeast"/>
              <w:jc w:val="left"/>
              <w:textAlignment w:val="baseline"/>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是□</w:t>
            </w:r>
          </w:p>
        </w:tc>
        <w:tc>
          <w:tcPr>
            <w:tcW w:w="2505" w:type="dxa"/>
          </w:tcPr>
          <w:p>
            <w:pPr>
              <w:widowControl/>
              <w:spacing w:line="450" w:lineRule="atLeast"/>
              <w:jc w:val="left"/>
              <w:textAlignment w:val="baseline"/>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否</w:t>
            </w:r>
            <w:r>
              <w:rPr>
                <w:rFonts w:hint="eastAsia" w:cs="宋体" w:asciiTheme="minorEastAsia" w:hAnsiTheme="minorEastAsia" w:eastAsiaTheme="minorEastAsia"/>
                <w:color w:val="000000"/>
                <w:kern w:val="0"/>
                <w:szCs w:val="21"/>
                <w:highlight w:val="none"/>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gridSpan w:val="2"/>
          </w:tcPr>
          <w:p>
            <w:pPr>
              <w:widowControl/>
              <w:spacing w:line="450" w:lineRule="atLeast"/>
              <w:jc w:val="left"/>
              <w:textAlignment w:val="baseline"/>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验收时是否需</w:t>
            </w:r>
            <w:r>
              <w:rPr>
                <w:rFonts w:cs="宋体" w:asciiTheme="minorEastAsia" w:hAnsiTheme="minorEastAsia" w:eastAsiaTheme="minorEastAsia"/>
                <w:color w:val="000000"/>
                <w:kern w:val="0"/>
                <w:szCs w:val="21"/>
                <w:highlight w:val="none"/>
              </w:rPr>
              <w:t>供应商提供必要的其他设备</w:t>
            </w:r>
          </w:p>
        </w:tc>
        <w:tc>
          <w:tcPr>
            <w:tcW w:w="2795" w:type="dxa"/>
          </w:tcPr>
          <w:p>
            <w:pPr>
              <w:widowControl/>
              <w:spacing w:line="450" w:lineRule="atLeast"/>
              <w:jc w:val="left"/>
              <w:textAlignment w:val="baseline"/>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是□</w:t>
            </w:r>
          </w:p>
        </w:tc>
        <w:tc>
          <w:tcPr>
            <w:tcW w:w="2505" w:type="dxa"/>
          </w:tcPr>
          <w:p>
            <w:pPr>
              <w:widowControl/>
              <w:spacing w:line="450" w:lineRule="atLeast"/>
              <w:jc w:val="left"/>
              <w:textAlignment w:val="baseline"/>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否</w:t>
            </w:r>
            <w:r>
              <w:rPr>
                <w:rFonts w:hint="eastAsia" w:cs="宋体" w:asciiTheme="minorEastAsia" w:hAnsiTheme="minorEastAsia" w:eastAsiaTheme="minorEastAsia"/>
                <w:color w:val="000000"/>
                <w:kern w:val="0"/>
                <w:szCs w:val="21"/>
                <w:highlight w:val="none"/>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pPr>
              <w:widowControl/>
              <w:spacing w:line="450" w:lineRule="atLeast"/>
              <w:jc w:val="center"/>
              <w:textAlignment w:val="baseline"/>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除现场</w:t>
            </w:r>
            <w:r>
              <w:rPr>
                <w:rFonts w:cs="宋体" w:asciiTheme="minorEastAsia" w:hAnsiTheme="minorEastAsia" w:eastAsiaTheme="minorEastAsia"/>
                <w:color w:val="000000"/>
                <w:kern w:val="0"/>
                <w:szCs w:val="21"/>
                <w:highlight w:val="none"/>
              </w:rPr>
              <w:t>验收外，需提供的其他验收</w:t>
            </w:r>
            <w:r>
              <w:rPr>
                <w:rFonts w:hint="eastAsia" w:cs="宋体" w:asciiTheme="minorEastAsia" w:hAnsiTheme="minorEastAsia" w:eastAsiaTheme="minorEastAsia"/>
                <w:color w:val="000000"/>
                <w:kern w:val="0"/>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301" w:type="dxa"/>
            <w:gridSpan w:val="2"/>
          </w:tcPr>
          <w:p>
            <w:pPr>
              <w:widowControl/>
              <w:spacing w:line="450" w:lineRule="atLeast"/>
              <w:jc w:val="left"/>
              <w:textAlignment w:val="baseline"/>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除现场验收外，是□否</w:t>
            </w:r>
            <w:r>
              <w:rPr>
                <w:rFonts w:hint="eastAsia" w:cs="宋体" w:asciiTheme="minorEastAsia" w:hAnsiTheme="minorEastAsia" w:eastAsiaTheme="minorEastAsia"/>
                <w:color w:val="000000"/>
                <w:kern w:val="0"/>
                <w:szCs w:val="21"/>
                <w:highlight w:val="none"/>
              </w:rPr>
              <w:sym w:font="Wingdings 2" w:char="0052"/>
            </w:r>
            <w:r>
              <w:rPr>
                <w:rFonts w:hint="eastAsia" w:cs="宋体" w:asciiTheme="minorEastAsia" w:hAnsiTheme="minorEastAsia" w:eastAsiaTheme="minorEastAsia"/>
                <w:color w:val="000000"/>
                <w:kern w:val="0"/>
                <w:szCs w:val="21"/>
                <w:highlight w:val="none"/>
              </w:rPr>
              <w:t>需提供</w:t>
            </w:r>
            <w:r>
              <w:rPr>
                <w:rFonts w:cs="宋体" w:asciiTheme="minorEastAsia" w:hAnsiTheme="minorEastAsia" w:eastAsiaTheme="minorEastAsia"/>
                <w:color w:val="000000"/>
                <w:kern w:val="0"/>
                <w:szCs w:val="21"/>
                <w:highlight w:val="none"/>
              </w:rPr>
              <w:t>第三方检测报告</w:t>
            </w:r>
          </w:p>
          <w:p>
            <w:pPr>
              <w:widowControl/>
              <w:spacing w:line="450" w:lineRule="atLeast"/>
              <w:jc w:val="left"/>
              <w:textAlignment w:val="baseline"/>
              <w:rPr>
                <w:rFonts w:cs="宋体" w:asciiTheme="minorEastAsia" w:hAnsiTheme="minorEastAsia" w:eastAsiaTheme="minorEastAsia"/>
                <w:color w:val="000000"/>
                <w:kern w:val="0"/>
                <w:szCs w:val="21"/>
                <w:highlight w:val="none"/>
              </w:rPr>
            </w:pPr>
          </w:p>
        </w:tc>
        <w:tc>
          <w:tcPr>
            <w:tcW w:w="5300" w:type="dxa"/>
            <w:gridSpan w:val="2"/>
          </w:tcPr>
          <w:p>
            <w:pPr>
              <w:widowControl/>
              <w:spacing w:line="450" w:lineRule="atLeast"/>
              <w:jc w:val="left"/>
              <w:textAlignment w:val="baseline"/>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对于检测机构的要求：国家正规检测机构，出具的检测报告由验收复核专家认可之后作为验收复核通过的主要依据。</w:t>
            </w:r>
          </w:p>
          <w:p>
            <w:pPr>
              <w:widowControl/>
              <w:spacing w:line="450" w:lineRule="atLeast"/>
              <w:jc w:val="left"/>
              <w:textAlignment w:val="baseline"/>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对于检测执行标准的要求：各项检测项目标准以检测机构按照行业相关要求最新适用并执行的标准为准。</w:t>
            </w:r>
          </w:p>
        </w:tc>
      </w:tr>
    </w:tbl>
    <w:p>
      <w:pPr>
        <w:tabs>
          <w:tab w:val="left" w:pos="900"/>
        </w:tabs>
        <w:spacing w:before="156" w:beforeLines="50" w:line="360" w:lineRule="auto"/>
        <w:rPr>
          <w:rFonts w:ascii="宋体" w:hAnsi="宋体"/>
          <w:b/>
          <w:szCs w:val="21"/>
          <w:highlight w:val="none"/>
        </w:rPr>
      </w:pPr>
    </w:p>
    <w:bookmarkEnd w:id="1"/>
    <w:bookmarkEnd w:id="2"/>
    <w:bookmarkEnd w:id="3"/>
    <w:p>
      <w:pPr>
        <w:tabs>
          <w:tab w:val="left" w:pos="900"/>
        </w:tabs>
        <w:spacing w:before="156" w:beforeLines="50"/>
        <w:jc w:val="center"/>
        <w:rPr>
          <w:szCs w:val="21"/>
          <w:highlight w:val="none"/>
        </w:rPr>
      </w:pPr>
    </w:p>
    <w:p>
      <w:pPr>
        <w:rPr>
          <w:highlight w:val="none"/>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F8C85"/>
    <w:multiLevelType w:val="singleLevel"/>
    <w:tmpl w:val="9B5F8C85"/>
    <w:lvl w:ilvl="0" w:tentative="0">
      <w:start w:val="1"/>
      <w:numFmt w:val="decimal"/>
      <w:lvlText w:val="(%1)"/>
      <w:lvlJc w:val="left"/>
      <w:pPr>
        <w:ind w:left="425" w:hanging="425"/>
      </w:pPr>
      <w:rPr>
        <w:rFonts w:hint="default"/>
      </w:rPr>
    </w:lvl>
  </w:abstractNum>
  <w:abstractNum w:abstractNumId="1">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61F2A0F"/>
    <w:multiLevelType w:val="multilevel"/>
    <w:tmpl w:val="561F2A0F"/>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752AE4"/>
    <w:multiLevelType w:val="singleLevel"/>
    <w:tmpl w:val="59752AE4"/>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zMmE3ZWI5NTQ5M2M4NjkzNjNkOWU0OGQxYzlmZjIifQ=="/>
  </w:docVars>
  <w:rsids>
    <w:rsidRoot w:val="00A161FC"/>
    <w:rsid w:val="00105428"/>
    <w:rsid w:val="00140AF0"/>
    <w:rsid w:val="001507CE"/>
    <w:rsid w:val="00157667"/>
    <w:rsid w:val="001609FC"/>
    <w:rsid w:val="0018461B"/>
    <w:rsid w:val="001B712C"/>
    <w:rsid w:val="001C41C3"/>
    <w:rsid w:val="00237253"/>
    <w:rsid w:val="002B3A1B"/>
    <w:rsid w:val="003113D4"/>
    <w:rsid w:val="00345D8D"/>
    <w:rsid w:val="0036352F"/>
    <w:rsid w:val="003649AF"/>
    <w:rsid w:val="00453832"/>
    <w:rsid w:val="004951D7"/>
    <w:rsid w:val="004A43F0"/>
    <w:rsid w:val="004E4B14"/>
    <w:rsid w:val="00501176"/>
    <w:rsid w:val="00510891"/>
    <w:rsid w:val="0053111A"/>
    <w:rsid w:val="00562C62"/>
    <w:rsid w:val="005633CE"/>
    <w:rsid w:val="00571ADE"/>
    <w:rsid w:val="005951EF"/>
    <w:rsid w:val="005F1571"/>
    <w:rsid w:val="005F401F"/>
    <w:rsid w:val="00611202"/>
    <w:rsid w:val="006C2918"/>
    <w:rsid w:val="006C782C"/>
    <w:rsid w:val="007554BB"/>
    <w:rsid w:val="007839AE"/>
    <w:rsid w:val="007F4BD9"/>
    <w:rsid w:val="00800E12"/>
    <w:rsid w:val="008153D5"/>
    <w:rsid w:val="00823CA9"/>
    <w:rsid w:val="008403A0"/>
    <w:rsid w:val="0084652E"/>
    <w:rsid w:val="00877BBB"/>
    <w:rsid w:val="0089621F"/>
    <w:rsid w:val="00925E61"/>
    <w:rsid w:val="0099177F"/>
    <w:rsid w:val="00995789"/>
    <w:rsid w:val="009F6CAB"/>
    <w:rsid w:val="009F7A2C"/>
    <w:rsid w:val="00A047F0"/>
    <w:rsid w:val="00A161FC"/>
    <w:rsid w:val="00A765E9"/>
    <w:rsid w:val="00AC005D"/>
    <w:rsid w:val="00AF7468"/>
    <w:rsid w:val="00B4481B"/>
    <w:rsid w:val="00B72BD6"/>
    <w:rsid w:val="00B91989"/>
    <w:rsid w:val="00BC3D86"/>
    <w:rsid w:val="00BE5444"/>
    <w:rsid w:val="00BF1460"/>
    <w:rsid w:val="00C15054"/>
    <w:rsid w:val="00C63818"/>
    <w:rsid w:val="00C82348"/>
    <w:rsid w:val="00CD153F"/>
    <w:rsid w:val="00CD2230"/>
    <w:rsid w:val="00D62088"/>
    <w:rsid w:val="00DC1928"/>
    <w:rsid w:val="00DF5062"/>
    <w:rsid w:val="00E0581E"/>
    <w:rsid w:val="00E1130A"/>
    <w:rsid w:val="00E203CB"/>
    <w:rsid w:val="00E4264C"/>
    <w:rsid w:val="00E73399"/>
    <w:rsid w:val="00E7573D"/>
    <w:rsid w:val="00E821CF"/>
    <w:rsid w:val="00E85EF2"/>
    <w:rsid w:val="00E931F1"/>
    <w:rsid w:val="00F7715C"/>
    <w:rsid w:val="00F9789E"/>
    <w:rsid w:val="00FB00E1"/>
    <w:rsid w:val="00FC1111"/>
    <w:rsid w:val="00FC3BB8"/>
    <w:rsid w:val="00FC66AC"/>
    <w:rsid w:val="00FE1B41"/>
    <w:rsid w:val="00FF21F2"/>
    <w:rsid w:val="00FF47AD"/>
    <w:rsid w:val="11C47CB0"/>
    <w:rsid w:val="1BC72B84"/>
    <w:rsid w:val="1FF107EA"/>
    <w:rsid w:val="233A5B6A"/>
    <w:rsid w:val="23B5627F"/>
    <w:rsid w:val="31975317"/>
    <w:rsid w:val="32236BAB"/>
    <w:rsid w:val="4296020D"/>
    <w:rsid w:val="49794C6B"/>
    <w:rsid w:val="4FAF6015"/>
    <w:rsid w:val="56505911"/>
    <w:rsid w:val="5F211BA6"/>
    <w:rsid w:val="61840DEE"/>
    <w:rsid w:val="64601415"/>
    <w:rsid w:val="677D19F7"/>
    <w:rsid w:val="6C926D9F"/>
    <w:rsid w:val="6F4617CB"/>
    <w:rsid w:val="736D1458"/>
    <w:rsid w:val="737A2ABA"/>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3"/>
    <w:next w:val="3"/>
    <w:qFormat/>
    <w:uiPriority w:val="99"/>
    <w:pPr>
      <w:spacing w:after="120"/>
    </w:pPr>
    <w:rPr>
      <w:kern w:val="0"/>
      <w:sz w:val="20"/>
      <w:szCs w:val="24"/>
    </w:rPr>
  </w:style>
  <w:style w:type="paragraph" w:styleId="3">
    <w:name w:val="Title"/>
    <w:basedOn w:val="1"/>
    <w:next w:val="1"/>
    <w:link w:val="16"/>
    <w:qFormat/>
    <w:uiPriority w:val="0"/>
    <w:pPr>
      <w:spacing w:before="240" w:after="60"/>
      <w:jc w:val="center"/>
      <w:outlineLvl w:val="0"/>
    </w:pPr>
    <w:rPr>
      <w:rFonts w:ascii="Arial" w:hAnsi="Arial" w:cs="Arial"/>
      <w:b/>
      <w:bCs/>
      <w:sz w:val="32"/>
      <w:szCs w:val="32"/>
    </w:rPr>
  </w:style>
  <w:style w:type="paragraph" w:styleId="4">
    <w:name w:val="annotation text"/>
    <w:basedOn w:val="1"/>
    <w:link w:val="24"/>
    <w:semiHidden/>
    <w:unhideWhenUsed/>
    <w:qFormat/>
    <w:uiPriority w:val="99"/>
    <w:pPr>
      <w:jc w:val="left"/>
    </w:pPr>
  </w:style>
  <w:style w:type="paragraph" w:styleId="5">
    <w:name w:val="Plain Text"/>
    <w:basedOn w:val="1"/>
    <w:link w:val="14"/>
    <w:qFormat/>
    <w:uiPriority w:val="0"/>
    <w:rPr>
      <w:rFonts w:ascii="宋体" w:hAnsi="Courier New" w:cstheme="minorBidi"/>
      <w:szCs w:val="22"/>
    </w:rPr>
  </w:style>
  <w:style w:type="paragraph" w:styleId="6">
    <w:name w:val="Balloon Text"/>
    <w:basedOn w:val="1"/>
    <w:link w:val="22"/>
    <w:semiHidden/>
    <w:unhideWhenUsed/>
    <w:qFormat/>
    <w:uiPriority w:val="99"/>
    <w:rPr>
      <w:sz w:val="18"/>
      <w:szCs w:val="18"/>
    </w:rPr>
  </w:style>
  <w:style w:type="paragraph" w:styleId="7">
    <w:name w:val="footer"/>
    <w:basedOn w:val="1"/>
    <w:link w:val="15"/>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5"/>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纯文本 字符"/>
    <w:link w:val="5"/>
    <w:qFormat/>
    <w:uiPriority w:val="0"/>
    <w:rPr>
      <w:rFonts w:ascii="宋体" w:hAnsi="Courier New" w:eastAsia="宋体"/>
    </w:rPr>
  </w:style>
  <w:style w:type="character" w:customStyle="1" w:styleId="15">
    <w:name w:val="页脚 字符"/>
    <w:link w:val="7"/>
    <w:qFormat/>
    <w:uiPriority w:val="0"/>
    <w:rPr>
      <w:sz w:val="18"/>
    </w:rPr>
  </w:style>
  <w:style w:type="character" w:customStyle="1" w:styleId="16">
    <w:name w:val="标题 字符"/>
    <w:link w:val="3"/>
    <w:qFormat/>
    <w:uiPriority w:val="0"/>
    <w:rPr>
      <w:rFonts w:ascii="Arial" w:hAnsi="Arial" w:eastAsia="宋体" w:cs="Arial"/>
      <w:b/>
      <w:bCs/>
      <w:sz w:val="32"/>
      <w:szCs w:val="32"/>
    </w:rPr>
  </w:style>
  <w:style w:type="character" w:customStyle="1" w:styleId="17">
    <w:name w:val="页脚 Char"/>
    <w:basedOn w:val="12"/>
    <w:semiHidden/>
    <w:qFormat/>
    <w:uiPriority w:val="99"/>
    <w:rPr>
      <w:rFonts w:ascii="Times New Roman" w:hAnsi="Times New Roman" w:eastAsia="宋体" w:cs="Times New Roman"/>
      <w:sz w:val="18"/>
      <w:szCs w:val="18"/>
    </w:rPr>
  </w:style>
  <w:style w:type="character" w:customStyle="1" w:styleId="18">
    <w:name w:val="标题 Char"/>
    <w:basedOn w:val="12"/>
    <w:qFormat/>
    <w:uiPriority w:val="10"/>
    <w:rPr>
      <w:rFonts w:eastAsia="宋体" w:asciiTheme="majorHAnsi" w:hAnsiTheme="majorHAnsi" w:cstheme="majorBidi"/>
      <w:b/>
      <w:bCs/>
      <w:sz w:val="32"/>
      <w:szCs w:val="32"/>
    </w:rPr>
  </w:style>
  <w:style w:type="character" w:customStyle="1" w:styleId="19">
    <w:name w:val="纯文本 Char"/>
    <w:basedOn w:val="12"/>
    <w:semiHidden/>
    <w:qFormat/>
    <w:uiPriority w:val="99"/>
    <w:rPr>
      <w:rFonts w:ascii="宋体" w:hAnsi="Courier New" w:eastAsia="宋体" w:cs="Courier New"/>
      <w:szCs w:val="21"/>
    </w:rPr>
  </w:style>
  <w:style w:type="character" w:customStyle="1" w:styleId="20">
    <w:name w:val="页眉 字符"/>
    <w:basedOn w:val="12"/>
    <w:link w:val="8"/>
    <w:qFormat/>
    <w:uiPriority w:val="99"/>
    <w:rPr>
      <w:rFonts w:ascii="Times New Roman" w:hAnsi="Times New Roman" w:eastAsia="宋体" w:cs="Times New Roman"/>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12"/>
    <w:link w:val="6"/>
    <w:semiHidden/>
    <w:qFormat/>
    <w:uiPriority w:val="99"/>
    <w:rPr>
      <w:rFonts w:ascii="Times New Roman" w:hAnsi="Times New Roman" w:eastAsia="宋体" w:cs="Times New Roman"/>
      <w:sz w:val="18"/>
      <w:szCs w:val="18"/>
    </w:rPr>
  </w:style>
  <w:style w:type="paragraph" w:customStyle="1" w:styleId="23">
    <w:name w:val="列出段落1"/>
    <w:basedOn w:val="1"/>
    <w:qFormat/>
    <w:uiPriority w:val="34"/>
    <w:pPr>
      <w:ind w:firstLine="420" w:firstLineChars="200"/>
    </w:pPr>
    <w:rPr>
      <w:sz w:val="28"/>
    </w:rPr>
  </w:style>
  <w:style w:type="character" w:customStyle="1" w:styleId="24">
    <w:name w:val="批注文字 字符"/>
    <w:basedOn w:val="12"/>
    <w:link w:val="4"/>
    <w:semiHidden/>
    <w:qFormat/>
    <w:uiPriority w:val="99"/>
    <w:rPr>
      <w:rFonts w:ascii="Times New Roman" w:hAnsi="Times New Roman" w:eastAsia="宋体" w:cs="Times New Roman"/>
      <w:kern w:val="2"/>
      <w:sz w:val="21"/>
    </w:rPr>
  </w:style>
  <w:style w:type="character" w:customStyle="1" w:styleId="25">
    <w:name w:val="批注主题 字符"/>
    <w:basedOn w:val="24"/>
    <w:link w:val="9"/>
    <w:semiHidden/>
    <w:qFormat/>
    <w:uiPriority w:val="99"/>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12DD8-2B07-494F-9808-4F0E0AAD8661}">
  <ds:schemaRefs/>
</ds:datastoreItem>
</file>

<file path=docProps/app.xml><?xml version="1.0" encoding="utf-8"?>
<Properties xmlns="http://schemas.openxmlformats.org/officeDocument/2006/extended-properties" xmlns:vt="http://schemas.openxmlformats.org/officeDocument/2006/docPropsVTypes">
  <Template>Normal</Template>
  <Pages>5</Pages>
  <Words>493</Words>
  <Characters>2816</Characters>
  <Lines>23</Lines>
  <Paragraphs>6</Paragraphs>
  <TotalTime>3</TotalTime>
  <ScaleCrop>false</ScaleCrop>
  <LinksUpToDate>false</LinksUpToDate>
  <CharactersWithSpaces>3303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2023-11-01T08:30:00Z</dcterms:created>
  <dc:creator>User</dc:creator>
  <cp:lastModifiedBy>汀珠</cp:lastModifiedBy>
  <dcterms:modified xsi:type="dcterms:W3CDTF">2023-12-12T09:56:28Z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5D3DBBB6064C45FE9436600202649A18_13</vt:lpwstr>
  </property>
</Properties>
</file>