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97250">
      <w:pPr>
        <w:pStyle w:val="19"/>
        <w:rPr>
          <w:rFonts w:ascii="宋体" w:hAnsi="宋体"/>
          <w:sz w:val="36"/>
        </w:rPr>
      </w:pPr>
      <w:bookmarkStart w:id="0" w:name="_Toc38367762"/>
      <w:r>
        <w:rPr>
          <w:rFonts w:hint="eastAsia" w:ascii="宋体" w:hAnsi="宋体"/>
          <w:sz w:val="36"/>
        </w:rPr>
        <w:t>【创新港业务与数据支撑平台建设】</w:t>
      </w:r>
      <w:r>
        <w:rPr>
          <w:rFonts w:ascii="宋体" w:hAnsi="宋体"/>
          <w:sz w:val="36"/>
        </w:rPr>
        <w:t>采购需求</w:t>
      </w:r>
      <w:bookmarkEnd w:id="0"/>
    </w:p>
    <w:p w14:paraId="4F833836">
      <w:pPr>
        <w:pStyle w:val="2"/>
        <w:spacing w:before="0" w:after="0" w:line="360" w:lineRule="auto"/>
        <w:rPr>
          <w:sz w:val="21"/>
          <w:szCs w:val="21"/>
        </w:rPr>
      </w:pPr>
      <w:bookmarkStart w:id="1" w:name="_Toc172360661"/>
      <w:bookmarkStart w:id="2" w:name="_Toc158978330"/>
      <w:bookmarkStart w:id="3" w:name="_Toc219271393"/>
      <w:r>
        <w:rPr>
          <w:rFonts w:hint="eastAsia"/>
          <w:sz w:val="21"/>
          <w:szCs w:val="21"/>
        </w:rPr>
        <w:t>一、</w:t>
      </w:r>
      <w:r>
        <w:rPr>
          <w:sz w:val="21"/>
          <w:szCs w:val="21"/>
        </w:rPr>
        <w:t>采购</w:t>
      </w:r>
      <w:r>
        <w:rPr>
          <w:rFonts w:hint="eastAsia"/>
          <w:sz w:val="21"/>
          <w:szCs w:val="21"/>
        </w:rPr>
        <w:t>标的</w:t>
      </w:r>
      <w:r>
        <w:rPr>
          <w:sz w:val="21"/>
          <w:szCs w:val="21"/>
        </w:rPr>
        <w:t>需实现的功能或者目标，以及为落实政府采购政策需满足的要求：</w:t>
      </w:r>
    </w:p>
    <w:p w14:paraId="78103E97">
      <w:pPr>
        <w:tabs>
          <w:tab w:val="left" w:pos="900"/>
        </w:tabs>
        <w:spacing w:before="156" w:beforeLines="50" w:line="360" w:lineRule="auto"/>
        <w:rPr>
          <w:b/>
          <w:szCs w:val="21"/>
        </w:rPr>
      </w:pPr>
      <w:r>
        <w:rPr>
          <w:rFonts w:hAnsi="宋体"/>
          <w:b/>
          <w:szCs w:val="21"/>
        </w:rPr>
        <w:t>（一）采购</w:t>
      </w:r>
      <w:r>
        <w:rPr>
          <w:rFonts w:hint="eastAsia" w:hAnsi="宋体"/>
          <w:b/>
          <w:szCs w:val="21"/>
        </w:rPr>
        <w:t>标的</w:t>
      </w:r>
      <w:r>
        <w:rPr>
          <w:rFonts w:hAnsi="宋体"/>
          <w:b/>
          <w:szCs w:val="21"/>
        </w:rPr>
        <w:t>需实现的功能或者目标</w:t>
      </w:r>
    </w:p>
    <w:p w14:paraId="111A855C">
      <w:pPr>
        <w:tabs>
          <w:tab w:val="left" w:pos="900"/>
        </w:tabs>
        <w:spacing w:line="360" w:lineRule="auto"/>
        <w:ind w:firstLine="420" w:firstLineChars="200"/>
        <w:rPr>
          <w:szCs w:val="21"/>
        </w:rPr>
      </w:pPr>
      <w:r>
        <w:rPr>
          <w:rFonts w:hint="eastAsia"/>
          <w:szCs w:val="21"/>
        </w:rPr>
        <w:t>本项目采购创新港业务与数据支撑平台及配套服务器1套，包括</w:t>
      </w:r>
      <w:r>
        <w:rPr>
          <w:rFonts w:hint="eastAsia" w:asciiTheme="minorEastAsia" w:hAnsiTheme="minorEastAsia" w:eastAsiaTheme="minorEastAsia"/>
          <w:szCs w:val="21"/>
        </w:rPr>
        <w:t>数据集成与服务平台、专题数据库建设、大数据应用及分析、服务器及配件（含</w:t>
      </w:r>
      <w:r>
        <w:rPr>
          <w:rFonts w:hint="eastAsia"/>
          <w:szCs w:val="21"/>
        </w:rPr>
        <w:t>数仓服务器一套、服务器8台、交换机2个）。用于创新港校区数据资产管理，兴庆、雁塔、曲江、创新港各校区之间的数据无缝衔接与共享。建立学校统一的数据管理规范及标准，确保数据交换更加准确、便捷、高效、通畅和安全。</w:t>
      </w:r>
    </w:p>
    <w:p w14:paraId="417AC79B">
      <w:pPr>
        <w:tabs>
          <w:tab w:val="left" w:pos="900"/>
        </w:tabs>
        <w:spacing w:before="156" w:beforeLines="50" w:line="360" w:lineRule="auto"/>
        <w:rPr>
          <w:b/>
          <w:szCs w:val="21"/>
        </w:rPr>
      </w:pPr>
      <w:r>
        <w:rPr>
          <w:rFonts w:hAnsi="宋体"/>
          <w:b/>
          <w:szCs w:val="21"/>
        </w:rPr>
        <w:t>（二）为落实政府采购政策需满足的要求</w:t>
      </w:r>
    </w:p>
    <w:p w14:paraId="1E484D18">
      <w:pPr>
        <w:tabs>
          <w:tab w:val="left" w:pos="900"/>
        </w:tabs>
        <w:spacing w:line="360" w:lineRule="auto"/>
        <w:ind w:left="420"/>
        <w:rPr>
          <w:rFonts w:hAnsi="宋体"/>
          <w:szCs w:val="21"/>
        </w:rPr>
      </w:pPr>
      <w:r>
        <w:rPr>
          <w:rFonts w:hint="eastAsia" w:hAnsi="宋体"/>
          <w:szCs w:val="24"/>
        </w:rPr>
        <w:t>1</w:t>
      </w:r>
      <w:r>
        <w:rPr>
          <w:rFonts w:hAnsi="宋体"/>
          <w:szCs w:val="24"/>
        </w:rPr>
        <w:t>.根据</w:t>
      </w:r>
      <w:r>
        <w:rPr>
          <w:rFonts w:hAnsi="宋体"/>
        </w:rPr>
        <w:t>《政府采购促进中小企业发展管理办法》</w:t>
      </w:r>
      <w:r>
        <w:rPr>
          <w:rFonts w:hint="eastAsia" w:hAnsi="宋体"/>
        </w:rPr>
        <w:t>（财库【2</w:t>
      </w:r>
      <w:r>
        <w:rPr>
          <w:rFonts w:hAnsi="宋体"/>
        </w:rPr>
        <w:t>020</w:t>
      </w:r>
      <w:r>
        <w:rPr>
          <w:rFonts w:hint="eastAsia" w:hAnsi="宋体"/>
        </w:rPr>
        <w:t>】4</w:t>
      </w:r>
      <w:r>
        <w:rPr>
          <w:rFonts w:hAnsi="宋体"/>
        </w:rPr>
        <w:t>6</w:t>
      </w:r>
      <w:r>
        <w:rPr>
          <w:rFonts w:hint="eastAsia" w:hAnsi="宋体"/>
        </w:rPr>
        <w:t>号）</w:t>
      </w:r>
      <w:r>
        <w:rPr>
          <w:rFonts w:hAnsi="宋体"/>
        </w:rPr>
        <w:t>规定，本项目</w:t>
      </w:r>
      <w:r>
        <w:rPr>
          <w:rFonts w:hint="eastAsia" w:hAnsi="宋体"/>
        </w:rPr>
        <w:t>采购标的</w:t>
      </w:r>
      <w:r>
        <w:rPr>
          <w:rFonts w:hAnsi="宋体"/>
        </w:rPr>
        <w:t>为</w:t>
      </w:r>
      <w:r>
        <w:rPr>
          <w:rFonts w:hint="eastAsia" w:hAnsi="宋体"/>
        </w:rPr>
        <w:t>中小</w:t>
      </w:r>
      <w:r>
        <w:rPr>
          <w:rFonts w:hAnsi="宋体"/>
        </w:rPr>
        <w:t>型企业</w:t>
      </w:r>
      <w:r>
        <w:rPr>
          <w:rFonts w:hint="eastAsia" w:hAnsi="宋体"/>
        </w:rPr>
        <w:t>制造、承建或承接</w:t>
      </w:r>
      <w:r>
        <w:rPr>
          <w:rFonts w:hAnsi="宋体"/>
          <w:szCs w:val="24"/>
        </w:rPr>
        <w:t>的，</w:t>
      </w:r>
      <w:r>
        <w:rPr>
          <w:rFonts w:hAnsi="宋体"/>
        </w:rPr>
        <w:t>投标人应</w:t>
      </w:r>
      <w:r>
        <w:rPr>
          <w:rFonts w:hint="eastAsia" w:hAnsi="宋体"/>
        </w:rPr>
        <w:t>提供办法规定的</w:t>
      </w:r>
      <w:r>
        <w:rPr>
          <w:rFonts w:hAnsi="宋体"/>
          <w:szCs w:val="21"/>
        </w:rPr>
        <w:t>《中小企业声明函》</w:t>
      </w:r>
      <w:r>
        <w:rPr>
          <w:rFonts w:hint="eastAsia" w:hAnsi="宋体"/>
          <w:szCs w:val="21"/>
        </w:rPr>
        <w:t>，否则不得享受相关中小企业扶持政策</w:t>
      </w:r>
      <w:r>
        <w:rPr>
          <w:rFonts w:hAnsi="宋体"/>
          <w:szCs w:val="24"/>
        </w:rPr>
        <w:t>。投标人应对提交的中小企业声明函的真实性负责，提交的中小企业声明函不真实的，应承担相应的法律责任</w:t>
      </w:r>
      <w:r>
        <w:rPr>
          <w:rFonts w:hAnsi="宋体"/>
          <w:szCs w:val="21"/>
        </w:rPr>
        <w:t>。</w:t>
      </w:r>
    </w:p>
    <w:p w14:paraId="56C245A5">
      <w:pPr>
        <w:pStyle w:val="40"/>
        <w:rPr>
          <w:color w:val="FF0000"/>
        </w:rPr>
      </w:pPr>
      <w:r>
        <w:rPr>
          <w:rFonts w:hint="eastAsia"/>
        </w:rPr>
        <w:t>本项目采购标的对应的《中小企业划型标准规定》所属行业为：</w:t>
      </w:r>
      <w:r>
        <w:rPr>
          <w:rFonts w:hint="eastAsia"/>
          <w:u w:val="single"/>
        </w:rPr>
        <w:t xml:space="preserve"> </w:t>
      </w:r>
      <w:r>
        <w:rPr>
          <w:u w:val="single"/>
        </w:rPr>
        <w:t xml:space="preserve"> </w:t>
      </w:r>
      <w:r>
        <w:rPr>
          <w:rFonts w:hint="eastAsia"/>
          <w:u w:val="single"/>
        </w:rPr>
        <w:t>软件和信息技术服务业</w:t>
      </w:r>
      <w:r>
        <w:rPr>
          <w:u w:val="single"/>
        </w:rPr>
        <w:t xml:space="preserve">  </w:t>
      </w:r>
      <w:r>
        <w:rPr>
          <w:rFonts w:hint="eastAsia"/>
        </w:rPr>
        <w:t>。</w:t>
      </w:r>
    </w:p>
    <w:p w14:paraId="75F6A00F">
      <w:pPr>
        <w:tabs>
          <w:tab w:val="left" w:pos="900"/>
        </w:tabs>
        <w:spacing w:line="360" w:lineRule="auto"/>
        <w:ind w:left="420"/>
        <w:rPr>
          <w:rFonts w:hint="eastAsia" w:eastAsia="宋体" w:cs="宋体" w:asciiTheme="minorEastAsia" w:hAnsiTheme="minorEastAsia"/>
          <w:b/>
          <w:color w:val="000000"/>
          <w:kern w:val="0"/>
          <w:sz w:val="20"/>
          <w:szCs w:val="21"/>
          <w:lang w:val="en-US" w:eastAsia="zh-CN"/>
        </w:rPr>
      </w:pPr>
      <w:r>
        <w:rPr>
          <w:rFonts w:hint="eastAsia" w:hAnsi="宋体"/>
          <w:szCs w:val="24"/>
        </w:rPr>
        <w:t>2</w:t>
      </w:r>
      <w:r>
        <w:rPr>
          <w:rFonts w:hAnsi="宋体"/>
          <w:szCs w:val="24"/>
        </w:rPr>
        <w:t>.</w:t>
      </w:r>
      <w:r>
        <w:rPr>
          <w:rFonts w:hint="eastAsia" w:hAnsi="宋体"/>
          <w:szCs w:val="24"/>
        </w:rPr>
        <w:t xml:space="preserve"> </w:t>
      </w:r>
      <w:r>
        <w:rPr>
          <w:rFonts w:hint="eastAsia" w:cs="宋体" w:asciiTheme="minorEastAsia" w:hAnsiTheme="minorEastAsia"/>
          <w:b/>
          <w:color w:val="000000"/>
          <w:kern w:val="0"/>
          <w:sz w:val="20"/>
          <w:szCs w:val="21"/>
        </w:rPr>
        <w:t>□ 本采购项目允许进口产品参加。</w:t>
      </w:r>
    </w:p>
    <w:p w14:paraId="1167467B">
      <w:pPr>
        <w:tabs>
          <w:tab w:val="left" w:pos="900"/>
        </w:tabs>
        <w:spacing w:line="360" w:lineRule="auto"/>
        <w:ind w:left="420" w:firstLine="201" w:firstLineChars="100"/>
        <w:rPr>
          <w:rFonts w:cs="宋体" w:asciiTheme="minorEastAsia" w:hAnsiTheme="minorEastAsia"/>
          <w:b/>
          <w:color w:val="000000"/>
          <w:kern w:val="0"/>
          <w:sz w:val="20"/>
          <w:szCs w:val="21"/>
        </w:rPr>
      </w:pPr>
      <w:r>
        <w:rPr>
          <w:rFonts w:hint="eastAsia" w:cs="宋体" w:asciiTheme="minorEastAsia" w:hAnsiTheme="minorEastAsia"/>
          <w:b/>
          <w:color w:val="000000"/>
          <w:kern w:val="0"/>
          <w:sz w:val="20"/>
          <w:szCs w:val="21"/>
        </w:rPr>
        <w:t>（说明：请项目单位根据采购实际情况在“□”中打勾（</w:t>
      </w:r>
      <w:r>
        <w:rPr>
          <w:rFonts w:hint="eastAsia" w:cs="宋体" w:asciiTheme="minorEastAsia" w:hAnsiTheme="minorEastAsia"/>
          <w:b/>
          <w:color w:val="000000"/>
          <w:kern w:val="0"/>
          <w:sz w:val="24"/>
          <w:szCs w:val="24"/>
        </w:rPr>
        <w:sym w:font="Wingdings 2" w:char="F052"/>
      </w:r>
      <w:r>
        <w:rPr>
          <w:rFonts w:hint="eastAsia" w:cs="宋体" w:asciiTheme="minorEastAsia" w:hAnsiTheme="minorEastAsia"/>
          <w:b/>
          <w:color w:val="000000"/>
          <w:kern w:val="0"/>
          <w:sz w:val="24"/>
          <w:szCs w:val="24"/>
        </w:rPr>
        <w:t>）</w:t>
      </w:r>
      <w:r>
        <w:rPr>
          <w:rFonts w:hint="eastAsia" w:cs="宋体" w:asciiTheme="minorEastAsia" w:hAnsiTheme="minorEastAsia"/>
          <w:b/>
          <w:color w:val="000000"/>
          <w:kern w:val="0"/>
          <w:sz w:val="20"/>
          <w:szCs w:val="21"/>
        </w:rPr>
        <w:t>。未进行勾选的，视为只接受本国产品参加）</w:t>
      </w:r>
    </w:p>
    <w:p w14:paraId="35CDD69B">
      <w:pPr>
        <w:pStyle w:val="2"/>
        <w:spacing w:before="0" w:after="0" w:line="360" w:lineRule="auto"/>
        <w:rPr>
          <w:sz w:val="21"/>
          <w:szCs w:val="21"/>
        </w:rPr>
      </w:pPr>
      <w:r>
        <w:rPr>
          <w:rFonts w:hint="eastAsia"/>
          <w:sz w:val="21"/>
          <w:szCs w:val="21"/>
        </w:rPr>
        <w:t>二、</w:t>
      </w:r>
      <w:r>
        <w:rPr>
          <w:sz w:val="21"/>
          <w:szCs w:val="21"/>
        </w:rPr>
        <w:t>采购</w:t>
      </w:r>
      <w:r>
        <w:rPr>
          <w:rFonts w:hint="eastAsia"/>
          <w:sz w:val="21"/>
          <w:szCs w:val="21"/>
        </w:rPr>
        <w:t>标的</w:t>
      </w:r>
      <w:r>
        <w:rPr>
          <w:sz w:val="21"/>
          <w:szCs w:val="21"/>
        </w:rPr>
        <w:t>需执行的国家相关标准、行业标准、地方标准或者其他标准、规范：</w:t>
      </w:r>
    </w:p>
    <w:p w14:paraId="34AEB7A0">
      <w:pPr>
        <w:tabs>
          <w:tab w:val="left" w:pos="900"/>
        </w:tabs>
        <w:spacing w:line="360" w:lineRule="auto"/>
        <w:ind w:firstLine="420" w:firstLineChars="20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4F392D6A">
      <w:pPr>
        <w:pStyle w:val="2"/>
        <w:spacing w:before="0" w:after="0" w:line="360" w:lineRule="auto"/>
        <w:rPr>
          <w:sz w:val="21"/>
          <w:szCs w:val="21"/>
        </w:rPr>
      </w:pPr>
      <w:r>
        <w:rPr>
          <w:rFonts w:hint="eastAsia"/>
          <w:sz w:val="21"/>
          <w:szCs w:val="21"/>
        </w:rPr>
        <w:t>三、采购标的概况</w:t>
      </w:r>
    </w:p>
    <w:p w14:paraId="5F901E90">
      <w:pPr>
        <w:spacing w:before="156" w:beforeLines="50" w:line="360" w:lineRule="auto"/>
        <w:rPr>
          <w:rFonts w:hAnsi="宋体"/>
          <w:szCs w:val="21"/>
        </w:rPr>
      </w:pPr>
      <w:r>
        <w:rPr>
          <w:rFonts w:hint="eastAsia" w:ascii="宋体" w:hAnsi="宋体"/>
          <w:szCs w:val="21"/>
        </w:rPr>
        <w:t>（一）采购项目名称：</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创新港业务与数据支撑平台建设</w:t>
      </w:r>
      <w:r>
        <w:rPr>
          <w:rFonts w:ascii="宋体" w:hAnsi="宋体"/>
          <w:szCs w:val="21"/>
          <w:u w:val="single"/>
        </w:rPr>
        <w:t xml:space="preserve">     </w:t>
      </w:r>
    </w:p>
    <w:p w14:paraId="36F15919">
      <w:pPr>
        <w:spacing w:before="156" w:beforeLines="50" w:line="360" w:lineRule="auto"/>
        <w:rPr>
          <w:rFonts w:hAnsi="宋体"/>
          <w:szCs w:val="21"/>
          <w:u w:val="single"/>
        </w:rPr>
      </w:pPr>
      <w:r>
        <w:rPr>
          <w:rFonts w:hint="eastAsia" w:hAnsi="宋体"/>
          <w:szCs w:val="21"/>
        </w:rPr>
        <w:t>（二）采购数量及计量单位：</w:t>
      </w:r>
      <w:r>
        <w:rPr>
          <w:rFonts w:hAnsi="宋体"/>
          <w:szCs w:val="21"/>
          <w:u w:val="single"/>
        </w:rPr>
        <w:t xml:space="preserve">    1</w:t>
      </w:r>
      <w:r>
        <w:rPr>
          <w:rFonts w:hint="eastAsia" w:hAnsi="宋体"/>
          <w:szCs w:val="21"/>
          <w:u w:val="single"/>
        </w:rPr>
        <w:t xml:space="preserve">套 </w:t>
      </w:r>
      <w:r>
        <w:rPr>
          <w:rFonts w:hAnsi="宋体"/>
          <w:szCs w:val="21"/>
          <w:u w:val="single"/>
        </w:rPr>
        <w:t xml:space="preserve">   </w:t>
      </w:r>
    </w:p>
    <w:p w14:paraId="63F3E54D">
      <w:pPr>
        <w:spacing w:before="156" w:beforeLines="50" w:line="360" w:lineRule="auto"/>
        <w:rPr>
          <w:rFonts w:hAnsi="宋体"/>
          <w:szCs w:val="21"/>
        </w:rPr>
      </w:pPr>
      <w:r>
        <w:rPr>
          <w:rFonts w:hint="eastAsia" w:hAnsi="宋体"/>
          <w:szCs w:val="21"/>
        </w:rPr>
        <w:t>（三）最高限价：人民币</w:t>
      </w:r>
      <w:r>
        <w:rPr>
          <w:rFonts w:hint="eastAsia" w:hAnsi="宋体"/>
          <w:szCs w:val="21"/>
          <w:u w:val="single"/>
        </w:rPr>
        <w:t xml:space="preserve"> </w:t>
      </w:r>
      <w:r>
        <w:rPr>
          <w:rFonts w:hAnsi="宋体"/>
          <w:szCs w:val="21"/>
          <w:u w:val="single"/>
        </w:rPr>
        <w:t xml:space="preserve">   500</w:t>
      </w:r>
      <w:r>
        <w:rPr>
          <w:rFonts w:hint="eastAsia" w:hAnsi="宋体"/>
          <w:szCs w:val="21"/>
          <w:u w:val="single"/>
        </w:rPr>
        <w:t>万</w:t>
      </w:r>
      <w:r>
        <w:rPr>
          <w:rFonts w:hAnsi="宋体"/>
          <w:szCs w:val="21"/>
          <w:u w:val="single"/>
        </w:rPr>
        <w:t xml:space="preserve">    </w:t>
      </w:r>
      <w:r>
        <w:rPr>
          <w:rFonts w:hAnsi="宋体"/>
          <w:szCs w:val="21"/>
        </w:rPr>
        <w:t xml:space="preserve"> </w:t>
      </w:r>
      <w:r>
        <w:rPr>
          <w:rFonts w:hint="eastAsia" w:hAnsi="宋体"/>
          <w:szCs w:val="21"/>
        </w:rPr>
        <w:t>元。其中，标段一限价人民币</w:t>
      </w:r>
      <w:r>
        <w:rPr>
          <w:rFonts w:hint="eastAsia" w:hAnsi="宋体"/>
          <w:szCs w:val="21"/>
          <w:u w:val="single"/>
        </w:rPr>
        <w:t xml:space="preserve"> </w:t>
      </w:r>
      <w:r>
        <w:rPr>
          <w:rFonts w:hAnsi="宋体"/>
          <w:szCs w:val="21"/>
          <w:u w:val="single"/>
        </w:rPr>
        <w:t xml:space="preserve">  175</w:t>
      </w:r>
      <w:r>
        <w:rPr>
          <w:rFonts w:hint="eastAsia" w:hAnsi="宋体"/>
          <w:szCs w:val="21"/>
          <w:u w:val="single"/>
        </w:rPr>
        <w:t xml:space="preserve">万 </w:t>
      </w:r>
      <w:r>
        <w:rPr>
          <w:rFonts w:hAnsi="宋体"/>
          <w:szCs w:val="21"/>
          <w:u w:val="single"/>
        </w:rPr>
        <w:t xml:space="preserve"> </w:t>
      </w:r>
      <w:r>
        <w:rPr>
          <w:rFonts w:hint="eastAsia" w:hAnsi="宋体"/>
          <w:szCs w:val="21"/>
        </w:rPr>
        <w:t>元，标段二限价人民币</w:t>
      </w:r>
      <w:r>
        <w:rPr>
          <w:rFonts w:hint="eastAsia" w:hAnsi="宋体"/>
          <w:szCs w:val="21"/>
          <w:u w:val="single"/>
        </w:rPr>
        <w:t xml:space="preserve"> </w:t>
      </w:r>
      <w:r>
        <w:rPr>
          <w:rFonts w:hAnsi="宋体"/>
          <w:szCs w:val="21"/>
          <w:u w:val="single"/>
        </w:rPr>
        <w:t xml:space="preserve">  105</w:t>
      </w:r>
      <w:r>
        <w:rPr>
          <w:rFonts w:hint="eastAsia" w:hAnsi="宋体"/>
          <w:szCs w:val="21"/>
          <w:u w:val="single"/>
        </w:rPr>
        <w:t xml:space="preserve">万 </w:t>
      </w:r>
      <w:r>
        <w:rPr>
          <w:rFonts w:hAnsi="宋体"/>
          <w:szCs w:val="21"/>
          <w:u w:val="single"/>
        </w:rPr>
        <w:t xml:space="preserve"> </w:t>
      </w:r>
      <w:r>
        <w:rPr>
          <w:rFonts w:hint="eastAsia" w:hAnsi="宋体"/>
          <w:szCs w:val="21"/>
        </w:rPr>
        <w:t>元，标段三限价人民币</w:t>
      </w:r>
      <w:r>
        <w:rPr>
          <w:rFonts w:hint="eastAsia" w:hAnsi="宋体"/>
          <w:szCs w:val="21"/>
          <w:u w:val="single"/>
        </w:rPr>
        <w:t xml:space="preserve"> </w:t>
      </w:r>
      <w:r>
        <w:rPr>
          <w:rFonts w:hAnsi="宋体"/>
          <w:szCs w:val="21"/>
          <w:u w:val="single"/>
        </w:rPr>
        <w:t xml:space="preserve">  45</w:t>
      </w:r>
      <w:r>
        <w:rPr>
          <w:rFonts w:hint="eastAsia" w:hAnsi="宋体"/>
          <w:szCs w:val="21"/>
          <w:u w:val="single"/>
        </w:rPr>
        <w:t xml:space="preserve">万 </w:t>
      </w:r>
      <w:r>
        <w:rPr>
          <w:rFonts w:hAnsi="宋体"/>
          <w:szCs w:val="21"/>
          <w:u w:val="single"/>
        </w:rPr>
        <w:t xml:space="preserve"> </w:t>
      </w:r>
      <w:r>
        <w:rPr>
          <w:rFonts w:hint="eastAsia" w:hAnsi="宋体"/>
          <w:szCs w:val="21"/>
        </w:rPr>
        <w:t>元，标段四限价人民币</w:t>
      </w:r>
      <w:r>
        <w:rPr>
          <w:rFonts w:hint="eastAsia" w:hAnsi="宋体"/>
          <w:szCs w:val="21"/>
          <w:u w:val="single"/>
        </w:rPr>
        <w:t xml:space="preserve"> </w:t>
      </w:r>
      <w:r>
        <w:rPr>
          <w:rFonts w:hAnsi="宋体"/>
          <w:szCs w:val="21"/>
          <w:u w:val="single"/>
        </w:rPr>
        <w:t xml:space="preserve">  175</w:t>
      </w:r>
      <w:r>
        <w:rPr>
          <w:rFonts w:hint="eastAsia" w:hAnsi="宋体"/>
          <w:szCs w:val="21"/>
          <w:u w:val="single"/>
        </w:rPr>
        <w:t>万</w:t>
      </w:r>
      <w:r>
        <w:rPr>
          <w:rFonts w:hAnsi="宋体"/>
          <w:szCs w:val="21"/>
          <w:u w:val="single"/>
        </w:rPr>
        <w:t xml:space="preserve">   </w:t>
      </w:r>
      <w:r>
        <w:rPr>
          <w:rFonts w:hint="eastAsia" w:hAnsi="宋体"/>
          <w:szCs w:val="21"/>
        </w:rPr>
        <w:t>元。</w:t>
      </w:r>
    </w:p>
    <w:p w14:paraId="1EB0B748">
      <w:pPr>
        <w:spacing w:before="156" w:beforeLines="50" w:line="360" w:lineRule="auto"/>
        <w:rPr>
          <w:szCs w:val="21"/>
        </w:rPr>
      </w:pPr>
      <w:r>
        <w:rPr>
          <w:rFonts w:hint="eastAsia" w:hAnsi="宋体"/>
          <w:szCs w:val="21"/>
        </w:rPr>
        <w:t>（四）</w:t>
      </w:r>
      <w:r>
        <w:rPr>
          <w:rFonts w:hAnsi="宋体"/>
          <w:szCs w:val="21"/>
        </w:rPr>
        <w:t>交付时间：</w:t>
      </w:r>
      <w:r>
        <w:rPr>
          <w:rFonts w:hint="eastAsia" w:hAnsi="宋体"/>
          <w:szCs w:val="21"/>
        </w:rPr>
        <w:t>标段一、标段二、标段三为</w:t>
      </w:r>
      <w:r>
        <w:rPr>
          <w:rFonts w:hAnsi="宋体"/>
        </w:rPr>
        <w:t>合同签订后</w:t>
      </w:r>
      <w:r>
        <w:rPr>
          <w:rFonts w:hAnsi="宋体"/>
          <w:u w:val="single"/>
        </w:rPr>
        <w:t xml:space="preserve">  120  </w:t>
      </w:r>
      <w:r>
        <w:rPr>
          <w:rFonts w:hint="eastAsia" w:hAnsi="宋体"/>
        </w:rPr>
        <w:t>天内，</w:t>
      </w:r>
      <w:r>
        <w:rPr>
          <w:rFonts w:hint="eastAsia" w:hAnsi="宋体"/>
          <w:szCs w:val="21"/>
        </w:rPr>
        <w:t>标段四</w:t>
      </w:r>
      <w:r>
        <w:rPr>
          <w:rFonts w:hint="eastAsia" w:hAnsi="宋体"/>
        </w:rPr>
        <w:t>为</w:t>
      </w:r>
      <w:r>
        <w:rPr>
          <w:rFonts w:hAnsi="宋体"/>
        </w:rPr>
        <w:t>合同签订后</w:t>
      </w:r>
      <w:r>
        <w:rPr>
          <w:rFonts w:hAnsi="宋体"/>
          <w:u w:val="single"/>
        </w:rPr>
        <w:t xml:space="preserve">  30  </w:t>
      </w:r>
      <w:r>
        <w:rPr>
          <w:rFonts w:hint="eastAsia" w:hAnsi="宋体"/>
        </w:rPr>
        <w:t>天内。</w:t>
      </w:r>
    </w:p>
    <w:p w14:paraId="7C7405BE">
      <w:pPr>
        <w:tabs>
          <w:tab w:val="left" w:pos="900"/>
        </w:tabs>
        <w:spacing w:before="156" w:beforeLines="50" w:line="360" w:lineRule="auto"/>
        <w:rPr>
          <w:rFonts w:hAnsi="宋体"/>
          <w:szCs w:val="21"/>
        </w:rPr>
      </w:pPr>
      <w:r>
        <w:rPr>
          <w:rFonts w:hint="eastAsia" w:hAnsi="宋体"/>
          <w:szCs w:val="21"/>
        </w:rPr>
        <w:t>（五）</w:t>
      </w:r>
      <w:r>
        <w:rPr>
          <w:rFonts w:hAnsi="宋体"/>
          <w:szCs w:val="21"/>
        </w:rPr>
        <w:t>交付地点：</w:t>
      </w:r>
      <w:r>
        <w:rPr>
          <w:rFonts w:hint="eastAsia" w:hAnsi="宋体"/>
          <w:szCs w:val="21"/>
          <w:u w:val="single"/>
        </w:rPr>
        <w:t xml:space="preserve">  </w:t>
      </w:r>
      <w:r>
        <w:rPr>
          <w:rFonts w:hAnsi="宋体"/>
          <w:szCs w:val="21"/>
          <w:u w:val="single"/>
        </w:rPr>
        <w:t xml:space="preserve">   </w:t>
      </w:r>
      <w:r>
        <w:rPr>
          <w:rFonts w:hint="eastAsia" w:ascii="宋体" w:hAnsi="宋体" w:cs="宋体"/>
          <w:szCs w:val="21"/>
          <w:u w:val="single"/>
        </w:rPr>
        <w:t>西安交通大学创新港校区</w:t>
      </w:r>
      <w:r>
        <w:rPr>
          <w:rFonts w:hAnsi="宋体"/>
          <w:szCs w:val="21"/>
          <w:u w:val="single"/>
        </w:rPr>
        <w:t xml:space="preserve">     </w:t>
      </w:r>
      <w:r>
        <w:rPr>
          <w:rFonts w:hint="eastAsia" w:hAnsi="宋体"/>
          <w:szCs w:val="21"/>
        </w:rPr>
        <w:t>。</w:t>
      </w:r>
    </w:p>
    <w:p w14:paraId="3872C103">
      <w:pPr>
        <w:tabs>
          <w:tab w:val="left" w:pos="900"/>
        </w:tabs>
        <w:spacing w:before="156" w:beforeLines="50" w:line="360" w:lineRule="auto"/>
        <w:rPr>
          <w:rFonts w:hAnsi="宋体"/>
          <w:szCs w:val="21"/>
        </w:rPr>
      </w:pPr>
      <w:r>
        <w:rPr>
          <w:rFonts w:hint="eastAsia" w:hAnsi="宋体"/>
          <w:szCs w:val="21"/>
        </w:rPr>
        <w:t>（六）付款进度安排：</w:t>
      </w:r>
      <w:r>
        <w:rPr>
          <w:rFonts w:hint="eastAsia" w:hAnsi="宋体"/>
          <w:szCs w:val="21"/>
          <w:u w:val="single"/>
        </w:rPr>
        <w:t xml:space="preserve">  </w:t>
      </w:r>
      <w:r>
        <w:rPr>
          <w:rFonts w:hAnsi="宋体"/>
          <w:szCs w:val="21"/>
          <w:u w:val="single"/>
        </w:rPr>
        <w:t xml:space="preserve">  </w:t>
      </w:r>
      <w:r>
        <w:rPr>
          <w:rFonts w:hint="eastAsia" w:hAnsi="宋体"/>
          <w:szCs w:val="21"/>
          <w:u w:val="single"/>
        </w:rPr>
        <w:t xml:space="preserve">合同签订后，中标人支付合同金额的10%作为履约保证金，验收合格后付合同款，质保一年后无任何质量问题无息返还履约保证金 </w:t>
      </w:r>
      <w:r>
        <w:rPr>
          <w:rFonts w:hAnsi="宋体"/>
          <w:szCs w:val="21"/>
          <w:u w:val="single"/>
        </w:rPr>
        <w:t xml:space="preserve">   </w:t>
      </w:r>
      <w:r>
        <w:rPr>
          <w:rFonts w:hint="eastAsia" w:hAnsi="宋体"/>
          <w:szCs w:val="21"/>
        </w:rPr>
        <w:t>。</w:t>
      </w:r>
    </w:p>
    <w:p w14:paraId="25635A1F">
      <w:pPr>
        <w:pStyle w:val="2"/>
        <w:spacing w:before="0" w:after="0" w:line="360" w:lineRule="auto"/>
        <w:rPr>
          <w:sz w:val="21"/>
          <w:szCs w:val="21"/>
        </w:rPr>
      </w:pPr>
      <w:r>
        <w:rPr>
          <w:rFonts w:hint="eastAsia"/>
          <w:sz w:val="21"/>
          <w:szCs w:val="21"/>
        </w:rPr>
        <w:t>四、采购标的需满足的质量、安全、技术规格、物理特性等要求：</w:t>
      </w:r>
    </w:p>
    <w:p w14:paraId="4A66066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标注★的指标为实质性指标，负偏离或不响应为无效投标。标▲项必须提供有效佐证材料。</w:t>
      </w:r>
    </w:p>
    <w:p w14:paraId="4C973964">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本项目属于交钥匙工程，</w:t>
      </w:r>
      <w:r>
        <w:rPr>
          <w:rFonts w:hint="eastAsia" w:asciiTheme="minorEastAsia" w:hAnsiTheme="minorEastAsia" w:eastAsiaTheme="minorEastAsia"/>
          <w:szCs w:val="21"/>
        </w:rPr>
        <w:t>需要实现本标书的全部</w:t>
      </w:r>
      <w:r>
        <w:rPr>
          <w:rFonts w:asciiTheme="minorEastAsia" w:hAnsiTheme="minorEastAsia" w:eastAsiaTheme="minorEastAsia"/>
          <w:szCs w:val="21"/>
        </w:rPr>
        <w:t>功能需求，</w:t>
      </w:r>
      <w:r>
        <w:rPr>
          <w:rFonts w:hint="eastAsia" w:asciiTheme="minorEastAsia" w:hAnsiTheme="minorEastAsia" w:eastAsiaTheme="minorEastAsia"/>
          <w:szCs w:val="21"/>
        </w:rPr>
        <w:t>投标人负责完成所有软件的开发、测试等工作，与其他系统的对接产生的费用等包含在招标总体费用中，采购人将不再另外支付任何与其他系统的对接费用。</w:t>
      </w:r>
      <w:r>
        <w:rPr>
          <w:rFonts w:asciiTheme="minorEastAsia" w:hAnsiTheme="minorEastAsia" w:eastAsiaTheme="minorEastAsia"/>
          <w:szCs w:val="21"/>
        </w:rPr>
        <w:t>本项目需要在满足功能需求的基础上与</w:t>
      </w:r>
      <w:r>
        <w:rPr>
          <w:rFonts w:hint="eastAsia" w:asciiTheme="minorEastAsia" w:hAnsiTheme="minorEastAsia" w:eastAsiaTheme="minorEastAsia"/>
          <w:szCs w:val="21"/>
        </w:rPr>
        <w:t>学校</w:t>
      </w:r>
      <w:r>
        <w:rPr>
          <w:rFonts w:asciiTheme="minorEastAsia" w:hAnsiTheme="minorEastAsia" w:eastAsiaTheme="minorEastAsia"/>
          <w:szCs w:val="21"/>
        </w:rPr>
        <w:t>现有</w:t>
      </w:r>
      <w:r>
        <w:rPr>
          <w:rFonts w:hint="eastAsia" w:asciiTheme="minorEastAsia" w:hAnsiTheme="minorEastAsia" w:eastAsiaTheme="minorEastAsia"/>
          <w:szCs w:val="21"/>
        </w:rPr>
        <w:t>管理规则及相关业务</w:t>
      </w:r>
      <w:r>
        <w:rPr>
          <w:rFonts w:asciiTheme="minorEastAsia" w:hAnsiTheme="minorEastAsia" w:eastAsiaTheme="minorEastAsia"/>
          <w:szCs w:val="21"/>
        </w:rPr>
        <w:t>兼容</w:t>
      </w:r>
      <w:r>
        <w:rPr>
          <w:rFonts w:hint="eastAsia" w:asciiTheme="minorEastAsia" w:hAnsiTheme="minorEastAsia" w:eastAsiaTheme="minorEastAsia"/>
          <w:szCs w:val="21"/>
        </w:rPr>
        <w:t>并</w:t>
      </w:r>
      <w:r>
        <w:rPr>
          <w:rFonts w:asciiTheme="minorEastAsia" w:hAnsiTheme="minorEastAsia" w:eastAsiaTheme="minorEastAsia"/>
          <w:szCs w:val="21"/>
        </w:rPr>
        <w:t>统一管理</w:t>
      </w:r>
      <w:r>
        <w:rPr>
          <w:rFonts w:hint="eastAsia" w:asciiTheme="minorEastAsia" w:hAnsiTheme="minorEastAsia" w:eastAsiaTheme="minorEastAsia"/>
          <w:szCs w:val="21"/>
        </w:rPr>
        <w:t>。</w:t>
      </w:r>
    </w:p>
    <w:p w14:paraId="619F04B3">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本次平台建设分为四个标段，标段一为数据集成与服务平台，标段二为专题数据库建设，标段三为大数据应用及分析，标段四为服务器及配件。本项目四个标段可兼投不可兼中。</w:t>
      </w:r>
    </w:p>
    <w:p w14:paraId="0C448C97">
      <w:pPr>
        <w:tabs>
          <w:tab w:val="left" w:pos="480"/>
        </w:tabs>
        <w:spacing w:line="360" w:lineRule="auto"/>
        <w:ind w:firstLine="424" w:firstLineChars="202"/>
        <w:rPr>
          <w:rFonts w:ascii="宋体" w:hAnsi="宋体"/>
        </w:rPr>
      </w:pPr>
    </w:p>
    <w:p w14:paraId="72D5CF05">
      <w:pPr>
        <w:pStyle w:val="3"/>
        <w:spacing w:before="0" w:after="0" w:line="415"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标段二：专题数据库建设</w:t>
      </w:r>
    </w:p>
    <w:p w14:paraId="6627C377">
      <w:pPr>
        <w:pStyle w:val="4"/>
        <w:numPr>
          <w:ilvl w:val="0"/>
          <w:numId w:val="1"/>
        </w:numPr>
        <w:spacing w:before="0" w:after="0" w:line="415" w:lineRule="auto"/>
        <w:rPr>
          <w:sz w:val="21"/>
          <w:szCs w:val="21"/>
        </w:rPr>
      </w:pPr>
      <w:r>
        <w:rPr>
          <w:rFonts w:hint="eastAsia"/>
          <w:sz w:val="21"/>
          <w:szCs w:val="21"/>
        </w:rPr>
        <w:t>功能性需求</w:t>
      </w:r>
    </w:p>
    <w:p w14:paraId="6A3DF8A1">
      <w:pPr>
        <w:pStyle w:val="5"/>
        <w:numPr>
          <w:ilvl w:val="0"/>
          <w:numId w:val="2"/>
        </w:numPr>
        <w:ind w:left="709" w:hanging="567"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专题数据治理</w:t>
      </w:r>
    </w:p>
    <w:p w14:paraId="565BD755">
      <w:pPr>
        <w:tabs>
          <w:tab w:val="left" w:pos="480"/>
        </w:tabs>
        <w:spacing w:line="360" w:lineRule="auto"/>
        <w:ind w:firstLine="424" w:firstLineChars="202"/>
        <w:rPr>
          <w:rFonts w:ascii="宋体" w:hAnsi="宋体"/>
        </w:rPr>
      </w:pPr>
      <w:r>
        <w:rPr>
          <w:rFonts w:hint="eastAsia" w:ascii="宋体" w:hAnsi="宋体"/>
        </w:rPr>
        <w:t>为了</w:t>
      </w:r>
      <w:r>
        <w:rPr>
          <w:rFonts w:ascii="宋体" w:hAnsi="宋体"/>
        </w:rPr>
        <w:t>驱动</w:t>
      </w:r>
      <w:r>
        <w:rPr>
          <w:rFonts w:hint="eastAsia" w:ascii="宋体" w:hAnsi="宋体"/>
        </w:rPr>
        <w:t>数据</w:t>
      </w:r>
      <w:r>
        <w:rPr>
          <w:rFonts w:ascii="宋体" w:hAnsi="宋体"/>
        </w:rPr>
        <w:t>资源从分散管理向系统化资产转化</w:t>
      </w:r>
      <w:r>
        <w:rPr>
          <w:rFonts w:hint="eastAsia" w:ascii="宋体" w:hAnsi="宋体"/>
          <w:lang w:eastAsia="zh-CN"/>
        </w:rPr>
        <w:t>，</w:t>
      </w:r>
      <w:r>
        <w:rPr>
          <w:rFonts w:ascii="宋体" w:hAnsi="宋体"/>
        </w:rPr>
        <w:t>打破传统部门间、系统间的信息壁垒，</w:t>
      </w:r>
      <w:r>
        <w:rPr>
          <w:rFonts w:hint="eastAsia" w:ascii="宋体" w:hAnsi="宋体"/>
        </w:rPr>
        <w:t>需要对分散、规范不统一的数据进行专题化处理，并且依</w:t>
      </w:r>
      <w:r>
        <w:rPr>
          <w:rFonts w:ascii="宋体" w:hAnsi="宋体"/>
        </w:rPr>
        <w:t>托智能化管理系统，实现资源自动分类、标签化及</w:t>
      </w:r>
      <w:r>
        <w:rPr>
          <w:rFonts w:hint="eastAsia" w:ascii="宋体" w:hAnsi="宋体"/>
        </w:rPr>
        <w:t>一致性等处理，实现分散数据的集成汇聚工作，</w:t>
      </w:r>
      <w:r>
        <w:rPr>
          <w:rFonts w:ascii="宋体" w:hAnsi="宋体"/>
        </w:rPr>
        <w:t>为学校数据共享奠定基础</w:t>
      </w:r>
      <w:r>
        <w:rPr>
          <w:rFonts w:hint="eastAsia" w:ascii="宋体" w:hAnsi="宋体"/>
        </w:rPr>
        <w:t>，并可根据学校业务发展的需求进行扩展。</w:t>
      </w:r>
    </w:p>
    <w:p w14:paraId="6551110D">
      <w:pPr>
        <w:pStyle w:val="6"/>
        <w:numPr>
          <w:ilvl w:val="0"/>
          <w:numId w:val="3"/>
        </w:numPr>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基础数据对接和管理</w:t>
      </w:r>
    </w:p>
    <w:p w14:paraId="54B2A7D4">
      <w:pPr>
        <w:tabs>
          <w:tab w:val="left" w:pos="480"/>
        </w:tabs>
        <w:spacing w:line="360" w:lineRule="auto"/>
        <w:ind w:firstLine="424" w:firstLineChars="202"/>
        <w:rPr>
          <w:rFonts w:ascii="宋体" w:hAnsi="宋体"/>
        </w:rPr>
      </w:pPr>
      <w:r>
        <w:rPr>
          <w:rFonts w:hint="eastAsia" w:ascii="宋体" w:hAnsi="宋体"/>
        </w:rPr>
        <w:t>本次建设需根据学校数据治理成果以及根据业务需求与学校业务系统进行对接，实现数据的对接及管理，具体要求如下：</w:t>
      </w:r>
    </w:p>
    <w:p w14:paraId="76CC62A6">
      <w:pPr>
        <w:numPr>
          <w:ilvl w:val="0"/>
          <w:numId w:val="4"/>
        </w:numPr>
        <w:spacing w:line="360" w:lineRule="auto"/>
        <w:rPr>
          <w:rFonts w:ascii="宋体" w:hAnsi="宋体" w:cs="宋体"/>
        </w:rPr>
      </w:pPr>
      <w:r>
        <w:rPr>
          <w:rFonts w:hint="eastAsia" w:ascii="宋体" w:hAnsi="宋体" w:cs="宋体"/>
        </w:rPr>
        <w:t>可实现</w:t>
      </w:r>
      <w:r>
        <w:rPr>
          <w:rFonts w:hint="eastAsia" w:ascii="宋体" w:hAnsi="宋体" w:cs="宋体"/>
          <w:lang w:val="en-US" w:eastAsia="zh-CN"/>
        </w:rPr>
        <w:t>与</w:t>
      </w:r>
      <w:r>
        <w:rPr>
          <w:rFonts w:hint="eastAsia" w:ascii="宋体" w:hAnsi="宋体" w:cs="宋体"/>
        </w:rPr>
        <w:t>数据来源系统的对接和管理，为方便管理，可按来源库与目标库的维度对数据源进行分类管理，也可支持添加数据源标识与责任单位，支持对数据源进行新增、编辑、测试、复制、停用、启用、删除等操作</w:t>
      </w:r>
      <w:r>
        <w:rPr>
          <w:rFonts w:hint="eastAsia" w:ascii="宋体" w:hAnsi="宋体" w:cs="宋体"/>
          <w:lang w:val="en-US" w:eastAsia="zh-CN"/>
        </w:rPr>
        <w:t>。</w:t>
      </w:r>
    </w:p>
    <w:p w14:paraId="183F14F3">
      <w:pPr>
        <w:numPr>
          <w:ilvl w:val="0"/>
          <w:numId w:val="4"/>
        </w:numPr>
        <w:spacing w:line="360" w:lineRule="auto"/>
        <w:rPr>
          <w:rFonts w:ascii="宋体" w:hAnsi="宋体" w:cs="宋体"/>
        </w:rPr>
      </w:pPr>
      <w:r>
        <w:rPr>
          <w:rFonts w:hint="eastAsia" w:ascii="宋体" w:hAnsi="宋体" w:cs="宋体"/>
        </w:rPr>
        <w:t>支持通过可视化、零代码的方式实现对基础数据的数据清洗转换、加工、处理及管理等功能，实现不同部门、不同数据源中数据的关联合并、数据过滤、数据映射、数据输出等流程化的集中和转换等操作</w:t>
      </w:r>
      <w:r>
        <w:rPr>
          <w:rFonts w:hint="eastAsia" w:ascii="宋体" w:hAnsi="宋体" w:cs="宋体"/>
          <w:lang w:eastAsia="zh-CN"/>
        </w:rPr>
        <w:t>。</w:t>
      </w:r>
    </w:p>
    <w:p w14:paraId="0DB803C7">
      <w:pPr>
        <w:numPr>
          <w:ilvl w:val="0"/>
          <w:numId w:val="4"/>
        </w:numPr>
        <w:spacing w:line="360" w:lineRule="auto"/>
        <w:rPr>
          <w:rFonts w:ascii="宋体" w:hAnsi="宋体" w:cs="宋体"/>
        </w:rPr>
      </w:pPr>
      <w:r>
        <w:rPr>
          <w:rFonts w:hint="eastAsia" w:ascii="宋体" w:hAnsi="宋体" w:cs="宋体"/>
        </w:rPr>
        <w:t>支持对数据操作的自动化处理及对处理情况进行监控，并可通过健康度指标来反映任务在近期运行中的稳定程度，需通过不同颜色来区分展示。</w:t>
      </w:r>
    </w:p>
    <w:p w14:paraId="2967DAC4">
      <w:pPr>
        <w:pStyle w:val="6"/>
        <w:numPr>
          <w:ilvl w:val="0"/>
          <w:numId w:val="3"/>
        </w:numPr>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用户身份数据管理与整合</w:t>
      </w:r>
    </w:p>
    <w:p w14:paraId="4ED6FB8F">
      <w:pPr>
        <w:tabs>
          <w:tab w:val="left" w:pos="480"/>
        </w:tabs>
        <w:spacing w:line="360" w:lineRule="auto"/>
        <w:ind w:firstLine="424" w:firstLineChars="202"/>
        <w:rPr>
          <w:rFonts w:ascii="宋体" w:hAnsi="宋体"/>
        </w:rPr>
      </w:pPr>
      <w:r>
        <w:rPr>
          <w:rFonts w:hint="eastAsia" w:ascii="宋体" w:hAnsi="宋体"/>
        </w:rPr>
        <w:t>为了确保用户信息的一致性，应</w:t>
      </w:r>
      <w:r>
        <w:rPr>
          <w:rFonts w:ascii="宋体" w:hAnsi="宋体"/>
        </w:rPr>
        <w:t>全面采集师生的基本信息，形成统一、准确的用户身份数据库。</w:t>
      </w:r>
      <w:r>
        <w:rPr>
          <w:rFonts w:hint="eastAsia" w:ascii="宋体" w:hAnsi="宋体"/>
        </w:rPr>
        <w:t>并且</w:t>
      </w:r>
      <w:r>
        <w:rPr>
          <w:rFonts w:ascii="宋体" w:hAnsi="宋体"/>
        </w:rPr>
        <w:t>构建全生命周期管理体系</w:t>
      </w:r>
      <w:r>
        <w:rPr>
          <w:rFonts w:hint="eastAsia" w:ascii="宋体" w:hAnsi="宋体"/>
        </w:rPr>
        <w:t>，</w:t>
      </w:r>
      <w:r>
        <w:rPr>
          <w:rFonts w:ascii="宋体" w:hAnsi="宋体"/>
        </w:rPr>
        <w:t>当用户信息发生变化，如毕业、入职、岗位调整等，建立动态更新机制</w:t>
      </w:r>
      <w:r>
        <w:rPr>
          <w:rFonts w:hint="eastAsia" w:ascii="宋体" w:hAnsi="宋体"/>
        </w:rPr>
        <w:t>，</w:t>
      </w:r>
      <w:r>
        <w:rPr>
          <w:rFonts w:ascii="宋体" w:hAnsi="宋体"/>
        </w:rPr>
        <w:t>及时对身份信息和权限进行同步更新，维持身份治理的实时性</w:t>
      </w:r>
      <w:r>
        <w:rPr>
          <w:rFonts w:hint="eastAsia" w:ascii="宋体" w:hAnsi="宋体"/>
        </w:rPr>
        <w:t>、一致性</w:t>
      </w:r>
      <w:r>
        <w:rPr>
          <w:rFonts w:ascii="宋体" w:hAnsi="宋体"/>
        </w:rPr>
        <w:t>和有效性。</w:t>
      </w:r>
      <w:r>
        <w:rPr>
          <w:rFonts w:hint="eastAsia" w:ascii="宋体" w:hAnsi="宋体"/>
        </w:rPr>
        <w:t>进而实现用户信息的统一管理和使用，</w:t>
      </w:r>
      <w:r>
        <w:rPr>
          <w:rFonts w:ascii="宋体" w:hAnsi="宋体"/>
        </w:rPr>
        <w:t>提升管理效率，为智慧校园建设提供基础支撑。</w:t>
      </w:r>
    </w:p>
    <w:p w14:paraId="78728B0A">
      <w:pPr>
        <w:pStyle w:val="47"/>
        <w:numPr>
          <w:ilvl w:val="0"/>
          <w:numId w:val="5"/>
        </w:numPr>
        <w:ind w:firstLineChars="0"/>
        <w:rPr>
          <w:rFonts w:asciiTheme="minorEastAsia" w:hAnsiTheme="minorEastAsia" w:eastAsiaTheme="minorEastAsia"/>
          <w:sz w:val="21"/>
          <w:szCs w:val="21"/>
          <w:lang w:eastAsia="zh-Hans"/>
        </w:rPr>
      </w:pPr>
      <w:r>
        <w:rPr>
          <w:rFonts w:asciiTheme="minorEastAsia" w:hAnsiTheme="minorEastAsia" w:eastAsiaTheme="minorEastAsia"/>
          <w:sz w:val="21"/>
          <w:szCs w:val="21"/>
          <w:lang w:eastAsia="zh-Hans"/>
        </w:rPr>
        <w:t>完成全校各类人员身份信息的采集、清洗、分类整合，针对身份数据进行数据补采和数据纠错，同步建</w:t>
      </w:r>
      <w:r>
        <w:rPr>
          <w:rFonts w:hint="eastAsia" w:asciiTheme="minorEastAsia" w:hAnsiTheme="minorEastAsia" w:eastAsiaTheme="minorEastAsia"/>
          <w:sz w:val="21"/>
          <w:szCs w:val="21"/>
          <w:lang w:eastAsia="zh-Hans"/>
        </w:rPr>
        <w:t>招生</w:t>
      </w:r>
      <w:r>
        <w:rPr>
          <w:rFonts w:asciiTheme="minorEastAsia" w:hAnsiTheme="minorEastAsia" w:eastAsiaTheme="minorEastAsia"/>
          <w:sz w:val="21"/>
          <w:szCs w:val="21"/>
          <w:lang w:eastAsia="zh-Hans"/>
        </w:rPr>
        <w:t>、</w:t>
      </w:r>
      <w:r>
        <w:rPr>
          <w:rFonts w:hint="eastAsia" w:asciiTheme="minorEastAsia" w:hAnsiTheme="minorEastAsia" w:eastAsiaTheme="minorEastAsia"/>
          <w:sz w:val="21"/>
          <w:szCs w:val="21"/>
          <w:lang w:eastAsia="zh-Hans"/>
        </w:rPr>
        <w:t>学籍</w:t>
      </w:r>
      <w:r>
        <w:rPr>
          <w:rFonts w:asciiTheme="minorEastAsia" w:hAnsiTheme="minorEastAsia" w:eastAsiaTheme="minorEastAsia"/>
          <w:sz w:val="21"/>
          <w:szCs w:val="21"/>
          <w:lang w:eastAsia="zh-Hans"/>
        </w:rPr>
        <w:t>、</w:t>
      </w:r>
      <w:r>
        <w:rPr>
          <w:rFonts w:hint="eastAsia" w:asciiTheme="minorEastAsia" w:hAnsiTheme="minorEastAsia" w:eastAsiaTheme="minorEastAsia"/>
          <w:sz w:val="21"/>
          <w:szCs w:val="21"/>
          <w:lang w:eastAsia="zh-Hans"/>
        </w:rPr>
        <w:t>就业、教职工、校友等全生命周期管理</w:t>
      </w:r>
      <w:r>
        <w:rPr>
          <w:rFonts w:asciiTheme="minorEastAsia" w:hAnsiTheme="minorEastAsia" w:eastAsiaTheme="minorEastAsia"/>
          <w:sz w:val="21"/>
          <w:szCs w:val="21"/>
          <w:lang w:eastAsia="zh-Hans"/>
        </w:rPr>
        <w:t>。</w:t>
      </w:r>
    </w:p>
    <w:p w14:paraId="5B74F378">
      <w:pPr>
        <w:pStyle w:val="47"/>
        <w:numPr>
          <w:ilvl w:val="0"/>
          <w:numId w:val="5"/>
        </w:numPr>
        <w:ind w:firstLineChars="0"/>
        <w:rPr>
          <w:rFonts w:asciiTheme="minorEastAsia" w:hAnsiTheme="minorEastAsia" w:eastAsiaTheme="minorEastAsia"/>
          <w:sz w:val="21"/>
          <w:szCs w:val="21"/>
          <w:lang w:eastAsia="zh-Hans"/>
        </w:rPr>
      </w:pPr>
      <w:r>
        <w:rPr>
          <w:rFonts w:hint="eastAsia" w:asciiTheme="minorEastAsia" w:hAnsiTheme="minorEastAsia" w:eastAsiaTheme="minorEastAsia"/>
          <w:sz w:val="21"/>
          <w:szCs w:val="21"/>
          <w:lang w:eastAsia="zh-Hans"/>
        </w:rPr>
        <w:t>实现一个人多部门、多角色、多身份关联和管理，实现用户的从本科、研究生、博士、教职工、非在编等类型身份的全链条管理及身份变更追踪。</w:t>
      </w:r>
    </w:p>
    <w:p w14:paraId="0C9EDBDB">
      <w:pPr>
        <w:pStyle w:val="47"/>
        <w:numPr>
          <w:ilvl w:val="0"/>
          <w:numId w:val="5"/>
        </w:numPr>
        <w:ind w:firstLineChars="0"/>
        <w:rPr>
          <w:rFonts w:asciiTheme="minorEastAsia" w:hAnsiTheme="minorEastAsia" w:eastAsiaTheme="minorEastAsia"/>
          <w:sz w:val="21"/>
          <w:szCs w:val="21"/>
          <w:lang w:eastAsia="zh-Hans"/>
        </w:rPr>
      </w:pPr>
      <w:r>
        <w:rPr>
          <w:rFonts w:hint="eastAsia" w:asciiTheme="minorEastAsia" w:hAnsiTheme="minorEastAsia" w:eastAsiaTheme="minorEastAsia"/>
          <w:sz w:val="21"/>
          <w:szCs w:val="21"/>
          <w:lang w:eastAsia="zh-Hans"/>
        </w:rPr>
        <w:t>实现用户的分类及标签管理（如：党员、离退休、校友等信息），并能分类进行统计分析。</w:t>
      </w:r>
    </w:p>
    <w:p w14:paraId="7E8FC451">
      <w:pPr>
        <w:pStyle w:val="47"/>
        <w:numPr>
          <w:ilvl w:val="0"/>
          <w:numId w:val="5"/>
        </w:numPr>
        <w:ind w:firstLineChars="0"/>
        <w:rPr>
          <w:rFonts w:asciiTheme="minorEastAsia" w:hAnsiTheme="minorEastAsia" w:eastAsiaTheme="minorEastAsia"/>
          <w:sz w:val="21"/>
          <w:szCs w:val="21"/>
          <w:lang w:eastAsia="zh-Hans"/>
        </w:rPr>
      </w:pPr>
      <w:r>
        <w:rPr>
          <w:rFonts w:hint="eastAsia" w:asciiTheme="minorEastAsia" w:hAnsiTheme="minorEastAsia" w:eastAsiaTheme="minorEastAsia"/>
          <w:sz w:val="21"/>
          <w:szCs w:val="21"/>
          <w:lang w:eastAsia="zh-Hans"/>
        </w:rPr>
        <w:t>构建用户基本状态建模算法，实现对用户多种状态信息的聚合与计算，依据用户的状态信息对不同的业务需求生成唯一的状态数据，并可根据业务的变化、增加能快速实现状态的更新和增加，以满足各业务需求。</w:t>
      </w:r>
    </w:p>
    <w:p w14:paraId="45652857">
      <w:pPr>
        <w:pStyle w:val="47"/>
        <w:numPr>
          <w:ilvl w:val="0"/>
          <w:numId w:val="5"/>
        </w:numPr>
        <w:ind w:firstLineChars="0"/>
        <w:rPr>
          <w:rFonts w:asciiTheme="minorEastAsia" w:hAnsiTheme="minorEastAsia" w:eastAsiaTheme="minorEastAsia"/>
          <w:sz w:val="21"/>
          <w:szCs w:val="21"/>
          <w:lang w:eastAsia="zh-Hans"/>
        </w:rPr>
      </w:pPr>
      <w:r>
        <w:rPr>
          <w:rFonts w:hint="eastAsia" w:asciiTheme="minorEastAsia" w:hAnsiTheme="minorEastAsia" w:eastAsiaTheme="minorEastAsia"/>
          <w:sz w:val="21"/>
          <w:szCs w:val="21"/>
          <w:lang w:eastAsia="zh-Hans"/>
        </w:rPr>
        <w:t>支根据人员身份模型对数据进行逻辑加工，包括数据清洗、转换、关联等；确保数据的准确性、一致性和完整性，去除重复、错误或无效的数据。</w:t>
      </w:r>
    </w:p>
    <w:p w14:paraId="54C96BE5">
      <w:pPr>
        <w:pStyle w:val="47"/>
        <w:numPr>
          <w:ilvl w:val="0"/>
          <w:numId w:val="5"/>
        </w:numPr>
        <w:ind w:firstLineChars="0"/>
        <w:rPr>
          <w:rFonts w:hint="eastAsia" w:asciiTheme="minorEastAsia" w:hAnsiTheme="minorEastAsia" w:eastAsiaTheme="minorEastAsia"/>
          <w:sz w:val="21"/>
          <w:szCs w:val="21"/>
          <w:lang w:eastAsia="zh-Hans"/>
        </w:rPr>
      </w:pPr>
      <w:r>
        <w:rPr>
          <w:rFonts w:hint="eastAsia" w:asciiTheme="minorEastAsia" w:hAnsiTheme="minorEastAsia" w:eastAsiaTheme="minorEastAsia"/>
          <w:sz w:val="21"/>
          <w:szCs w:val="21"/>
          <w:lang w:eastAsia="zh-Hans"/>
        </w:rPr>
        <w:t>★支持创建身份验证的数据接口，用户传入指定参数后可根据业务需求返回结果数据或通过/不通过等结果集</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支持创建按要求可修改、可写入的</w:t>
      </w:r>
      <w:r>
        <w:rPr>
          <w:rFonts w:hint="eastAsia" w:asciiTheme="minorEastAsia" w:hAnsiTheme="minorEastAsia" w:eastAsiaTheme="minorEastAsia"/>
          <w:sz w:val="21"/>
          <w:szCs w:val="21"/>
          <w:lang w:eastAsia="zh-Hans"/>
        </w:rPr>
        <w:t>数据接口，以满足不同业务需求。</w:t>
      </w:r>
    </w:p>
    <w:p w14:paraId="1EB1D075">
      <w:pPr>
        <w:pStyle w:val="6"/>
        <w:numPr>
          <w:ilvl w:val="0"/>
          <w:numId w:val="3"/>
        </w:numPr>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学生/教工专题库建设</w:t>
      </w:r>
    </w:p>
    <w:p w14:paraId="775E83CF">
      <w:pPr>
        <w:tabs>
          <w:tab w:val="left" w:pos="480"/>
        </w:tabs>
        <w:spacing w:line="360" w:lineRule="auto"/>
        <w:ind w:firstLine="424" w:firstLineChars="202"/>
        <w:rPr>
          <w:rFonts w:ascii="宋体" w:hAnsi="宋体"/>
        </w:rPr>
      </w:pPr>
      <w:r>
        <w:rPr>
          <w:rFonts w:hint="eastAsia" w:ascii="宋体" w:hAnsi="宋体"/>
        </w:rPr>
        <w:t>为了落实《数据安全法》和《个人信息保护法》，进一步确保用户隐私信息安全，需要对用户身份信息进行安全治理，通过将用户证件信息、手机号、照片等信息进行集成和转换，为学校</w:t>
      </w:r>
      <w:r>
        <w:rPr>
          <w:rFonts w:hint="eastAsia" w:ascii="宋体" w:hAnsi="宋体"/>
          <w:szCs w:val="21"/>
        </w:rPr>
        <w:t>会议签到系统、门禁管理系统、智慧宿舍管理系统、访客管理系统、迎新系统等</w:t>
      </w:r>
      <w:r>
        <w:rPr>
          <w:rFonts w:hint="eastAsia" w:ascii="宋体" w:hAnsi="宋体"/>
        </w:rPr>
        <w:t>业务系统提供统一的、安全的用户核验接口，接口标准须满足学校当前业务需求并支持与当前主流的厂商进行对接；所有接口对接均需进行严格的分类、分级以及按条件等授权管理，以确保用户数据安全。</w:t>
      </w:r>
    </w:p>
    <w:p w14:paraId="34D57968">
      <w:pPr>
        <w:pStyle w:val="47"/>
        <w:numPr>
          <w:ilvl w:val="0"/>
          <w:numId w:val="6"/>
        </w:numPr>
        <w:ind w:firstLineChars="0"/>
        <w:rPr>
          <w:rFonts w:ascii="宋体" w:hAnsi="宋体" w:cs="Times New Roman"/>
          <w:sz w:val="21"/>
        </w:rPr>
      </w:pPr>
      <w:r>
        <w:rPr>
          <w:rFonts w:hint="eastAsia" w:ascii="宋体" w:hAnsi="宋体" w:cs="Times New Roman"/>
          <w:sz w:val="21"/>
        </w:rPr>
        <w:t>★系统的组织机构、教职工基础数据、学生基础数据等应与数据源保持一致，并进行统一加工和管理，支持用户所有信息的全生命周期管理。</w:t>
      </w:r>
    </w:p>
    <w:p w14:paraId="601E6EC9">
      <w:pPr>
        <w:pStyle w:val="47"/>
        <w:numPr>
          <w:ilvl w:val="0"/>
          <w:numId w:val="6"/>
        </w:numPr>
        <w:ind w:firstLineChars="0"/>
        <w:rPr>
          <w:rFonts w:ascii="宋体" w:hAnsi="宋体" w:cs="Times New Roman"/>
          <w:sz w:val="21"/>
        </w:rPr>
      </w:pPr>
      <w:r>
        <w:rPr>
          <w:rFonts w:hint="eastAsia" w:ascii="宋体" w:hAnsi="宋体" w:cs="Times New Roman"/>
          <w:sz w:val="21"/>
        </w:rPr>
        <w:t>学生专题库建设：构建学生专题库，包括：基本信息、状态信息、学院信息、书院信息、学籍信息、刷卡信息、课程信息、成绩信息、毕业信息、奖惩信息等信息，根据学生主题库的数据量、数据类型和查询需求，选择并设计适合学生主题库的数据模型及存储存方式，确保所有数据的及时性、准确性和一致性，并可作为基础数据为其它业务系统提供服务。</w:t>
      </w:r>
    </w:p>
    <w:p w14:paraId="5AB6DC50">
      <w:pPr>
        <w:pStyle w:val="47"/>
        <w:numPr>
          <w:ilvl w:val="0"/>
          <w:numId w:val="6"/>
        </w:numPr>
        <w:ind w:firstLineChars="0"/>
        <w:rPr>
          <w:rFonts w:ascii="宋体" w:hAnsi="宋体" w:cs="Times New Roman"/>
          <w:sz w:val="21"/>
        </w:rPr>
      </w:pPr>
      <w:r>
        <w:rPr>
          <w:rFonts w:hint="eastAsia" w:ascii="宋体" w:hAnsi="宋体" w:cs="Times New Roman"/>
          <w:sz w:val="21"/>
        </w:rPr>
        <w:t>教工专题库建设：构建教工专题库，包括：人事基本信息、身份状态信息、组织机构信息、刷卡信息、职称信息、教育经历信息、科研信息等信息，以教工基本信息表为核心表，关联教学、科研、资产等各类信息，便于进行复杂的查询和分析操作。同时应确保所有数据的及时性、准确性和一致性，并可作为基础数据为其它业务系统提供服务。</w:t>
      </w:r>
    </w:p>
    <w:p w14:paraId="26257948">
      <w:pPr>
        <w:pStyle w:val="47"/>
        <w:numPr>
          <w:ilvl w:val="0"/>
          <w:numId w:val="6"/>
        </w:numPr>
        <w:ind w:firstLineChars="0"/>
        <w:rPr>
          <w:rFonts w:ascii="宋体" w:hAnsi="宋体" w:cs="Times New Roman"/>
          <w:sz w:val="21"/>
        </w:rPr>
      </w:pPr>
      <w:r>
        <w:rPr>
          <w:rFonts w:hint="eastAsia" w:ascii="宋体" w:hAnsi="宋体" w:cs="Times New Roman"/>
          <w:sz w:val="21"/>
        </w:rPr>
        <w:t>实现用户信息的分类分级管理，针对用户敏感及隐私数据（如：证件号码、手机号、行为数据、照片等），根据业务实际要求，可灵活配置数据的加密、脱敏等信息，以确保用户隐私数据安全。</w:t>
      </w:r>
    </w:p>
    <w:p w14:paraId="6E2A8539">
      <w:pPr>
        <w:pStyle w:val="47"/>
        <w:numPr>
          <w:ilvl w:val="0"/>
          <w:numId w:val="6"/>
        </w:numPr>
        <w:ind w:firstLineChars="0"/>
        <w:rPr>
          <w:rFonts w:ascii="宋体" w:hAnsi="宋体" w:cs="Times New Roman"/>
          <w:sz w:val="21"/>
        </w:rPr>
      </w:pPr>
      <w:r>
        <w:rPr>
          <w:rFonts w:hint="eastAsia" w:ascii="宋体" w:hAnsi="宋体" w:cs="Times New Roman"/>
          <w:sz w:val="21"/>
        </w:rPr>
        <w:t>完成对已集成的基础数据进行逻辑加工和处理，处理后的数据统一存储于通用用户数据模型中并未后续数据共享做好准备，支持与外部用户数据接口对接，实现与已对接基础数据的关联、处理和统一管理，供给外部应用进行调用访问，身份库包括但不限于人员信息库、组织架构库等。</w:t>
      </w:r>
    </w:p>
    <w:p w14:paraId="18FD375C">
      <w:pPr>
        <w:pStyle w:val="47"/>
        <w:numPr>
          <w:ilvl w:val="0"/>
          <w:numId w:val="6"/>
        </w:numPr>
        <w:ind w:firstLineChars="0"/>
        <w:rPr>
          <w:rFonts w:ascii="宋体" w:hAnsi="宋体" w:cs="Times New Roman"/>
          <w:sz w:val="21"/>
        </w:rPr>
      </w:pPr>
      <w:r>
        <w:rPr>
          <w:rFonts w:hint="eastAsia" w:ascii="宋体" w:hAnsi="宋体" w:cs="Times New Roman"/>
          <w:sz w:val="21"/>
        </w:rPr>
        <w:t>根据用户信息的敏感级别以及学校管理需求，可进行分类和存储，并支持按权限、有效期等方式授权和查看。</w:t>
      </w:r>
    </w:p>
    <w:p w14:paraId="423EEE48">
      <w:pPr>
        <w:pStyle w:val="6"/>
        <w:numPr>
          <w:ilvl w:val="0"/>
          <w:numId w:val="3"/>
        </w:numPr>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数据接口开发及管理</w:t>
      </w:r>
    </w:p>
    <w:p w14:paraId="03480F0F">
      <w:pPr>
        <w:pStyle w:val="47"/>
        <w:numPr>
          <w:ilvl w:val="0"/>
          <w:numId w:val="7"/>
        </w:numPr>
        <w:ind w:firstLineChars="0"/>
        <w:rPr>
          <w:rFonts w:asciiTheme="minorEastAsia" w:hAnsiTheme="minorEastAsia" w:eastAsiaTheme="minorEastAsia"/>
          <w:sz w:val="21"/>
          <w:szCs w:val="21"/>
          <w:lang w:eastAsia="zh-Hans"/>
        </w:rPr>
      </w:pPr>
      <w:r>
        <w:rPr>
          <w:rFonts w:hint="eastAsia" w:asciiTheme="minorEastAsia" w:hAnsiTheme="minorEastAsia" w:eastAsiaTheme="minorEastAsia"/>
          <w:sz w:val="21"/>
          <w:szCs w:val="21"/>
          <w:lang w:eastAsia="zh-Hans"/>
        </w:rPr>
        <w:t>支持通过开放API、</w:t>
      </w:r>
      <w:r>
        <w:rPr>
          <w:rFonts w:hint="eastAsia" w:asciiTheme="minorEastAsia" w:hAnsiTheme="minorEastAsia" w:eastAsiaTheme="minorEastAsia"/>
          <w:sz w:val="21"/>
          <w:szCs w:val="21"/>
        </w:rPr>
        <w:t>ETL</w:t>
      </w:r>
      <w:r>
        <w:rPr>
          <w:rFonts w:hint="eastAsia" w:asciiTheme="minorEastAsia" w:hAnsiTheme="minorEastAsia" w:eastAsiaTheme="minorEastAsia"/>
          <w:sz w:val="21"/>
          <w:szCs w:val="21"/>
          <w:lang w:eastAsia="zh-Hans"/>
        </w:rPr>
        <w:t>、</w:t>
      </w:r>
      <w:r>
        <w:rPr>
          <w:rFonts w:hint="eastAsia" w:asciiTheme="minorEastAsia" w:hAnsiTheme="minorEastAsia" w:eastAsiaTheme="minorEastAsia"/>
          <w:sz w:val="21"/>
          <w:szCs w:val="21"/>
        </w:rPr>
        <w:t>excel等</w:t>
      </w:r>
      <w:r>
        <w:rPr>
          <w:rFonts w:hint="eastAsia" w:asciiTheme="minorEastAsia" w:hAnsiTheme="minorEastAsia" w:eastAsiaTheme="minorEastAsia"/>
          <w:sz w:val="21"/>
          <w:szCs w:val="21"/>
          <w:lang w:eastAsia="zh-Hans"/>
        </w:rPr>
        <w:t>接口的方式提供给第三方应用进行已治理数据的获取，API接口支持通过数据权限和接口权限保障数据获取安全。</w:t>
      </w:r>
    </w:p>
    <w:p w14:paraId="7E767030">
      <w:pPr>
        <w:pStyle w:val="47"/>
        <w:numPr>
          <w:ilvl w:val="0"/>
          <w:numId w:val="7"/>
        </w:numPr>
        <w:ind w:firstLineChars="0"/>
        <w:rPr>
          <w:rFonts w:asciiTheme="minorEastAsia" w:hAnsiTheme="minorEastAsia" w:eastAsiaTheme="minorEastAsia"/>
          <w:sz w:val="21"/>
          <w:szCs w:val="21"/>
          <w:lang w:eastAsia="zh-Hans"/>
        </w:rPr>
      </w:pPr>
      <w:r>
        <w:rPr>
          <w:rFonts w:hint="eastAsia" w:asciiTheme="minorEastAsia" w:hAnsiTheme="minorEastAsia" w:eastAsiaTheme="minorEastAsia"/>
          <w:sz w:val="21"/>
          <w:szCs w:val="21"/>
          <w:lang w:eastAsia="zh-Hans"/>
        </w:rPr>
        <w:t>支持管理员对接口调用方进行数据权限、接口权限的增、删、改、查授权操作。支持管理员查看待审核、已通过、未通过的申请调用接口的详细信息，同时支持对调用申请进行审批通过、驳回、删除等操作。数据从采集入库、第三方调用等相关传输过程中采用国密算法进行加密、解密处理。</w:t>
      </w:r>
    </w:p>
    <w:p w14:paraId="3A8C4EFB">
      <w:pPr>
        <w:pStyle w:val="47"/>
        <w:numPr>
          <w:ilvl w:val="0"/>
          <w:numId w:val="7"/>
        </w:numPr>
        <w:ind w:firstLineChars="0"/>
        <w:rPr>
          <w:rFonts w:asciiTheme="minorEastAsia" w:hAnsiTheme="minorEastAsia" w:eastAsiaTheme="minorEastAsia"/>
          <w:sz w:val="21"/>
          <w:szCs w:val="21"/>
          <w:lang w:eastAsia="zh-Hans"/>
        </w:rPr>
      </w:pPr>
      <w:r>
        <w:rPr>
          <w:rFonts w:hint="eastAsia" w:asciiTheme="minorEastAsia" w:hAnsiTheme="minorEastAsia" w:eastAsiaTheme="minorEastAsia"/>
          <w:sz w:val="21"/>
          <w:szCs w:val="21"/>
          <w:lang w:eastAsia="zh-Hans"/>
        </w:rPr>
        <w:t>★为了保护人员敏感及隐私数据，支持通过页面的灵活的配置指定数据项的加密、脱敏等信息，以满足不同业务的共享需求。</w:t>
      </w:r>
    </w:p>
    <w:p w14:paraId="3C19B465">
      <w:pPr>
        <w:pStyle w:val="47"/>
        <w:numPr>
          <w:ilvl w:val="0"/>
          <w:numId w:val="7"/>
        </w:numPr>
        <w:ind w:firstLineChars="0"/>
        <w:rPr>
          <w:rFonts w:ascii="宋体" w:hAnsi="宋体" w:cs="Times New Roman"/>
          <w:sz w:val="21"/>
        </w:rPr>
      </w:pPr>
      <w:r>
        <w:rPr>
          <w:rFonts w:hint="eastAsia" w:ascii="宋体" w:hAnsi="宋体" w:cs="Times New Roman"/>
          <w:sz w:val="21"/>
        </w:rPr>
        <w:t>★支持接口创建/授权过程中字段级的加密/脱敏等功能。并且</w:t>
      </w:r>
      <w:r>
        <w:rPr>
          <w:rFonts w:hint="eastAsia" w:ascii="宋体" w:hAnsi="宋体" w:cs="Times New Roman"/>
          <w:sz w:val="21"/>
          <w:lang w:val="en-US" w:eastAsia="zh-CN"/>
        </w:rPr>
        <w:t>根据运行情况</w:t>
      </w:r>
      <w:r>
        <w:rPr>
          <w:rFonts w:ascii="宋体" w:hAnsi="宋体" w:cs="Times New Roman"/>
          <w:sz w:val="21"/>
        </w:rPr>
        <w:t>对</w:t>
      </w:r>
      <w:r>
        <w:rPr>
          <w:rFonts w:hint="eastAsia" w:ascii="宋体" w:hAnsi="宋体" w:cs="Times New Roman"/>
          <w:sz w:val="21"/>
        </w:rPr>
        <w:t>接口</w:t>
      </w:r>
      <w:r>
        <w:rPr>
          <w:rFonts w:hint="eastAsia" w:ascii="宋体" w:hAnsi="宋体" w:cs="Times New Roman"/>
          <w:sz w:val="21"/>
          <w:lang w:val="en-US" w:eastAsia="zh-CN"/>
        </w:rPr>
        <w:t>进行</w:t>
      </w:r>
      <w:r>
        <w:rPr>
          <w:rFonts w:hint="eastAsia" w:ascii="宋体" w:hAnsi="宋体" w:cs="Times New Roman"/>
          <w:sz w:val="21"/>
        </w:rPr>
        <w:t>分析</w:t>
      </w:r>
      <w:r>
        <w:rPr>
          <w:rFonts w:hint="eastAsia" w:ascii="宋体" w:hAnsi="宋体" w:cs="Times New Roman"/>
          <w:sz w:val="21"/>
          <w:lang w:val="en-US" w:eastAsia="zh-CN"/>
        </w:rPr>
        <w:t>和优化</w:t>
      </w:r>
      <w:r>
        <w:rPr>
          <w:rFonts w:hint="eastAsia" w:ascii="宋体" w:hAnsi="宋体" w:cs="Times New Roman"/>
          <w:sz w:val="21"/>
        </w:rPr>
        <w:t>，</w:t>
      </w:r>
      <w:r>
        <w:rPr>
          <w:rFonts w:hint="eastAsia" w:ascii="宋体" w:hAnsi="宋体" w:cs="Times New Roman"/>
          <w:sz w:val="21"/>
          <w:lang w:val="en-US" w:eastAsia="zh-CN"/>
        </w:rPr>
        <w:t>以满足业务系统及数据管理的需求</w:t>
      </w:r>
      <w:r>
        <w:rPr>
          <w:rFonts w:ascii="宋体" w:hAnsi="宋体" w:cs="Times New Roman"/>
          <w:sz w:val="21"/>
        </w:rPr>
        <w:t>。</w:t>
      </w:r>
      <w:r>
        <w:rPr>
          <w:rFonts w:hint="eastAsia" w:ascii="宋体" w:hAnsi="宋体" w:cs="Times New Roman"/>
          <w:sz w:val="21"/>
        </w:rPr>
        <w:t>数据存储上需</w:t>
      </w:r>
      <w:r>
        <w:rPr>
          <w:rFonts w:hint="eastAsia" w:ascii="宋体" w:hAnsi="宋体" w:cs="Times New Roman"/>
          <w:sz w:val="21"/>
          <w:lang w:val="en-US" w:eastAsia="zh-CN"/>
        </w:rPr>
        <w:t>按照学校要求</w:t>
      </w:r>
      <w:r>
        <w:rPr>
          <w:rFonts w:ascii="宋体" w:hAnsi="宋体" w:cs="Times New Roman"/>
          <w:sz w:val="21"/>
        </w:rPr>
        <w:t>设置严格访问权限，只有授权</w:t>
      </w:r>
      <w:r>
        <w:rPr>
          <w:rFonts w:hint="eastAsia" w:ascii="宋体" w:hAnsi="宋体" w:cs="Times New Roman"/>
          <w:sz w:val="21"/>
          <w:lang w:val="en-US" w:eastAsia="zh-CN"/>
        </w:rPr>
        <w:t>用户方可访问</w:t>
      </w:r>
      <w:r>
        <w:rPr>
          <w:rFonts w:ascii="宋体" w:hAnsi="宋体" w:cs="Times New Roman"/>
          <w:sz w:val="21"/>
        </w:rPr>
        <w:t>。</w:t>
      </w:r>
    </w:p>
    <w:p w14:paraId="66F31705">
      <w:pPr>
        <w:pStyle w:val="5"/>
        <w:numPr>
          <w:ilvl w:val="0"/>
          <w:numId w:val="2"/>
        </w:numPr>
        <w:ind w:left="709" w:hanging="567"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智能数据检索</w:t>
      </w:r>
    </w:p>
    <w:p w14:paraId="43797342">
      <w:pPr>
        <w:pStyle w:val="6"/>
        <w:numPr>
          <w:ilvl w:val="0"/>
          <w:numId w:val="8"/>
        </w:numPr>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技术要求</w:t>
      </w:r>
    </w:p>
    <w:p w14:paraId="0309CC17">
      <w:pPr>
        <w:pStyle w:val="47"/>
        <w:numPr>
          <w:ilvl w:val="0"/>
          <w:numId w:val="9"/>
        </w:numPr>
        <w:ind w:firstLineChars="0"/>
        <w:rPr>
          <w:rFonts w:ascii="宋体" w:hAnsi="宋体" w:cs="Times New Roman"/>
          <w:sz w:val="21"/>
        </w:rPr>
      </w:pPr>
      <w:r>
        <w:rPr>
          <w:rFonts w:hint="eastAsia" w:ascii="宋体" w:hAnsi="宋体" w:cs="Times New Roman"/>
          <w:sz w:val="21"/>
        </w:rPr>
        <w:t>为了提升数据检索效率，必须支持负载均衡，支持动态监测负载状况。</w:t>
      </w:r>
    </w:p>
    <w:p w14:paraId="29E74CD9">
      <w:pPr>
        <w:pStyle w:val="47"/>
        <w:numPr>
          <w:ilvl w:val="0"/>
          <w:numId w:val="9"/>
        </w:numPr>
        <w:ind w:firstLineChars="0"/>
        <w:rPr>
          <w:rFonts w:ascii="宋体" w:hAnsi="宋体" w:cs="Times New Roman"/>
          <w:sz w:val="21"/>
        </w:rPr>
      </w:pPr>
      <w:r>
        <w:rPr>
          <w:rFonts w:hint="eastAsia" w:ascii="宋体" w:hAnsi="宋体" w:cs="Times New Roman"/>
          <w:sz w:val="21"/>
        </w:rPr>
        <w:t>基于学校的整体信息化建设要求，平台应考虑与学校统一身份认证无缝集成。</w:t>
      </w:r>
    </w:p>
    <w:p w14:paraId="297BE70B">
      <w:pPr>
        <w:pStyle w:val="47"/>
        <w:numPr>
          <w:ilvl w:val="0"/>
          <w:numId w:val="9"/>
        </w:numPr>
        <w:ind w:firstLineChars="0"/>
        <w:rPr>
          <w:rFonts w:ascii="宋体" w:hAnsi="宋体" w:cs="Times New Roman"/>
          <w:sz w:val="21"/>
        </w:rPr>
      </w:pPr>
      <w:r>
        <w:rPr>
          <w:rFonts w:hint="eastAsia" w:ascii="宋体" w:hAnsi="宋体" w:cs="Times New Roman"/>
          <w:sz w:val="21"/>
        </w:rPr>
        <w:t>利用NL2SQL算法对输入的自然语言进行分词、词性标注、消歧等处理，将完整语句拆分为统计时间、分组条件、筛选条件、统计内容、助词等词性并确定检索筛选关键字；然后根据分词结果对各种可能性进行判断，包括约束判断、优先级判断及频率判断，推测出最有可能的一个或多个意图，并将用户意图转化成SQL或者函数，计算成结果后返回给用户。</w:t>
      </w:r>
      <w:bookmarkStart w:id="6" w:name="_GoBack"/>
      <w:bookmarkEnd w:id="6"/>
    </w:p>
    <w:p w14:paraId="42AB72F2">
      <w:pPr>
        <w:pStyle w:val="47"/>
        <w:numPr>
          <w:ilvl w:val="0"/>
          <w:numId w:val="9"/>
        </w:numPr>
        <w:ind w:firstLineChars="0"/>
        <w:rPr>
          <w:rFonts w:ascii="宋体" w:hAnsi="宋体" w:cs="Times New Roman"/>
          <w:sz w:val="21"/>
        </w:rPr>
      </w:pPr>
      <w:r>
        <w:rPr>
          <w:rFonts w:hint="eastAsia" w:ascii="宋体" w:hAnsi="宋体" w:cs="Times New Roman"/>
          <w:sz w:val="21"/>
        </w:rPr>
        <w:t>支持对不同权限用户组（管理员、学院、教师），界面化配置可查询模型表范围以及模型表列权限、行权限查询范围。</w:t>
      </w:r>
    </w:p>
    <w:p w14:paraId="3E2A3EE6">
      <w:pPr>
        <w:pStyle w:val="47"/>
        <w:numPr>
          <w:ilvl w:val="0"/>
          <w:numId w:val="9"/>
        </w:numPr>
        <w:ind w:firstLineChars="0"/>
        <w:rPr>
          <w:rFonts w:ascii="宋体" w:hAnsi="宋体" w:cs="Times New Roman"/>
          <w:sz w:val="21"/>
        </w:rPr>
      </w:pPr>
      <w:r>
        <w:rPr>
          <w:rFonts w:hint="eastAsia" w:ascii="宋体" w:hAnsi="宋体" w:cs="Times New Roman"/>
          <w:sz w:val="21"/>
        </w:rPr>
        <w:t>支持将模型表结构、表注释传入大模型，大模型自动学习训练模型数据。并生成学习结果（包含数据表功能，各字段解释用途等），可界面化修改微调大模型学习结果。</w:t>
      </w:r>
    </w:p>
    <w:p w14:paraId="75BBE51A">
      <w:pPr>
        <w:pStyle w:val="47"/>
        <w:numPr>
          <w:ilvl w:val="0"/>
          <w:numId w:val="9"/>
        </w:numPr>
        <w:ind w:firstLineChars="0"/>
        <w:rPr>
          <w:rFonts w:ascii="宋体" w:hAnsi="宋体" w:cs="Times New Roman"/>
          <w:sz w:val="21"/>
        </w:rPr>
      </w:pPr>
      <w:r>
        <w:rPr>
          <w:rFonts w:hint="eastAsia" w:ascii="宋体" w:hAnsi="宋体" w:cs="Times New Roman"/>
          <w:sz w:val="21"/>
        </w:rPr>
        <w:t>可界面化输入特定背景知识作为预置提示词，提高大模型个性化能力及准确率，支持热门查询问题，界面化设置推荐。</w:t>
      </w:r>
    </w:p>
    <w:p w14:paraId="7606EE3D">
      <w:pPr>
        <w:pStyle w:val="47"/>
        <w:numPr>
          <w:ilvl w:val="0"/>
          <w:numId w:val="9"/>
        </w:numPr>
        <w:ind w:firstLineChars="0"/>
        <w:rPr>
          <w:rFonts w:ascii="宋体" w:hAnsi="宋体" w:cs="Times New Roman"/>
          <w:sz w:val="21"/>
        </w:rPr>
      </w:pPr>
      <w:r>
        <w:rPr>
          <w:rFonts w:hint="eastAsia" w:ascii="宋体" w:hAnsi="宋体" w:cs="Times New Roman"/>
          <w:sz w:val="21"/>
        </w:rPr>
        <w:t>支持用户直接提问查询数据，用户输入自然语言后，系统将调用大模型解析，根据数据库存储数据表结构判断生成sql，支持查看生成的sql语句、sql生成逻辑。</w:t>
      </w:r>
    </w:p>
    <w:p w14:paraId="02EE8D8E">
      <w:pPr>
        <w:pStyle w:val="47"/>
        <w:numPr>
          <w:ilvl w:val="0"/>
          <w:numId w:val="9"/>
        </w:numPr>
        <w:ind w:firstLineChars="0"/>
        <w:rPr>
          <w:rFonts w:ascii="宋体" w:hAnsi="宋体" w:cs="Times New Roman"/>
          <w:sz w:val="21"/>
        </w:rPr>
      </w:pPr>
      <w:r>
        <w:rPr>
          <w:rFonts w:hint="eastAsia" w:ascii="宋体" w:hAnsi="宋体" w:cs="Times New Roman"/>
          <w:sz w:val="21"/>
        </w:rPr>
        <w:t>支持明细查询、指标问答、同比环比问答、历史趋势分析、排名查询等多种场景。</w:t>
      </w:r>
    </w:p>
    <w:p w14:paraId="148EB8AD">
      <w:pPr>
        <w:pStyle w:val="47"/>
        <w:numPr>
          <w:ilvl w:val="0"/>
          <w:numId w:val="9"/>
        </w:numPr>
        <w:ind w:firstLineChars="0"/>
        <w:rPr>
          <w:rFonts w:ascii="宋体" w:hAnsi="宋体" w:cs="Times New Roman"/>
          <w:sz w:val="21"/>
        </w:rPr>
      </w:pPr>
      <w:r>
        <w:rPr>
          <w:rFonts w:hint="eastAsia" w:ascii="宋体" w:hAnsi="宋体" w:cs="Times New Roman"/>
          <w:sz w:val="21"/>
        </w:rPr>
        <w:t>系统可根据解析的sql进行智能绘图，即根据查询结果系统自动选择合适图表进行数据展示，如：表格、柱状图、折线图、饼图等常用图表样式。</w:t>
      </w:r>
    </w:p>
    <w:p w14:paraId="03051C18">
      <w:pPr>
        <w:pStyle w:val="47"/>
        <w:numPr>
          <w:ilvl w:val="0"/>
          <w:numId w:val="9"/>
        </w:numPr>
        <w:ind w:firstLineChars="0"/>
        <w:rPr>
          <w:rFonts w:ascii="宋体" w:hAnsi="宋体" w:cs="Times New Roman"/>
          <w:sz w:val="21"/>
        </w:rPr>
      </w:pPr>
      <w:r>
        <w:rPr>
          <w:rFonts w:hint="eastAsia" w:ascii="宋体" w:hAnsi="宋体" w:cs="Times New Roman"/>
          <w:sz w:val="21"/>
        </w:rPr>
        <w:t>支持在移动端进行数据智能查询，移动端可做到图表自适应。</w:t>
      </w:r>
    </w:p>
    <w:p w14:paraId="589675CE">
      <w:pPr>
        <w:pStyle w:val="47"/>
        <w:numPr>
          <w:ilvl w:val="0"/>
          <w:numId w:val="9"/>
        </w:numPr>
        <w:ind w:firstLineChars="0"/>
        <w:rPr>
          <w:rFonts w:ascii="宋体" w:hAnsi="宋体" w:cs="Times New Roman"/>
          <w:sz w:val="21"/>
        </w:rPr>
      </w:pPr>
      <w:r>
        <w:rPr>
          <w:rFonts w:ascii="宋体" w:hAnsi="宋体" w:cs="Times New Roman"/>
          <w:sz w:val="21"/>
        </w:rPr>
        <w:t>支持添加外部数据源作为指标的数据来源。支持的数据库类型需包括Oracle、PostgreSQL、SQL Server、MySQL</w:t>
      </w:r>
      <w:r>
        <w:rPr>
          <w:rFonts w:hint="eastAsia" w:ascii="宋体" w:hAnsi="宋体" w:cs="Times New Roman"/>
          <w:sz w:val="21"/>
        </w:rPr>
        <w:t>等，支持</w:t>
      </w:r>
      <w:r>
        <w:rPr>
          <w:rFonts w:ascii="宋体" w:hAnsi="宋体" w:cs="Times New Roman"/>
          <w:sz w:val="21"/>
        </w:rPr>
        <w:t>对系统中已连接的数据源，可进行编辑、启用、停用、删除等操作</w:t>
      </w:r>
      <w:r>
        <w:rPr>
          <w:rFonts w:hint="eastAsia" w:ascii="宋体" w:hAnsi="宋体" w:cs="Times New Roman"/>
          <w:sz w:val="21"/>
        </w:rPr>
        <w:t>。</w:t>
      </w:r>
    </w:p>
    <w:p w14:paraId="542545D9">
      <w:pPr>
        <w:widowControl/>
        <w:numPr>
          <w:ilvl w:val="0"/>
          <w:numId w:val="9"/>
        </w:numPr>
        <w:spacing w:line="360" w:lineRule="auto"/>
        <w:rPr>
          <w:rFonts w:ascii="宋体" w:hAnsi="宋体" w:cs="宋体"/>
          <w:color w:val="000000"/>
          <w:kern w:val="0"/>
          <w:szCs w:val="24"/>
          <w:lang w:bidi="ar"/>
        </w:rPr>
      </w:pPr>
      <w:r>
        <w:rPr>
          <w:rFonts w:ascii="宋体" w:hAnsi="宋体" w:cs="宋体"/>
          <w:color w:val="000000"/>
          <w:kern w:val="0"/>
          <w:szCs w:val="24"/>
          <w:lang w:bidi="ar"/>
        </w:rPr>
        <w:t>支持查看系统中连接的所有数据源，可查看数据源中schema、表的信息，可对表中的数据和表结构进行预览。</w:t>
      </w:r>
      <w:r>
        <w:rPr>
          <w:rFonts w:ascii="宋体" w:hAnsi="宋体" w:cs="宋体"/>
          <w:color w:val="000000"/>
          <w:kern w:val="0"/>
          <w:szCs w:val="24"/>
          <w:lang w:bidi="ar"/>
        </w:rPr>
        <w:tab/>
      </w:r>
    </w:p>
    <w:p w14:paraId="2903D2F7">
      <w:pPr>
        <w:pStyle w:val="6"/>
        <w:numPr>
          <w:ilvl w:val="0"/>
          <w:numId w:val="8"/>
        </w:numPr>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功能要求</w:t>
      </w:r>
    </w:p>
    <w:p w14:paraId="04CADDA9">
      <w:pPr>
        <w:widowControl/>
        <w:numPr>
          <w:ilvl w:val="0"/>
          <w:numId w:val="10"/>
        </w:numPr>
        <w:spacing w:line="360" w:lineRule="auto"/>
        <w:rPr>
          <w:rFonts w:ascii="宋体" w:hAnsi="宋体" w:cs="宋体"/>
          <w:color w:val="000000"/>
          <w:kern w:val="0"/>
          <w:szCs w:val="24"/>
          <w:lang w:bidi="ar"/>
        </w:rPr>
      </w:pPr>
      <w:r>
        <w:rPr>
          <w:rFonts w:hint="eastAsia" w:ascii="宋体" w:hAnsi="宋体" w:cs="宋体"/>
          <w:color w:val="000000"/>
          <w:kern w:val="0"/>
          <w:szCs w:val="24"/>
          <w:lang w:bidi="ar"/>
        </w:rPr>
        <w:t>智能查询服务助手需支持用户输入自然语言智能查询底层数据。通过数据的智能查询，业务人员无需了解数据的底层存储逻辑，只需基于业务语言进行提问，为查询、分析数据提供有效辅助。</w:t>
      </w:r>
    </w:p>
    <w:p w14:paraId="392BDA63">
      <w:pPr>
        <w:widowControl/>
        <w:numPr>
          <w:ilvl w:val="0"/>
          <w:numId w:val="10"/>
        </w:numPr>
        <w:spacing w:line="360" w:lineRule="auto"/>
        <w:rPr>
          <w:rFonts w:ascii="宋体" w:hAnsi="宋体" w:cs="宋体"/>
          <w:color w:val="000000"/>
          <w:kern w:val="0"/>
          <w:szCs w:val="24"/>
          <w:lang w:bidi="ar"/>
        </w:rPr>
      </w:pPr>
      <w:r>
        <w:rPr>
          <w:rFonts w:hint="eastAsia" w:ascii="宋体" w:hAnsi="宋体" w:cs="宋体"/>
          <w:color w:val="000000"/>
          <w:kern w:val="0"/>
          <w:szCs w:val="24"/>
          <w:lang w:bidi="ar"/>
        </w:rPr>
        <w:t>支持用户随时启动检索对话，用户可以在问答对话框中直接提问相关数据。支持自然语言识别，支持历史对话信息查询、删除、对话标题修改、新建对话。</w:t>
      </w:r>
    </w:p>
    <w:p w14:paraId="452B74BF">
      <w:pPr>
        <w:widowControl/>
        <w:numPr>
          <w:ilvl w:val="0"/>
          <w:numId w:val="10"/>
        </w:numPr>
        <w:spacing w:line="360" w:lineRule="auto"/>
        <w:rPr>
          <w:rFonts w:ascii="宋体" w:hAnsi="宋体" w:cs="宋体"/>
          <w:color w:val="000000"/>
          <w:kern w:val="0"/>
          <w:szCs w:val="24"/>
          <w:lang w:bidi="ar"/>
        </w:rPr>
      </w:pPr>
      <w:r>
        <w:rPr>
          <w:rFonts w:hint="eastAsia" w:ascii="宋体" w:hAnsi="宋体" w:cs="宋体"/>
          <w:color w:val="000000"/>
          <w:kern w:val="0"/>
          <w:szCs w:val="24"/>
          <w:lang w:bidi="ar"/>
        </w:rPr>
        <w:t>支持一站式查询入口，通过输入检索关键词，进行一站式检索操作。</w:t>
      </w:r>
    </w:p>
    <w:p w14:paraId="0C495CCB">
      <w:pPr>
        <w:widowControl/>
        <w:numPr>
          <w:ilvl w:val="0"/>
          <w:numId w:val="10"/>
        </w:numPr>
        <w:spacing w:line="360" w:lineRule="auto"/>
        <w:rPr>
          <w:rFonts w:ascii="宋体" w:hAnsi="宋体" w:cs="宋体"/>
          <w:color w:val="000000"/>
          <w:kern w:val="0"/>
          <w:szCs w:val="24"/>
          <w:lang w:bidi="ar"/>
        </w:rPr>
      </w:pPr>
      <w:r>
        <w:rPr>
          <w:rFonts w:hint="eastAsia" w:ascii="宋体" w:hAnsi="宋体" w:cs="宋体"/>
          <w:color w:val="000000"/>
          <w:kern w:val="0"/>
          <w:szCs w:val="24"/>
          <w:lang w:bidi="ar"/>
        </w:rPr>
        <w:t>智能检索可查寻范围由底层数据模型决定，需要根据业务域准备查询需要的模型数据，再分业务域对模型数据进行学习训练。根据学校数据域进行分类、分级训练。训练后的模型可根据权限进行不同内容的查询，包括但不限于：平台整体数据使用情况、接口调用情况、平台已有数据接口、使用答疑、统计和分析等。</w:t>
      </w:r>
    </w:p>
    <w:p w14:paraId="7FF8A9C2">
      <w:pPr>
        <w:pStyle w:val="6"/>
        <w:numPr>
          <w:ilvl w:val="0"/>
          <w:numId w:val="8"/>
        </w:numPr>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权限要求</w:t>
      </w:r>
    </w:p>
    <w:p w14:paraId="01958685">
      <w:pPr>
        <w:pStyle w:val="47"/>
        <w:numPr>
          <w:ilvl w:val="0"/>
          <w:numId w:val="11"/>
        </w:numPr>
        <w:ind w:firstLineChars="0"/>
        <w:rPr>
          <w:rFonts w:ascii="宋体" w:hAnsi="宋体" w:cs="Times New Roman"/>
          <w:sz w:val="21"/>
        </w:rPr>
      </w:pPr>
      <w:r>
        <w:rPr>
          <w:rFonts w:hint="eastAsia" w:ascii="宋体" w:hAnsi="宋体" w:cs="Times New Roman"/>
          <w:sz w:val="21"/>
        </w:rPr>
        <w:t>★功能权限管理：可灵活配置不同用户组对各类后台功能的查看及修改，实现分级分权管理。</w:t>
      </w:r>
    </w:p>
    <w:p w14:paraId="60564659">
      <w:pPr>
        <w:pStyle w:val="47"/>
        <w:numPr>
          <w:ilvl w:val="0"/>
          <w:numId w:val="11"/>
        </w:numPr>
        <w:ind w:firstLineChars="0"/>
        <w:rPr>
          <w:rFonts w:ascii="宋体" w:hAnsi="宋体" w:cs="Times New Roman"/>
          <w:sz w:val="21"/>
        </w:rPr>
      </w:pPr>
      <w:r>
        <w:rPr>
          <w:rFonts w:hint="eastAsia" w:ascii="宋体" w:hAnsi="宋体" w:cs="Times New Roman"/>
          <w:sz w:val="21"/>
        </w:rPr>
        <w:t>★模型权限管理：可根据用户角色权限配置用户可查询模型范围、可查询模型的字段权限范围、可查询模型具体人员范围（例如指定明细表仅可查自己或仅可查部分人员数据。）</w:t>
      </w:r>
    </w:p>
    <w:p w14:paraId="3873BAB5">
      <w:pPr>
        <w:pStyle w:val="47"/>
        <w:numPr>
          <w:ilvl w:val="0"/>
          <w:numId w:val="11"/>
        </w:numPr>
        <w:ind w:firstLineChars="0"/>
        <w:rPr>
          <w:rFonts w:ascii="宋体" w:hAnsi="宋体" w:cs="Times New Roman"/>
          <w:sz w:val="21"/>
        </w:rPr>
      </w:pPr>
      <w:r>
        <w:rPr>
          <w:rFonts w:hint="eastAsia" w:ascii="宋体" w:hAnsi="宋体" w:cs="Times New Roman"/>
          <w:sz w:val="21"/>
        </w:rPr>
        <w:t>后台可记录所有用户查询问题内容，只能查询输出结果，定期回收记录，及时发现问题进行优化迭代。</w:t>
      </w:r>
    </w:p>
    <w:p w14:paraId="173A5CBD">
      <w:pPr>
        <w:pStyle w:val="5"/>
        <w:numPr>
          <w:ilvl w:val="0"/>
          <w:numId w:val="2"/>
        </w:numPr>
        <w:ind w:left="709" w:hanging="567"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数据安全治理</w:t>
      </w:r>
    </w:p>
    <w:p w14:paraId="5DB8D7C4">
      <w:pPr>
        <w:tabs>
          <w:tab w:val="left" w:pos="480"/>
        </w:tabs>
        <w:spacing w:line="360" w:lineRule="auto"/>
        <w:ind w:firstLine="424" w:firstLineChars="202"/>
        <w:rPr>
          <w:rFonts w:ascii="宋体" w:hAnsi="宋体"/>
        </w:rPr>
      </w:pPr>
      <w:r>
        <w:rPr>
          <w:rFonts w:ascii="宋体" w:hAnsi="宋体"/>
        </w:rPr>
        <w:t>随着《网络安全法》、《数据安全法》、《个人信息保护法》等</w:t>
      </w:r>
      <w:r>
        <w:rPr>
          <w:rFonts w:hint="eastAsia" w:ascii="宋体" w:hAnsi="宋体"/>
        </w:rPr>
        <w:t>法律的</w:t>
      </w:r>
      <w:r>
        <w:rPr>
          <w:rFonts w:ascii="宋体" w:hAnsi="宋体"/>
        </w:rPr>
        <w:t>发布，本项</w:t>
      </w:r>
      <w:r>
        <w:rPr>
          <w:rFonts w:hint="eastAsia" w:ascii="宋体" w:hAnsi="宋体"/>
        </w:rPr>
        <w:t>目</w:t>
      </w:r>
      <w:r>
        <w:rPr>
          <w:rFonts w:ascii="宋体" w:hAnsi="宋体"/>
        </w:rPr>
        <w:t>要求在</w:t>
      </w:r>
      <w:bookmarkStart w:id="4" w:name="_Hlk143253858"/>
      <w:r>
        <w:rPr>
          <w:rFonts w:hint="eastAsia" w:ascii="宋体" w:hAnsi="宋体"/>
        </w:rPr>
        <w:t>建设中在充分考虑平台本身安全的情况下从数据采集、管理、使用、存储、流转等方面进行充分考虑，并且实现数据的分类分级、加密/脱敏、访问控制、安全审计等管理，确保</w:t>
      </w:r>
      <w:r>
        <w:rPr>
          <w:rFonts w:ascii="宋体" w:hAnsi="宋体"/>
        </w:rPr>
        <w:t>数据</w:t>
      </w:r>
      <w:r>
        <w:rPr>
          <w:rFonts w:hint="eastAsia" w:ascii="宋体" w:hAnsi="宋体"/>
        </w:rPr>
        <w:t>全</w:t>
      </w:r>
      <w:r>
        <w:rPr>
          <w:rFonts w:ascii="宋体" w:hAnsi="宋体"/>
        </w:rPr>
        <w:t>生命周期</w:t>
      </w:r>
      <w:bookmarkEnd w:id="4"/>
      <w:r>
        <w:rPr>
          <w:rFonts w:hint="eastAsia" w:ascii="宋体" w:hAnsi="宋体"/>
        </w:rPr>
        <w:t>安全。</w:t>
      </w:r>
    </w:p>
    <w:p w14:paraId="622E46D6">
      <w:pPr>
        <w:pStyle w:val="6"/>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）数据分类分级</w:t>
      </w:r>
    </w:p>
    <w:p w14:paraId="0AFCC0D0">
      <w:pPr>
        <w:pStyle w:val="47"/>
        <w:numPr>
          <w:ilvl w:val="0"/>
          <w:numId w:val="12"/>
        </w:numPr>
        <w:ind w:firstLineChars="0"/>
        <w:rPr>
          <w:rFonts w:asciiTheme="minorEastAsia" w:hAnsiTheme="minorEastAsia" w:eastAsiaTheme="minorEastAsia"/>
          <w:sz w:val="21"/>
          <w:szCs w:val="21"/>
          <w:lang w:eastAsia="zh-Hans"/>
        </w:rPr>
      </w:pPr>
      <w:r>
        <w:rPr>
          <w:rFonts w:hint="eastAsia" w:asciiTheme="minorEastAsia" w:hAnsiTheme="minorEastAsia" w:eastAsiaTheme="minorEastAsia"/>
          <w:sz w:val="21"/>
          <w:szCs w:val="21"/>
          <w:lang w:eastAsia="zh-Hans"/>
        </w:rPr>
        <w:t>完成对学校数据的分类分级调研和确认，明确公开和共享的内容和范围；数据的分类分级规则应简单、易用并满足国家和行业监管合规要求，并说明定级的原因或依据。</w:t>
      </w:r>
    </w:p>
    <w:p w14:paraId="2EBDCF6D">
      <w:pPr>
        <w:pStyle w:val="47"/>
        <w:numPr>
          <w:ilvl w:val="0"/>
          <w:numId w:val="12"/>
        </w:numPr>
        <w:ind w:firstLineChars="0"/>
        <w:rPr>
          <w:rFonts w:asciiTheme="minorEastAsia" w:hAnsiTheme="minorEastAsia" w:eastAsiaTheme="minorEastAsia"/>
          <w:sz w:val="21"/>
          <w:szCs w:val="21"/>
          <w:lang w:eastAsia="zh-Hans"/>
        </w:rPr>
      </w:pPr>
      <w:r>
        <w:rPr>
          <w:rFonts w:hint="eastAsia" w:asciiTheme="minorEastAsia" w:hAnsiTheme="minorEastAsia" w:eastAsiaTheme="minorEastAsia"/>
          <w:sz w:val="21"/>
          <w:szCs w:val="21"/>
          <w:lang w:eastAsia="zh-Hans"/>
        </w:rPr>
        <w:t>将分类分级结果应用于数据管理的所有环节，且支持批量进行数据分级操作，支持自动化数据分级能力，支持从外部系统同步数据分级结果并统一管理。</w:t>
      </w:r>
    </w:p>
    <w:p w14:paraId="1685F3D0">
      <w:pPr>
        <w:pStyle w:val="6"/>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）数据访问控制</w:t>
      </w:r>
    </w:p>
    <w:p w14:paraId="2715FBF7">
      <w:pPr>
        <w:pStyle w:val="47"/>
        <w:numPr>
          <w:ilvl w:val="0"/>
          <w:numId w:val="13"/>
        </w:numPr>
        <w:ind w:firstLineChars="0"/>
        <w:rPr>
          <w:rFonts w:asciiTheme="minorEastAsia" w:hAnsiTheme="minorEastAsia" w:eastAsiaTheme="minorEastAsia"/>
          <w:sz w:val="21"/>
          <w:szCs w:val="21"/>
          <w:lang w:eastAsia="zh-Hans"/>
        </w:rPr>
      </w:pPr>
      <w:r>
        <w:rPr>
          <w:rFonts w:hint="eastAsia" w:asciiTheme="minorEastAsia" w:hAnsiTheme="minorEastAsia" w:eastAsiaTheme="minorEastAsia"/>
          <w:sz w:val="21"/>
          <w:szCs w:val="21"/>
          <w:lang w:eastAsia="zh-Hans"/>
        </w:rPr>
        <w:t>制定严格的申请审批流程，所有数据必须经过申请审批方可使用；支持数据审核流程根据学校实际情况的灵活配置，并可将审核流程与安全等级绑定；制定数据访问策略，所有数据接口调用须严格按照授权ip、密钥以及数据共享期限进行判断，确保数据安全。</w:t>
      </w:r>
    </w:p>
    <w:p w14:paraId="64E2F92D">
      <w:pPr>
        <w:pStyle w:val="47"/>
        <w:numPr>
          <w:ilvl w:val="0"/>
          <w:numId w:val="13"/>
        </w:numPr>
        <w:ind w:firstLineChars="0"/>
        <w:rPr>
          <w:rFonts w:asciiTheme="minorEastAsia" w:hAnsiTheme="minorEastAsia" w:eastAsiaTheme="minorEastAsia"/>
          <w:sz w:val="21"/>
          <w:szCs w:val="21"/>
          <w:lang w:eastAsia="zh-Hans"/>
        </w:rPr>
      </w:pPr>
      <w:r>
        <w:rPr>
          <w:rFonts w:hint="eastAsia" w:asciiTheme="minorEastAsia" w:hAnsiTheme="minorEastAsia" w:eastAsiaTheme="minorEastAsia"/>
          <w:sz w:val="21"/>
          <w:szCs w:val="21"/>
          <w:lang w:eastAsia="zh-Hans"/>
        </w:rPr>
        <w:t>支持数据申请、审批及使用中的数据范围、数据内容、数据有效期等维度进行</w:t>
      </w:r>
      <w:r>
        <w:rPr>
          <w:rFonts w:hint="eastAsia" w:asciiTheme="minorEastAsia" w:hAnsiTheme="minorEastAsia" w:eastAsiaTheme="minorEastAsia"/>
          <w:sz w:val="21"/>
          <w:szCs w:val="21"/>
        </w:rPr>
        <w:t>授权，并</w:t>
      </w:r>
      <w:r>
        <w:rPr>
          <w:rFonts w:hint="eastAsia" w:asciiTheme="minorEastAsia" w:hAnsiTheme="minorEastAsia" w:eastAsiaTheme="minorEastAsia"/>
          <w:sz w:val="21"/>
          <w:szCs w:val="21"/>
          <w:lang w:eastAsia="zh-Hans"/>
        </w:rPr>
        <w:t>支持根据数据分类分级结果进行数据的加密/脱敏、申请审批、查看、修改等操作，支持为字段设置安全等级，支持管理员用户在审批完成后，可以随时对审批结果进行调整或收回权限。</w:t>
      </w:r>
    </w:p>
    <w:p w14:paraId="58416479">
      <w:pPr>
        <w:pStyle w:val="6"/>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）数据安全审计</w:t>
      </w:r>
    </w:p>
    <w:p w14:paraId="5FB8599C">
      <w:pPr>
        <w:pStyle w:val="47"/>
        <w:numPr>
          <w:ilvl w:val="0"/>
          <w:numId w:val="14"/>
        </w:numPr>
        <w:ind w:firstLineChars="0"/>
        <w:rPr>
          <w:rFonts w:asciiTheme="minorEastAsia" w:hAnsiTheme="minorEastAsia" w:eastAsiaTheme="minorEastAsia"/>
          <w:sz w:val="21"/>
          <w:szCs w:val="21"/>
          <w:lang w:eastAsia="zh-Hans"/>
        </w:rPr>
      </w:pPr>
      <w:r>
        <w:rPr>
          <w:rFonts w:hint="eastAsia" w:asciiTheme="minorEastAsia" w:hAnsiTheme="minorEastAsia" w:eastAsiaTheme="minorEastAsia"/>
          <w:sz w:val="21"/>
          <w:szCs w:val="21"/>
          <w:lang w:eastAsia="zh-Hans"/>
        </w:rPr>
        <w:t>★日志保留期限需根据国家相关法律法规要求执行，根据业务需求，对于不共享、有条件共享的数据日志保留期限应相对较长。</w:t>
      </w:r>
    </w:p>
    <w:p w14:paraId="0F0AA275">
      <w:pPr>
        <w:pStyle w:val="47"/>
        <w:numPr>
          <w:ilvl w:val="0"/>
          <w:numId w:val="14"/>
        </w:numPr>
        <w:ind w:firstLineChars="0"/>
        <w:rPr>
          <w:rFonts w:asciiTheme="minorEastAsia" w:hAnsiTheme="minorEastAsia" w:eastAsiaTheme="minorEastAsia"/>
          <w:sz w:val="21"/>
          <w:szCs w:val="21"/>
          <w:lang w:eastAsia="zh-Hans"/>
        </w:rPr>
      </w:pPr>
      <w:r>
        <w:rPr>
          <w:rFonts w:hint="eastAsia" w:asciiTheme="minorEastAsia" w:hAnsiTheme="minorEastAsia" w:eastAsiaTheme="minorEastAsia"/>
          <w:sz w:val="21"/>
          <w:szCs w:val="21"/>
          <w:lang w:eastAsia="zh-Hans"/>
        </w:rPr>
        <w:t>★支持查看后台和前台用户的登录和访问记录；支持管理员查看任一接口的数据共享申请、审批及变更等记录，日志审计须记录系统登录、授权、查看、新增、编辑、删除、权限调整等所有操作的日志。</w:t>
      </w:r>
    </w:p>
    <w:p w14:paraId="43377AAF">
      <w:pPr>
        <w:pStyle w:val="5"/>
        <w:numPr>
          <w:ilvl w:val="0"/>
          <w:numId w:val="2"/>
        </w:numPr>
        <w:ind w:left="709" w:hanging="567"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与其他平台的集成要求</w:t>
      </w:r>
    </w:p>
    <w:p w14:paraId="426A5C46">
      <w:pPr>
        <w:tabs>
          <w:tab w:val="left" w:pos="480"/>
        </w:tabs>
        <w:spacing w:line="360" w:lineRule="auto"/>
        <w:ind w:firstLine="424" w:firstLineChars="202"/>
        <w:rPr>
          <w:rFonts w:ascii="宋体" w:hAnsi="宋体"/>
        </w:rPr>
      </w:pPr>
      <w:r>
        <w:rPr>
          <w:rFonts w:hint="eastAsia" w:ascii="宋体" w:hAnsi="宋体"/>
        </w:rPr>
        <w:t>平台应具备完善的权限管理、日志记录、消息提醒等系统级管理能力。可配置角色、用户及相应的功能操作权限和数据访问权限。可实现与消息平台的对接，配置触发消息发送的场景，实现自动化消息提醒。对重要的操作进行日志留存。可实现与统一身份认证平台的对接，实现单点登录。可实现与统一信息门户的对接，将本平台的业务入口集成到门户界面中。</w:t>
      </w:r>
      <w:r>
        <w:rPr>
          <w:rFonts w:ascii="宋体" w:hAnsi="宋体"/>
        </w:rPr>
        <w:t>对接学校电子印章系统，支持</w:t>
      </w:r>
      <w:r>
        <w:rPr>
          <w:rFonts w:hint="eastAsia" w:ascii="宋体" w:hAnsi="宋体"/>
        </w:rPr>
        <w:t>多种签章</w:t>
      </w:r>
      <w:r>
        <w:rPr>
          <w:rFonts w:ascii="宋体" w:hAnsi="宋体"/>
        </w:rPr>
        <w:t>方式</w:t>
      </w:r>
      <w:r>
        <w:rPr>
          <w:rFonts w:hint="eastAsia" w:ascii="宋体" w:hAnsi="宋体"/>
        </w:rPr>
        <w:t>，能够为各类师生服务</w:t>
      </w:r>
      <w:r>
        <w:rPr>
          <w:rFonts w:ascii="宋体" w:hAnsi="宋体"/>
        </w:rPr>
        <w:t>提供电子签名</w:t>
      </w:r>
      <w:r>
        <w:rPr>
          <w:rFonts w:hint="eastAsia" w:ascii="宋体" w:hAnsi="宋体"/>
        </w:rPr>
        <w:t>、签章</w:t>
      </w:r>
      <w:r>
        <w:rPr>
          <w:rFonts w:ascii="宋体" w:hAnsi="宋体"/>
        </w:rPr>
        <w:t>的能力</w:t>
      </w:r>
      <w:r>
        <w:rPr>
          <w:rFonts w:hint="eastAsia" w:ascii="宋体" w:hAnsi="宋体"/>
        </w:rPr>
        <w:t>。</w:t>
      </w:r>
    </w:p>
    <w:p w14:paraId="2C57DA34">
      <w:pPr>
        <w:pStyle w:val="47"/>
        <w:numPr>
          <w:ilvl w:val="0"/>
          <w:numId w:val="15"/>
        </w:numPr>
        <w:ind w:left="709" w:hanging="567" w:firstLineChars="0"/>
        <w:rPr>
          <w:rFonts w:ascii="宋体" w:hAnsi="宋体"/>
        </w:rPr>
      </w:pPr>
      <w:r>
        <w:rPr>
          <w:rFonts w:hint="eastAsia" w:asciiTheme="minorEastAsia" w:hAnsiTheme="minorEastAsia" w:eastAsiaTheme="minorEastAsia"/>
          <w:sz w:val="21"/>
          <w:szCs w:val="21"/>
          <w:lang w:eastAsia="zh-Hans"/>
        </w:rPr>
        <w:t>★用户管理需符合学校数据管理业务要求，用户范围以学校实际需求为准呢；支持根据学校的组织机构现状进行管理与维护。</w:t>
      </w:r>
    </w:p>
    <w:p w14:paraId="415AC4D2">
      <w:pPr>
        <w:pStyle w:val="35"/>
        <w:numPr>
          <w:ilvl w:val="0"/>
          <w:numId w:val="15"/>
        </w:numPr>
        <w:tabs>
          <w:tab w:val="left" w:pos="480"/>
        </w:tabs>
        <w:spacing w:line="360" w:lineRule="auto"/>
        <w:ind w:left="709" w:hanging="567" w:firstLineChars="0"/>
        <w:rPr>
          <w:rFonts w:cs="宋体" w:asciiTheme="minorEastAsia" w:hAnsiTheme="minorEastAsia" w:eastAsiaTheme="minorEastAsia"/>
          <w:szCs w:val="21"/>
          <w:lang w:eastAsia="zh-Hans"/>
        </w:rPr>
      </w:pPr>
      <w:r>
        <w:rPr>
          <w:rFonts w:hint="eastAsia"/>
          <w:szCs w:val="21"/>
        </w:rPr>
        <w:t>支持</w:t>
      </w:r>
      <w:r>
        <w:rPr>
          <w:rFonts w:hint="eastAsia" w:asciiTheme="minorEastAsia" w:hAnsiTheme="minorEastAsia" w:eastAsiaTheme="minorEastAsia"/>
          <w:szCs w:val="21"/>
          <w:lang w:eastAsia="zh-Hans"/>
        </w:rPr>
        <w:t>多级组织机构管理，根据学校具体需求对</w:t>
      </w:r>
      <w:r>
        <w:rPr>
          <w:szCs w:val="21"/>
        </w:rPr>
        <w:t>学校组织机构数据的同步</w:t>
      </w:r>
      <w:r>
        <w:rPr>
          <w:rFonts w:hint="eastAsia"/>
          <w:szCs w:val="21"/>
        </w:rPr>
        <w:t>并标准化</w:t>
      </w:r>
      <w:r>
        <w:rPr>
          <w:szCs w:val="21"/>
        </w:rPr>
        <w:t>，保证与学校组织机构数据的一致性和完整性，提供对学校组织机构数据展示、维护、管理，支持对临时的组织机构进行维护管理</w:t>
      </w:r>
      <w:r>
        <w:rPr>
          <w:rFonts w:hint="eastAsia"/>
          <w:szCs w:val="21"/>
        </w:rPr>
        <w:t>，标准化后的组织机构可作为数据源对其他业务系统进行共享</w:t>
      </w:r>
      <w:r>
        <w:rPr>
          <w:szCs w:val="21"/>
        </w:rPr>
        <w:t>。</w:t>
      </w:r>
    </w:p>
    <w:p w14:paraId="523D9483">
      <w:pPr>
        <w:pStyle w:val="47"/>
        <w:numPr>
          <w:ilvl w:val="0"/>
          <w:numId w:val="15"/>
        </w:numPr>
        <w:ind w:left="709" w:hanging="567" w:firstLineChars="0"/>
        <w:rPr>
          <w:rFonts w:asciiTheme="minorEastAsia" w:hAnsiTheme="minorEastAsia" w:eastAsiaTheme="minorEastAsia"/>
          <w:sz w:val="21"/>
          <w:szCs w:val="21"/>
          <w:lang w:eastAsia="zh-Hans"/>
        </w:rPr>
      </w:pPr>
      <w:r>
        <w:rPr>
          <w:rFonts w:hint="eastAsia" w:asciiTheme="minorEastAsia" w:hAnsiTheme="minorEastAsia" w:eastAsiaTheme="minorEastAsia"/>
          <w:sz w:val="21"/>
          <w:szCs w:val="21"/>
          <w:lang w:eastAsia="zh-Hans"/>
        </w:rPr>
        <w:t>★支持多个角色的创建，并对不同角色赋予不同的使用权限。可以对已授权的</w:t>
      </w:r>
      <w:r>
        <w:rPr>
          <w:rFonts w:asciiTheme="minorEastAsia" w:hAnsiTheme="minorEastAsia" w:eastAsiaTheme="minorEastAsia"/>
          <w:sz w:val="21"/>
          <w:szCs w:val="21"/>
          <w:lang w:eastAsia="zh-Hans"/>
        </w:rPr>
        <w:t>用户进行启用和停用，并</w:t>
      </w:r>
      <w:r>
        <w:rPr>
          <w:rFonts w:hint="eastAsia" w:asciiTheme="minorEastAsia" w:hAnsiTheme="minorEastAsia" w:eastAsiaTheme="minorEastAsia"/>
          <w:sz w:val="21"/>
          <w:szCs w:val="21"/>
          <w:lang w:eastAsia="zh-Hans"/>
        </w:rPr>
        <w:t>支持账户权限期限配置，超过时间期限则账户权限自动失效。</w:t>
      </w:r>
    </w:p>
    <w:p w14:paraId="574B7C36">
      <w:pPr>
        <w:pStyle w:val="47"/>
        <w:numPr>
          <w:ilvl w:val="0"/>
          <w:numId w:val="15"/>
        </w:numPr>
        <w:ind w:left="709" w:hanging="567" w:firstLineChars="0"/>
        <w:rPr>
          <w:rFonts w:asciiTheme="minorEastAsia" w:hAnsiTheme="minorEastAsia" w:eastAsiaTheme="minorEastAsia"/>
          <w:sz w:val="21"/>
          <w:szCs w:val="21"/>
          <w:lang w:eastAsia="zh-Hans"/>
        </w:rPr>
      </w:pPr>
      <w:r>
        <w:rPr>
          <w:rFonts w:hint="eastAsia" w:asciiTheme="minorEastAsia" w:hAnsiTheme="minorEastAsia" w:eastAsiaTheme="minorEastAsia"/>
          <w:sz w:val="21"/>
          <w:szCs w:val="21"/>
          <w:lang w:eastAsia="zh-Hans"/>
        </w:rPr>
        <w:t>支持对接入平台的所有数据源及系统进行统一管理，支持应用系统一处创建、全局使用，以确保数据的一致性。</w:t>
      </w:r>
    </w:p>
    <w:p w14:paraId="6F8EF3AD">
      <w:pPr>
        <w:pStyle w:val="47"/>
        <w:numPr>
          <w:ilvl w:val="0"/>
          <w:numId w:val="15"/>
        </w:numPr>
        <w:ind w:left="709" w:hanging="567" w:firstLineChars="0"/>
        <w:rPr>
          <w:rFonts w:asciiTheme="minorEastAsia" w:hAnsiTheme="minorEastAsia" w:eastAsiaTheme="minorEastAsia"/>
          <w:sz w:val="21"/>
          <w:szCs w:val="21"/>
          <w:lang w:eastAsia="zh-Hans"/>
        </w:rPr>
      </w:pPr>
      <w:r>
        <w:rPr>
          <w:rFonts w:hint="eastAsia" w:asciiTheme="minorEastAsia" w:hAnsiTheme="minorEastAsia" w:eastAsiaTheme="minorEastAsia"/>
          <w:sz w:val="21"/>
          <w:szCs w:val="21"/>
          <w:lang w:eastAsia="zh-Hans"/>
        </w:rPr>
        <w:t>实现与消息平台的对接，配置触发消息发送的场景，实现自动化消息提醒，支持各类数据申请审核消息的短信或邮件等方式的提醒、代办事件提醒，管理人员可便捷办理数据的申请。</w:t>
      </w:r>
    </w:p>
    <w:p w14:paraId="34F45814">
      <w:pPr>
        <w:pStyle w:val="35"/>
        <w:numPr>
          <w:ilvl w:val="0"/>
          <w:numId w:val="15"/>
        </w:numPr>
        <w:tabs>
          <w:tab w:val="left" w:pos="480"/>
        </w:tabs>
        <w:spacing w:line="360" w:lineRule="auto"/>
        <w:ind w:left="709" w:hanging="567" w:firstLineChars="0"/>
        <w:rPr>
          <w:szCs w:val="21"/>
        </w:rPr>
      </w:pPr>
      <w:r>
        <w:rPr>
          <w:rFonts w:hint="eastAsia"/>
          <w:szCs w:val="21"/>
        </w:rPr>
        <w:t>实现与统一身份认证平台、一网通办等系统的对接，实现一处登录、多项办理，以提升用户业务办理的效率。</w:t>
      </w:r>
    </w:p>
    <w:p w14:paraId="0562B4F6">
      <w:pPr>
        <w:pStyle w:val="5"/>
        <w:numPr>
          <w:ilvl w:val="0"/>
          <w:numId w:val="2"/>
        </w:numPr>
        <w:ind w:left="709" w:hanging="567"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平台运行监控分析</w:t>
      </w:r>
    </w:p>
    <w:p w14:paraId="780E74E4">
      <w:pPr>
        <w:tabs>
          <w:tab w:val="left" w:pos="480"/>
        </w:tabs>
        <w:spacing w:line="360" w:lineRule="auto"/>
        <w:ind w:firstLine="424" w:firstLineChars="202"/>
        <w:rPr>
          <w:rFonts w:ascii="宋体" w:hAnsi="宋体"/>
        </w:rPr>
      </w:pPr>
      <w:r>
        <w:rPr>
          <w:rFonts w:hint="eastAsia" w:ascii="宋体" w:hAnsi="宋体"/>
        </w:rPr>
        <w:t>系统需提供统一监控界面，对系统的运行状态、（操作系统、中间件、数据库）的部署位置及运行状态、用户使用情况进行分析应用。对数据的加工、转换、共享等任务进行总体监测，并支持下钻到具体的任务。同时提供的监控任务需提供及时的消息提醒。</w:t>
      </w:r>
    </w:p>
    <w:p w14:paraId="26C00D1C">
      <w:pPr>
        <w:pStyle w:val="47"/>
        <w:numPr>
          <w:ilvl w:val="0"/>
          <w:numId w:val="16"/>
        </w:numPr>
        <w:ind w:left="709" w:hanging="567" w:firstLineChars="0"/>
        <w:rPr>
          <w:rFonts w:asciiTheme="minorEastAsia" w:hAnsiTheme="minorEastAsia" w:eastAsiaTheme="minorEastAsia"/>
          <w:sz w:val="21"/>
          <w:szCs w:val="21"/>
          <w:lang w:eastAsia="zh-Hans"/>
        </w:rPr>
      </w:pPr>
      <w:r>
        <w:rPr>
          <w:rFonts w:hint="eastAsia" w:asciiTheme="minorEastAsia" w:hAnsiTheme="minorEastAsia" w:eastAsiaTheme="minorEastAsia"/>
          <w:sz w:val="21"/>
          <w:szCs w:val="21"/>
          <w:lang w:eastAsia="zh-Hans"/>
        </w:rPr>
        <w:t>平台应具备对于运行健康状态的自诊断、自监控能力。</w:t>
      </w:r>
    </w:p>
    <w:p w14:paraId="621A31E7">
      <w:pPr>
        <w:pStyle w:val="47"/>
        <w:numPr>
          <w:ilvl w:val="0"/>
          <w:numId w:val="16"/>
        </w:numPr>
        <w:ind w:left="709" w:hanging="567" w:firstLineChars="0"/>
        <w:rPr>
          <w:rFonts w:asciiTheme="minorEastAsia" w:hAnsiTheme="minorEastAsia" w:eastAsiaTheme="minorEastAsia"/>
          <w:sz w:val="21"/>
          <w:szCs w:val="21"/>
          <w:lang w:eastAsia="zh-Hans"/>
        </w:rPr>
      </w:pPr>
      <w:r>
        <w:rPr>
          <w:rFonts w:hint="eastAsia" w:asciiTheme="minorEastAsia" w:hAnsiTheme="minorEastAsia" w:eastAsiaTheme="minorEastAsia"/>
          <w:sz w:val="21"/>
          <w:szCs w:val="21"/>
          <w:lang w:eastAsia="zh-Hans"/>
        </w:rPr>
        <w:t>提供图形化界面，对平台各个组件的运行状态（操作系统、中间件、数据库）、异常信息、</w:t>
      </w:r>
      <w:r>
        <w:rPr>
          <w:rFonts w:asciiTheme="minorEastAsia" w:hAnsiTheme="minorEastAsia" w:eastAsiaTheme="minorEastAsia"/>
          <w:sz w:val="21"/>
          <w:szCs w:val="21"/>
          <w:lang w:eastAsia="zh-Hans"/>
        </w:rPr>
        <w:t>CPU、存储空间、内存的资源使用情况等进行监控，并对危险征兆进行告警。对数据资产情况及使用情况、数据质量、授权情况等进行分析预警，并可按用户、角色等进行授权和查看。</w:t>
      </w:r>
    </w:p>
    <w:p w14:paraId="6557E58E">
      <w:pPr>
        <w:pStyle w:val="47"/>
        <w:numPr>
          <w:ilvl w:val="0"/>
          <w:numId w:val="16"/>
        </w:numPr>
        <w:ind w:left="709" w:hanging="567" w:firstLineChars="0"/>
        <w:rPr>
          <w:rFonts w:asciiTheme="minorEastAsia" w:hAnsiTheme="minorEastAsia" w:eastAsiaTheme="minorEastAsia"/>
          <w:sz w:val="21"/>
          <w:szCs w:val="21"/>
          <w:lang w:eastAsia="zh-Hans"/>
        </w:rPr>
      </w:pPr>
      <w:r>
        <w:rPr>
          <w:rFonts w:hint="eastAsia" w:asciiTheme="minorEastAsia" w:hAnsiTheme="minorEastAsia" w:eastAsiaTheme="minorEastAsia"/>
          <w:sz w:val="21"/>
          <w:szCs w:val="21"/>
          <w:lang w:eastAsia="zh-Hans"/>
        </w:rPr>
        <w:t>监控每个运行任务的运行情况、服务器设备情况，发现问题可通过短信、邮件等方式进行预警；实现已有数据的总体看板，展示数据源、数据应用、部门数据资源运营统计情况等信息。</w:t>
      </w:r>
    </w:p>
    <w:p w14:paraId="3D7BCDEF">
      <w:pPr>
        <w:pStyle w:val="47"/>
        <w:numPr>
          <w:ilvl w:val="0"/>
          <w:numId w:val="16"/>
        </w:numPr>
        <w:ind w:left="709" w:hanging="567" w:firstLineChars="0"/>
        <w:rPr>
          <w:rFonts w:asciiTheme="minorEastAsia" w:hAnsiTheme="minorEastAsia" w:eastAsiaTheme="minorEastAsia"/>
          <w:sz w:val="21"/>
          <w:szCs w:val="21"/>
          <w:lang w:eastAsia="zh-Hans"/>
        </w:rPr>
      </w:pPr>
      <w:r>
        <w:rPr>
          <w:rFonts w:hint="eastAsia" w:asciiTheme="minorEastAsia" w:hAnsiTheme="minorEastAsia" w:eastAsiaTheme="minorEastAsia"/>
          <w:sz w:val="21"/>
          <w:szCs w:val="21"/>
          <w:lang w:eastAsia="zh-Hans"/>
        </w:rPr>
        <w:t>开发不少于3个可视化看板，对</w:t>
      </w:r>
      <w:bookmarkStart w:id="5" w:name="OLE_LINK15"/>
      <w:r>
        <w:rPr>
          <w:rFonts w:hint="eastAsia" w:asciiTheme="minorEastAsia" w:hAnsiTheme="minorEastAsia" w:eastAsiaTheme="minorEastAsia"/>
          <w:sz w:val="21"/>
          <w:szCs w:val="21"/>
          <w:lang w:eastAsia="zh-Hans"/>
        </w:rPr>
        <w:t>跨系统</w:t>
      </w:r>
      <w:bookmarkEnd w:id="5"/>
      <w:r>
        <w:rPr>
          <w:rFonts w:hint="eastAsia" w:asciiTheme="minorEastAsia" w:hAnsiTheme="minorEastAsia" w:eastAsiaTheme="minorEastAsia"/>
          <w:sz w:val="21"/>
          <w:szCs w:val="21"/>
          <w:lang w:eastAsia="zh-Hans"/>
        </w:rPr>
        <w:t>数据传输同步场景，按照业务流程视角进行完整链路的可视化动态呈现，主要针对存在高实时数据同步的跨多部门的较复杂的业务流程为主。</w:t>
      </w:r>
    </w:p>
    <w:p w14:paraId="574A8623">
      <w:pPr>
        <w:pStyle w:val="47"/>
        <w:numPr>
          <w:ilvl w:val="0"/>
          <w:numId w:val="16"/>
        </w:numPr>
        <w:ind w:left="709" w:hanging="567" w:firstLineChars="0"/>
        <w:rPr>
          <w:rFonts w:asciiTheme="minorEastAsia" w:hAnsiTheme="minorEastAsia" w:eastAsiaTheme="minorEastAsia"/>
          <w:sz w:val="21"/>
          <w:szCs w:val="21"/>
          <w:lang w:eastAsia="zh-Hans"/>
        </w:rPr>
      </w:pPr>
      <w:r>
        <w:rPr>
          <w:rFonts w:hint="eastAsia" w:asciiTheme="minorEastAsia" w:hAnsiTheme="minorEastAsia" w:eastAsiaTheme="minorEastAsia"/>
          <w:sz w:val="21"/>
          <w:szCs w:val="21"/>
          <w:lang w:eastAsia="zh-Hans"/>
        </w:rPr>
        <w:t>可视化看板要求完整展现业务流程的业务和数据流转的动态细节。当业务流程中发生数据传输时，可视化看板的相应节点或区域应出现实时提示，并展示明细数据内容。若数据处理过程出现意外的中断、错误、高延迟等意外情况时，系统应给出告警提醒管理员关注及处理。</w:t>
      </w:r>
    </w:p>
    <w:p w14:paraId="5347B3EE">
      <w:pPr>
        <w:pStyle w:val="47"/>
        <w:numPr>
          <w:ilvl w:val="0"/>
          <w:numId w:val="16"/>
        </w:numPr>
        <w:ind w:left="709" w:hanging="567" w:firstLineChars="0"/>
        <w:rPr>
          <w:rFonts w:asciiTheme="minorEastAsia" w:hAnsiTheme="minorEastAsia" w:eastAsiaTheme="minorEastAsia"/>
          <w:sz w:val="21"/>
          <w:szCs w:val="21"/>
          <w:lang w:eastAsia="zh-Hans"/>
        </w:rPr>
      </w:pPr>
      <w:r>
        <w:rPr>
          <w:rFonts w:hint="eastAsia" w:asciiTheme="minorEastAsia" w:hAnsiTheme="minorEastAsia" w:eastAsiaTheme="minorEastAsia"/>
          <w:sz w:val="21"/>
          <w:szCs w:val="21"/>
          <w:lang w:eastAsia="zh-Hans"/>
        </w:rPr>
        <w:t>实现已对接及治理数据的智能检索，可根据用户需求实现按类别、按范围等进行检索，并支持检索范围的严格管理及授权。</w:t>
      </w:r>
    </w:p>
    <w:p w14:paraId="6E150600">
      <w:pPr>
        <w:pStyle w:val="4"/>
        <w:numPr>
          <w:ilvl w:val="0"/>
          <w:numId w:val="1"/>
        </w:numPr>
        <w:spacing w:before="0" w:after="0" w:line="415" w:lineRule="auto"/>
        <w:rPr>
          <w:sz w:val="21"/>
          <w:szCs w:val="21"/>
        </w:rPr>
      </w:pPr>
      <w:r>
        <w:rPr>
          <w:rFonts w:hint="eastAsia"/>
          <w:sz w:val="21"/>
          <w:szCs w:val="21"/>
        </w:rPr>
        <w:t>其他要求</w:t>
      </w:r>
    </w:p>
    <w:p w14:paraId="6BD26CA1">
      <w:pPr>
        <w:pStyle w:val="35"/>
        <w:numPr>
          <w:ilvl w:val="0"/>
          <w:numId w:val="17"/>
        </w:numPr>
        <w:tabs>
          <w:tab w:val="left" w:pos="480"/>
        </w:tabs>
        <w:spacing w:line="360" w:lineRule="auto"/>
        <w:ind w:firstLineChars="0"/>
        <w:rPr>
          <w:rFonts w:asciiTheme="minorEastAsia" w:hAnsiTheme="minorEastAsia" w:eastAsiaTheme="minorEastAsia"/>
          <w:szCs w:val="21"/>
          <w:lang w:eastAsia="zh-Hans"/>
        </w:rPr>
      </w:pPr>
      <w:r>
        <w:rPr>
          <w:rFonts w:hint="eastAsia" w:ascii="宋体" w:hAnsi="宋体" w:cs="仿宋_GB2312"/>
          <w:szCs w:val="21"/>
        </w:rPr>
        <w:t>▲</w:t>
      </w:r>
      <w:r>
        <w:rPr>
          <w:rFonts w:hint="eastAsia" w:asciiTheme="minorEastAsia" w:hAnsiTheme="minorEastAsia" w:eastAsiaTheme="minorEastAsia"/>
          <w:szCs w:val="21"/>
          <w:lang w:eastAsia="zh-Hans"/>
        </w:rPr>
        <w:t>数据加密脱敏功能要求在结合学校实际业务需求的基础上严格根据数据分类分级情况执行，加密管理要求内置不少于5种加密算法（至少包括AES、MD5、国密SM2、SM</w:t>
      </w:r>
      <w:r>
        <w:rPr>
          <w:rFonts w:asciiTheme="minorEastAsia" w:hAnsiTheme="minorEastAsia" w:eastAsiaTheme="minorEastAsia"/>
          <w:szCs w:val="21"/>
          <w:lang w:eastAsia="zh-Hans"/>
        </w:rPr>
        <w:t>3</w:t>
      </w:r>
      <w:r>
        <w:rPr>
          <w:rFonts w:hint="eastAsia" w:asciiTheme="minorEastAsia" w:hAnsiTheme="minorEastAsia" w:eastAsiaTheme="minorEastAsia"/>
          <w:szCs w:val="21"/>
          <w:lang w:eastAsia="zh-Hans"/>
        </w:rPr>
        <w:t>、SM4）可供选择，并可根据学校的实际需求进行扩充；</w:t>
      </w:r>
    </w:p>
    <w:p w14:paraId="563A40E5">
      <w:pPr>
        <w:pStyle w:val="35"/>
        <w:numPr>
          <w:ilvl w:val="0"/>
          <w:numId w:val="17"/>
        </w:numPr>
        <w:tabs>
          <w:tab w:val="left" w:pos="480"/>
        </w:tabs>
        <w:spacing w:line="360" w:lineRule="auto"/>
        <w:ind w:firstLineChars="0"/>
        <w:rPr>
          <w:rFonts w:asciiTheme="minorEastAsia" w:hAnsiTheme="minorEastAsia" w:eastAsiaTheme="minorEastAsia"/>
          <w:szCs w:val="21"/>
          <w:lang w:eastAsia="zh-Hans"/>
        </w:rPr>
      </w:pPr>
      <w:r>
        <w:rPr>
          <w:rFonts w:hint="eastAsia" w:asciiTheme="minorEastAsia" w:hAnsiTheme="minorEastAsia" w:eastAsiaTheme="minorEastAsia"/>
          <w:szCs w:val="21"/>
          <w:lang w:eastAsia="zh-Hans"/>
        </w:rPr>
        <w:t>数据脱敏管理至少支持数字随机脱敏、字符仿真脱敏、字符随机脱敏、哈希脱敏等脱敏方式，并可根据学校的实际需求进行扩充。</w:t>
      </w:r>
    </w:p>
    <w:p w14:paraId="241F7348">
      <w:pPr>
        <w:pStyle w:val="35"/>
        <w:numPr>
          <w:ilvl w:val="0"/>
          <w:numId w:val="17"/>
        </w:numPr>
        <w:tabs>
          <w:tab w:val="left" w:pos="480"/>
        </w:tabs>
        <w:spacing w:line="360" w:lineRule="auto"/>
        <w:ind w:firstLineChars="0"/>
        <w:rPr>
          <w:rFonts w:asciiTheme="minorEastAsia" w:hAnsiTheme="minorEastAsia" w:eastAsiaTheme="minorEastAsia"/>
          <w:szCs w:val="21"/>
          <w:lang w:eastAsia="zh-Hans"/>
        </w:rPr>
      </w:pPr>
      <w:r>
        <w:rPr>
          <w:rFonts w:hint="eastAsia" w:asciiTheme="minorEastAsia" w:hAnsiTheme="minorEastAsia" w:eastAsiaTheme="minorEastAsia"/>
          <w:szCs w:val="21"/>
          <w:lang w:eastAsia="zh-Hans"/>
        </w:rPr>
        <w:t>系统必须采用负载均衡，支持动态监测负载状况，自动对可用资源进行并发检测，调整和分配等功能。</w:t>
      </w:r>
    </w:p>
    <w:p w14:paraId="6596581D">
      <w:pPr>
        <w:pStyle w:val="35"/>
        <w:numPr>
          <w:ilvl w:val="0"/>
          <w:numId w:val="17"/>
        </w:numPr>
        <w:tabs>
          <w:tab w:val="left" w:pos="480"/>
        </w:tabs>
        <w:spacing w:line="360" w:lineRule="auto"/>
        <w:ind w:firstLineChars="0"/>
        <w:rPr>
          <w:rFonts w:asciiTheme="minorEastAsia" w:hAnsiTheme="minorEastAsia" w:eastAsiaTheme="minorEastAsia"/>
          <w:szCs w:val="21"/>
          <w:lang w:eastAsia="zh-Hans"/>
        </w:rPr>
      </w:pPr>
      <w:r>
        <w:rPr>
          <w:rFonts w:hint="eastAsia" w:asciiTheme="minorEastAsia" w:hAnsiTheme="minorEastAsia" w:eastAsiaTheme="minorEastAsia"/>
          <w:szCs w:val="21"/>
          <w:lang w:eastAsia="zh-Hans"/>
        </w:rPr>
        <w:t>授权日志管理：平台能记录用户每次添加授权（用户同意授权）、取消授权（用户取消授权）、恢复授权（用户取消授权又恢复授权）、删除授权（系统人员操作删除重置授权状态）等行为信息，并对授权全过程进行记录跟踪，做到个人授权全生命周期管控。</w:t>
      </w:r>
    </w:p>
    <w:p w14:paraId="5EFC4C6F">
      <w:pPr>
        <w:pStyle w:val="35"/>
        <w:numPr>
          <w:ilvl w:val="0"/>
          <w:numId w:val="17"/>
        </w:numPr>
        <w:tabs>
          <w:tab w:val="left" w:pos="480"/>
        </w:tabs>
        <w:spacing w:line="360" w:lineRule="auto"/>
        <w:ind w:firstLineChars="0"/>
        <w:rPr>
          <w:rFonts w:asciiTheme="minorEastAsia" w:hAnsiTheme="minorEastAsia" w:eastAsiaTheme="minorEastAsia"/>
          <w:szCs w:val="21"/>
          <w:lang w:eastAsia="zh-Hans"/>
        </w:rPr>
      </w:pPr>
      <w:r>
        <w:rPr>
          <w:rFonts w:hint="eastAsia" w:asciiTheme="minorEastAsia" w:hAnsiTheme="minorEastAsia" w:eastAsiaTheme="minorEastAsia"/>
          <w:szCs w:val="21"/>
          <w:lang w:eastAsia="zh-Hans"/>
        </w:rPr>
        <w:t>★操作日志管理：平台上所有操作均需记录日志，并可对日志进行按条件查询、展示、分析和统计，例如应用上线审核日志、API发布和申请审核日志、模块操作记录日志、短信、邮件等调用日志等，从而实现数据工作有迹可循。</w:t>
      </w:r>
    </w:p>
    <w:p w14:paraId="247297DA">
      <w:pPr>
        <w:pStyle w:val="35"/>
        <w:numPr>
          <w:ilvl w:val="0"/>
          <w:numId w:val="17"/>
        </w:numPr>
        <w:tabs>
          <w:tab w:val="left" w:pos="480"/>
        </w:tabs>
        <w:spacing w:line="360" w:lineRule="auto"/>
        <w:ind w:firstLineChars="0"/>
        <w:rPr>
          <w:rFonts w:hint="eastAsia" w:asciiTheme="minorEastAsia" w:hAnsiTheme="minorEastAsia" w:eastAsiaTheme="minorEastAsia"/>
          <w:szCs w:val="21"/>
          <w:lang w:eastAsia="zh-Hans"/>
        </w:rPr>
      </w:pPr>
      <w:r>
        <w:rPr>
          <w:rFonts w:hint="eastAsia" w:asciiTheme="minorEastAsia" w:hAnsiTheme="minorEastAsia" w:eastAsiaTheme="minorEastAsia"/>
          <w:szCs w:val="21"/>
          <w:lang w:eastAsia="zh-Hans"/>
        </w:rPr>
        <w:t>性能要求：</w:t>
      </w:r>
    </w:p>
    <w:p w14:paraId="4E5FC51A">
      <w:pPr>
        <w:pStyle w:val="47"/>
        <w:numPr>
          <w:ilvl w:val="0"/>
          <w:numId w:val="18"/>
        </w:numPr>
        <w:ind w:left="993" w:hanging="567" w:firstLineChars="0"/>
        <w:rPr>
          <w:rFonts w:asciiTheme="minorEastAsia" w:hAnsiTheme="minorEastAsia" w:eastAsiaTheme="minorEastAsia"/>
          <w:sz w:val="21"/>
          <w:szCs w:val="21"/>
          <w:lang w:eastAsia="zh-Hans"/>
        </w:rPr>
      </w:pPr>
      <w:r>
        <w:rPr>
          <w:rFonts w:hint="eastAsia" w:ascii="宋体" w:hAnsi="宋体" w:cs="仿宋_GB2312"/>
          <w:szCs w:val="21"/>
        </w:rPr>
        <w:t>▲</w:t>
      </w:r>
      <w:r>
        <w:rPr>
          <w:rFonts w:hint="eastAsia" w:asciiTheme="minorEastAsia" w:hAnsiTheme="minorEastAsia" w:eastAsiaTheme="minorEastAsia"/>
          <w:sz w:val="21"/>
          <w:szCs w:val="21"/>
          <w:lang w:eastAsia="zh-Hans"/>
        </w:rPr>
        <w:t>数据采集性能：</w:t>
      </w:r>
      <w:r>
        <w:rPr>
          <w:rFonts w:asciiTheme="minorEastAsia" w:hAnsiTheme="minorEastAsia" w:eastAsiaTheme="minorEastAsia"/>
          <w:sz w:val="21"/>
          <w:szCs w:val="21"/>
          <w:lang w:eastAsia="zh-Hans"/>
        </w:rPr>
        <w:t>单节点</w:t>
      </w:r>
      <w:r>
        <w:rPr>
          <w:rFonts w:hint="eastAsia" w:asciiTheme="minorEastAsia" w:hAnsiTheme="minorEastAsia" w:eastAsiaTheme="minorEastAsia"/>
          <w:sz w:val="21"/>
          <w:szCs w:val="21"/>
          <w:lang w:eastAsia="zh-Hans"/>
        </w:rPr>
        <w:t>数据采集</w:t>
      </w:r>
      <w:r>
        <w:rPr>
          <w:rFonts w:asciiTheme="minorEastAsia" w:hAnsiTheme="minorEastAsia" w:eastAsiaTheme="minorEastAsia"/>
          <w:sz w:val="21"/>
          <w:szCs w:val="21"/>
          <w:lang w:eastAsia="zh-Hans"/>
        </w:rPr>
        <w:t>速率≥45Mb/s</w:t>
      </w:r>
      <w:r>
        <w:rPr>
          <w:rFonts w:hint="eastAsia" w:asciiTheme="minorEastAsia" w:hAnsiTheme="minorEastAsia" w:eastAsiaTheme="minorEastAsia"/>
          <w:sz w:val="21"/>
          <w:szCs w:val="21"/>
          <w:lang w:eastAsia="zh-Hans"/>
        </w:rPr>
        <w:t>，数据采集</w:t>
      </w:r>
      <w:r>
        <w:rPr>
          <w:rFonts w:asciiTheme="minorEastAsia" w:hAnsiTheme="minorEastAsia" w:eastAsiaTheme="minorEastAsia"/>
          <w:sz w:val="21"/>
          <w:szCs w:val="21"/>
          <w:lang w:eastAsia="zh-Hans"/>
        </w:rPr>
        <w:t>平均速率≥19万条/秒；</w:t>
      </w:r>
    </w:p>
    <w:p w14:paraId="3EA64871">
      <w:pPr>
        <w:pStyle w:val="47"/>
        <w:numPr>
          <w:ilvl w:val="0"/>
          <w:numId w:val="18"/>
        </w:numPr>
        <w:ind w:left="993" w:hanging="567" w:firstLineChars="0"/>
        <w:rPr>
          <w:rFonts w:asciiTheme="minorEastAsia" w:hAnsiTheme="minorEastAsia" w:eastAsiaTheme="minorEastAsia"/>
          <w:sz w:val="21"/>
          <w:szCs w:val="21"/>
          <w:lang w:eastAsia="zh-Hans"/>
        </w:rPr>
      </w:pPr>
      <w:r>
        <w:rPr>
          <w:rFonts w:hint="eastAsia" w:ascii="宋体" w:hAnsi="宋体" w:cs="仿宋_GB2312"/>
          <w:szCs w:val="21"/>
        </w:rPr>
        <w:t>▲</w:t>
      </w:r>
      <w:r>
        <w:rPr>
          <w:rFonts w:hint="eastAsia" w:asciiTheme="minorEastAsia" w:hAnsiTheme="minorEastAsia" w:eastAsiaTheme="minorEastAsia"/>
          <w:sz w:val="21"/>
          <w:szCs w:val="21"/>
          <w:lang w:eastAsia="zh-Hans"/>
        </w:rPr>
        <w:t>数据查询性能：针对单表存储的</w:t>
      </w:r>
      <w:r>
        <w:rPr>
          <w:rFonts w:asciiTheme="minorEastAsia" w:hAnsiTheme="minorEastAsia" w:eastAsiaTheme="minorEastAsia"/>
          <w:sz w:val="21"/>
          <w:szCs w:val="21"/>
          <w:lang w:eastAsia="zh-Hans"/>
        </w:rPr>
        <w:t>≥</w:t>
      </w:r>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lang w:eastAsia="zh-Hans"/>
        </w:rPr>
        <w:t>亿条数据，全文检索查询的平均响应时间应≤3秒，满足大数据量场景下的快速响应需求；</w:t>
      </w:r>
    </w:p>
    <w:p w14:paraId="6BCC59B9">
      <w:pPr>
        <w:pStyle w:val="47"/>
        <w:numPr>
          <w:ilvl w:val="0"/>
          <w:numId w:val="18"/>
        </w:numPr>
        <w:ind w:left="993" w:hanging="567" w:firstLineChars="0"/>
        <w:rPr>
          <w:rFonts w:asciiTheme="minorEastAsia" w:hAnsiTheme="minorEastAsia" w:eastAsiaTheme="minorEastAsia"/>
          <w:sz w:val="21"/>
          <w:szCs w:val="21"/>
          <w:lang w:eastAsia="zh-Hans"/>
        </w:rPr>
      </w:pPr>
      <w:r>
        <w:rPr>
          <w:rFonts w:hint="eastAsia" w:ascii="宋体" w:hAnsi="宋体" w:cs="仿宋_GB2312"/>
          <w:szCs w:val="21"/>
        </w:rPr>
        <w:t>▲</w:t>
      </w:r>
      <w:r>
        <w:rPr>
          <w:rFonts w:hint="eastAsia" w:asciiTheme="minorEastAsia" w:hAnsiTheme="minorEastAsia" w:eastAsiaTheme="minorEastAsia"/>
          <w:sz w:val="21"/>
          <w:szCs w:val="21"/>
          <w:lang w:eastAsia="zh-Hans"/>
        </w:rPr>
        <w:t>数据写入性能：</w:t>
      </w:r>
      <w:r>
        <w:rPr>
          <w:rFonts w:asciiTheme="minorEastAsia" w:hAnsiTheme="minorEastAsia" w:eastAsiaTheme="minorEastAsia"/>
          <w:sz w:val="21"/>
          <w:szCs w:val="21"/>
          <w:lang w:eastAsia="zh-Hans"/>
        </w:rPr>
        <w:t>写入数据库的数据量≥500万</w:t>
      </w:r>
      <w:r>
        <w:rPr>
          <w:rFonts w:hint="eastAsia" w:asciiTheme="minorEastAsia" w:hAnsiTheme="minorEastAsia" w:eastAsiaTheme="minorEastAsia"/>
          <w:sz w:val="21"/>
          <w:szCs w:val="21"/>
          <w:lang w:eastAsia="zh-Hans"/>
        </w:rPr>
        <w:t>条</w:t>
      </w:r>
      <w:r>
        <w:rPr>
          <w:rFonts w:asciiTheme="minorEastAsia" w:hAnsiTheme="minorEastAsia" w:eastAsiaTheme="minorEastAsia"/>
          <w:sz w:val="21"/>
          <w:szCs w:val="21"/>
          <w:lang w:eastAsia="zh-Hans"/>
        </w:rPr>
        <w:t>时耗时</w:t>
      </w:r>
      <w:r>
        <w:rPr>
          <w:rFonts w:hint="eastAsia" w:asciiTheme="minorEastAsia" w:hAnsiTheme="minorEastAsia" w:eastAsiaTheme="minorEastAsia"/>
          <w:sz w:val="21"/>
          <w:szCs w:val="21"/>
          <w:lang w:eastAsia="zh-Hans"/>
        </w:rPr>
        <w:t>≤</w:t>
      </w:r>
      <w:r>
        <w:rPr>
          <w:rFonts w:asciiTheme="minorEastAsia" w:hAnsiTheme="minorEastAsia" w:eastAsiaTheme="minorEastAsia"/>
          <w:sz w:val="21"/>
          <w:szCs w:val="21"/>
          <w:lang w:eastAsia="zh-Hans"/>
        </w:rPr>
        <w:t>120秒</w:t>
      </w:r>
      <w:r>
        <w:rPr>
          <w:rFonts w:hint="eastAsia" w:asciiTheme="minorEastAsia" w:hAnsiTheme="minorEastAsia" w:eastAsiaTheme="minorEastAsia"/>
          <w:sz w:val="21"/>
          <w:szCs w:val="21"/>
        </w:rPr>
        <w:t>；</w:t>
      </w:r>
    </w:p>
    <w:p w14:paraId="0647C537">
      <w:pPr>
        <w:pStyle w:val="47"/>
        <w:numPr>
          <w:ilvl w:val="0"/>
          <w:numId w:val="18"/>
        </w:numPr>
        <w:ind w:left="993" w:hanging="567" w:firstLineChars="0"/>
        <w:rPr>
          <w:rFonts w:asciiTheme="minorEastAsia" w:hAnsiTheme="minorEastAsia" w:eastAsiaTheme="minorEastAsia"/>
          <w:sz w:val="21"/>
          <w:szCs w:val="21"/>
          <w:lang w:eastAsia="zh-Hans"/>
        </w:rPr>
      </w:pPr>
      <w:r>
        <w:rPr>
          <w:rFonts w:hint="eastAsia" w:asciiTheme="minorEastAsia" w:hAnsiTheme="minorEastAsia" w:eastAsiaTheme="minorEastAsia"/>
          <w:sz w:val="21"/>
          <w:szCs w:val="21"/>
          <w:lang w:eastAsia="zh-Hans"/>
        </w:rPr>
        <w:t>数据服务性能：</w:t>
      </w:r>
    </w:p>
    <w:p w14:paraId="1E969894">
      <w:pPr>
        <w:pStyle w:val="47"/>
        <w:ind w:left="993" w:firstLine="0" w:firstLineChars="0"/>
        <w:rPr>
          <w:rFonts w:asciiTheme="minorEastAsia" w:hAnsiTheme="minorEastAsia" w:eastAsiaTheme="minorEastAsia"/>
          <w:sz w:val="21"/>
          <w:szCs w:val="21"/>
          <w:lang w:eastAsia="zh-Hans"/>
        </w:rPr>
      </w:pPr>
      <w:r>
        <w:rPr>
          <w:rFonts w:asciiTheme="minorEastAsia" w:hAnsiTheme="minorEastAsia" w:eastAsiaTheme="minorEastAsia"/>
          <w:sz w:val="21"/>
          <w:szCs w:val="21"/>
          <w:lang w:eastAsia="zh-Hans"/>
        </w:rPr>
        <w:t>a</w:t>
      </w:r>
      <w:r>
        <w:rPr>
          <w:rFonts w:hint="eastAsia" w:asciiTheme="minorEastAsia" w:hAnsiTheme="minorEastAsia" w:eastAsiaTheme="minorEastAsia"/>
          <w:sz w:val="21"/>
          <w:szCs w:val="21"/>
          <w:lang w:eastAsia="zh-Hans"/>
        </w:rPr>
        <w:t>. 单节点提供API服务可支撑日均不小于7</w:t>
      </w:r>
      <w:r>
        <w:rPr>
          <w:rFonts w:asciiTheme="minorEastAsia" w:hAnsiTheme="minorEastAsia" w:eastAsiaTheme="minorEastAsia"/>
          <w:sz w:val="21"/>
          <w:szCs w:val="21"/>
          <w:lang w:eastAsia="zh-Hans"/>
        </w:rPr>
        <w:t>0</w:t>
      </w:r>
      <w:r>
        <w:rPr>
          <w:rFonts w:hint="eastAsia" w:asciiTheme="minorEastAsia" w:hAnsiTheme="minorEastAsia" w:eastAsiaTheme="minorEastAsia"/>
          <w:sz w:val="21"/>
          <w:szCs w:val="21"/>
          <w:lang w:eastAsia="zh-Hans"/>
        </w:rPr>
        <w:t>万次调用；</w:t>
      </w:r>
    </w:p>
    <w:p w14:paraId="6B952D47">
      <w:pPr>
        <w:pStyle w:val="47"/>
        <w:ind w:left="993" w:firstLine="0" w:firstLineChars="0"/>
        <w:rPr>
          <w:rFonts w:asciiTheme="minorEastAsia" w:hAnsiTheme="minorEastAsia" w:eastAsiaTheme="minorEastAsia"/>
          <w:sz w:val="21"/>
          <w:szCs w:val="21"/>
          <w:lang w:eastAsia="zh-Hans"/>
        </w:rPr>
      </w:pPr>
      <w:r>
        <w:rPr>
          <w:rFonts w:asciiTheme="minorEastAsia" w:hAnsiTheme="minorEastAsia" w:eastAsiaTheme="minorEastAsia"/>
          <w:sz w:val="21"/>
          <w:szCs w:val="21"/>
          <w:lang w:eastAsia="zh-Hans"/>
        </w:rPr>
        <w:t>b</w:t>
      </w:r>
      <w:r>
        <w:rPr>
          <w:rFonts w:hint="eastAsia" w:asciiTheme="minorEastAsia" w:hAnsiTheme="minorEastAsia" w:eastAsiaTheme="minorEastAsia"/>
          <w:sz w:val="21"/>
          <w:szCs w:val="21"/>
          <w:lang w:eastAsia="zh-Hans"/>
        </w:rPr>
        <w:t>.</w:t>
      </w:r>
      <w:r>
        <w:rPr>
          <w:rFonts w:asciiTheme="minorEastAsia" w:hAnsiTheme="minorEastAsia" w:eastAsiaTheme="minorEastAsia"/>
          <w:sz w:val="21"/>
          <w:szCs w:val="21"/>
          <w:lang w:eastAsia="zh-Hans"/>
        </w:rPr>
        <w:t xml:space="preserve"> </w:t>
      </w:r>
      <w:r>
        <w:rPr>
          <w:rFonts w:hint="eastAsia" w:ascii="宋体" w:hAnsi="宋体" w:cs="仿宋_GB2312"/>
          <w:szCs w:val="21"/>
        </w:rPr>
        <w:t>▲</w:t>
      </w:r>
      <w:r>
        <w:rPr>
          <w:rFonts w:hint="eastAsia" w:asciiTheme="minorEastAsia" w:hAnsiTheme="minorEastAsia" w:eastAsiaTheme="minorEastAsia"/>
          <w:sz w:val="21"/>
          <w:szCs w:val="21"/>
          <w:lang w:eastAsia="zh-Hans"/>
        </w:rPr>
        <w:t>在查询的数据量为</w:t>
      </w:r>
      <w:r>
        <w:rPr>
          <w:rFonts w:asciiTheme="minorEastAsia" w:hAnsiTheme="minorEastAsia" w:eastAsiaTheme="minorEastAsia"/>
          <w:sz w:val="21"/>
          <w:szCs w:val="21"/>
          <w:lang w:eastAsia="zh-Hans"/>
        </w:rPr>
        <w:t>≥</w:t>
      </w:r>
      <w:r>
        <w:rPr>
          <w:rFonts w:hint="eastAsia" w:asciiTheme="minorEastAsia" w:hAnsiTheme="minorEastAsia" w:eastAsiaTheme="minorEastAsia"/>
          <w:sz w:val="21"/>
          <w:szCs w:val="21"/>
          <w:lang w:eastAsia="zh-Hans"/>
        </w:rPr>
        <w:t>1万条数据记录</w:t>
      </w:r>
      <w:r>
        <w:rPr>
          <w:rFonts w:asciiTheme="minorEastAsia" w:hAnsiTheme="minorEastAsia" w:eastAsiaTheme="minorEastAsia"/>
          <w:sz w:val="21"/>
          <w:szCs w:val="21"/>
          <w:lang w:eastAsia="zh-Hans"/>
        </w:rPr>
        <w:t>时</w:t>
      </w:r>
      <w:r>
        <w:rPr>
          <w:rFonts w:hint="eastAsia" w:asciiTheme="minorEastAsia" w:hAnsiTheme="minorEastAsia" w:eastAsiaTheme="minorEastAsia"/>
          <w:sz w:val="21"/>
          <w:szCs w:val="21"/>
          <w:lang w:eastAsia="zh-Hans"/>
        </w:rPr>
        <w:t>响应时间小于1秒；</w:t>
      </w:r>
    </w:p>
    <w:p w14:paraId="507EF415">
      <w:pPr>
        <w:pStyle w:val="47"/>
        <w:ind w:left="993" w:firstLine="0" w:firstLineChars="0"/>
        <w:rPr>
          <w:rFonts w:asciiTheme="minorEastAsia" w:hAnsiTheme="minorEastAsia" w:eastAsiaTheme="minorEastAsia"/>
          <w:sz w:val="21"/>
          <w:szCs w:val="21"/>
          <w:lang w:eastAsia="zh-Hans"/>
        </w:rPr>
      </w:pPr>
      <w:r>
        <w:rPr>
          <w:rFonts w:hint="eastAsia" w:asciiTheme="minorEastAsia" w:hAnsiTheme="minorEastAsia" w:eastAsiaTheme="minorEastAsia"/>
          <w:sz w:val="21"/>
          <w:szCs w:val="21"/>
        </w:rPr>
        <w:t>c</w:t>
      </w:r>
      <w:r>
        <w:rPr>
          <w:rFonts w:asciiTheme="minorEastAsia" w:hAnsiTheme="minorEastAsia" w:eastAsiaTheme="minorEastAsia"/>
          <w:sz w:val="21"/>
          <w:szCs w:val="21"/>
        </w:rPr>
        <w:t xml:space="preserve">. </w:t>
      </w:r>
      <w:r>
        <w:rPr>
          <w:rFonts w:asciiTheme="minorEastAsia" w:hAnsiTheme="minorEastAsia" w:eastAsiaTheme="minorEastAsia"/>
          <w:sz w:val="21"/>
          <w:szCs w:val="21"/>
          <w:lang w:eastAsia="zh-Hans"/>
        </w:rPr>
        <w:t>数据共享开放的数据量为50万</w:t>
      </w:r>
      <w:r>
        <w:rPr>
          <w:rFonts w:hint="eastAsia" w:asciiTheme="minorEastAsia" w:hAnsiTheme="minorEastAsia" w:eastAsiaTheme="minorEastAsia"/>
          <w:sz w:val="21"/>
          <w:szCs w:val="21"/>
        </w:rPr>
        <w:t>条数据时</w:t>
      </w:r>
      <w:r>
        <w:rPr>
          <w:rFonts w:asciiTheme="minorEastAsia" w:hAnsiTheme="minorEastAsia" w:eastAsiaTheme="minorEastAsia"/>
          <w:sz w:val="21"/>
          <w:szCs w:val="21"/>
          <w:lang w:eastAsia="zh-Hans"/>
        </w:rPr>
        <w:t>请求响应时间小于2秒，数据交换耗时小于60秒</w:t>
      </w:r>
      <w:r>
        <w:rPr>
          <w:rFonts w:hint="eastAsia" w:asciiTheme="minorEastAsia" w:hAnsiTheme="minorEastAsia" w:eastAsiaTheme="minorEastAsia"/>
          <w:sz w:val="21"/>
          <w:szCs w:val="21"/>
          <w:lang w:eastAsia="zh-Hans"/>
        </w:rPr>
        <w:t>。</w:t>
      </w:r>
    </w:p>
    <w:p w14:paraId="2C487A60">
      <w:pPr>
        <w:pStyle w:val="47"/>
        <w:numPr>
          <w:ilvl w:val="0"/>
          <w:numId w:val="18"/>
        </w:numPr>
        <w:ind w:left="993" w:hanging="567" w:firstLineChars="0"/>
        <w:rPr>
          <w:rFonts w:asciiTheme="minorEastAsia" w:hAnsiTheme="minorEastAsia" w:eastAsiaTheme="minorEastAsia"/>
          <w:sz w:val="21"/>
          <w:szCs w:val="21"/>
          <w:lang w:eastAsia="zh-Hans"/>
        </w:rPr>
      </w:pPr>
      <w:r>
        <w:rPr>
          <w:rFonts w:hint="eastAsia" w:asciiTheme="minorEastAsia" w:hAnsiTheme="minorEastAsia" w:eastAsiaTheme="minorEastAsia"/>
          <w:sz w:val="21"/>
          <w:szCs w:val="21"/>
          <w:lang w:eastAsia="zh-Hans"/>
        </w:rPr>
        <w:t>数据同步延迟：</w:t>
      </w:r>
      <w:r>
        <w:rPr>
          <w:rFonts w:asciiTheme="minorEastAsia" w:hAnsiTheme="minorEastAsia" w:eastAsiaTheme="minorEastAsia"/>
          <w:sz w:val="21"/>
          <w:szCs w:val="21"/>
          <w:lang w:eastAsia="zh-Hans"/>
        </w:rPr>
        <w:t>数据实时同步时延迟小于秒级</w:t>
      </w:r>
      <w:r>
        <w:rPr>
          <w:rFonts w:hint="eastAsia" w:asciiTheme="minorEastAsia" w:hAnsiTheme="minorEastAsia" w:eastAsiaTheme="minorEastAsia"/>
          <w:sz w:val="21"/>
          <w:szCs w:val="21"/>
          <w:lang w:eastAsia="zh-Hans"/>
        </w:rPr>
        <w:t>；</w:t>
      </w:r>
    </w:p>
    <w:p w14:paraId="7C7BC129">
      <w:pPr>
        <w:pStyle w:val="47"/>
        <w:numPr>
          <w:ilvl w:val="0"/>
          <w:numId w:val="18"/>
        </w:numPr>
        <w:ind w:left="993" w:hanging="567" w:firstLineChars="0"/>
        <w:rPr>
          <w:rFonts w:asciiTheme="minorEastAsia" w:hAnsiTheme="minorEastAsia" w:eastAsiaTheme="minorEastAsia"/>
          <w:sz w:val="21"/>
          <w:szCs w:val="21"/>
          <w:lang w:eastAsia="zh-Hans"/>
        </w:rPr>
      </w:pPr>
      <w:r>
        <w:rPr>
          <w:rFonts w:hint="eastAsia" w:asciiTheme="minorEastAsia" w:hAnsiTheme="minorEastAsia" w:eastAsiaTheme="minorEastAsia"/>
          <w:sz w:val="21"/>
          <w:szCs w:val="21"/>
          <w:lang w:eastAsia="zh-Hans"/>
        </w:rPr>
        <w:t>实时同步容错性：数据同步支持断点续传功能，</w:t>
      </w:r>
      <w:r>
        <w:rPr>
          <w:rFonts w:asciiTheme="minorEastAsia" w:hAnsiTheme="minorEastAsia" w:eastAsiaTheme="minorEastAsia"/>
          <w:sz w:val="21"/>
          <w:szCs w:val="21"/>
          <w:lang w:eastAsia="zh-Hans"/>
        </w:rPr>
        <w:t>当网络或系统故障导致实时同步中断，故障恢复后实时数据同步任务应自动恢复运行且数据不丢失、不重复。</w:t>
      </w:r>
    </w:p>
    <w:p w14:paraId="34460840">
      <w:pPr>
        <w:pStyle w:val="4"/>
        <w:numPr>
          <w:ilvl w:val="0"/>
          <w:numId w:val="1"/>
        </w:numPr>
        <w:spacing w:before="0" w:after="0" w:line="415" w:lineRule="auto"/>
        <w:rPr>
          <w:sz w:val="21"/>
          <w:szCs w:val="21"/>
        </w:rPr>
      </w:pPr>
      <w:r>
        <w:rPr>
          <w:rFonts w:hint="eastAsia"/>
          <w:sz w:val="21"/>
          <w:szCs w:val="21"/>
        </w:rPr>
        <w:t>非功能新要求</w:t>
      </w:r>
    </w:p>
    <w:p w14:paraId="637832E6">
      <w:pPr>
        <w:pStyle w:val="35"/>
        <w:numPr>
          <w:ilvl w:val="0"/>
          <w:numId w:val="19"/>
        </w:numPr>
        <w:tabs>
          <w:tab w:val="left" w:pos="480"/>
        </w:tabs>
        <w:spacing w:line="360" w:lineRule="auto"/>
        <w:ind w:firstLineChars="0"/>
        <w:rPr>
          <w:rFonts w:asciiTheme="minorEastAsia" w:hAnsiTheme="minorEastAsia" w:eastAsiaTheme="minorEastAsia"/>
          <w:szCs w:val="21"/>
          <w:lang w:eastAsia="zh-Hans"/>
        </w:rPr>
      </w:pPr>
      <w:r>
        <w:rPr>
          <w:rFonts w:hint="eastAsia" w:asciiTheme="minorEastAsia" w:hAnsiTheme="minorEastAsia" w:eastAsiaTheme="minorEastAsia"/>
          <w:szCs w:val="21"/>
          <w:lang w:eastAsia="zh-Hans"/>
        </w:rPr>
        <w:t>平台须采用B/S结构，可运行于高安全性操作系统及国产操作系统，并根据学校要求确定最终部署方式，数据存储以学校最终要求为准。开发技术应采用J2EE标准，组件技术及在数据交换上对多种类型的数据，包括各类关系型数据库、XML、大数据的支持，使系统功能最优化，同时将整体方案内部在技术上的相互依赖性减至最低。</w:t>
      </w:r>
    </w:p>
    <w:p w14:paraId="28DAE901">
      <w:pPr>
        <w:pStyle w:val="35"/>
        <w:numPr>
          <w:ilvl w:val="0"/>
          <w:numId w:val="19"/>
        </w:numPr>
        <w:tabs>
          <w:tab w:val="left" w:pos="480"/>
        </w:tabs>
        <w:spacing w:line="360" w:lineRule="auto"/>
        <w:ind w:firstLineChars="0"/>
        <w:rPr>
          <w:rFonts w:asciiTheme="minorEastAsia" w:hAnsiTheme="minorEastAsia" w:eastAsiaTheme="minorEastAsia"/>
          <w:szCs w:val="21"/>
          <w:lang w:eastAsia="zh-Hans"/>
        </w:rPr>
      </w:pPr>
      <w:r>
        <w:rPr>
          <w:rFonts w:hint="eastAsia" w:cs="宋体" w:asciiTheme="minorEastAsia" w:hAnsiTheme="minorEastAsia" w:eastAsiaTheme="minorEastAsia"/>
          <w:szCs w:val="21"/>
          <w:lang w:eastAsia="zh-Hans"/>
        </w:rPr>
        <w:t>平台建设须具有可扩展性，质保期间可根据学校的具体运行情况对平台</w:t>
      </w:r>
      <w:r>
        <w:rPr>
          <w:rFonts w:hint="eastAsia" w:cs="宋体" w:asciiTheme="minorEastAsia" w:hAnsiTheme="minorEastAsia" w:eastAsiaTheme="minorEastAsia"/>
          <w:szCs w:val="21"/>
        </w:rPr>
        <w:t>进行扩展，以满足业务发展的需求；并可根据学校的统一管理规划，进行平台的迁移和部署</w:t>
      </w:r>
      <w:r>
        <w:rPr>
          <w:rFonts w:hint="eastAsia" w:cs="宋体" w:asciiTheme="minorEastAsia" w:hAnsiTheme="minorEastAsia" w:eastAsiaTheme="minorEastAsia"/>
          <w:szCs w:val="21"/>
          <w:lang w:eastAsia="zh-Hans"/>
        </w:rPr>
        <w:t>。</w:t>
      </w:r>
    </w:p>
    <w:p w14:paraId="154583B7">
      <w:pPr>
        <w:pStyle w:val="35"/>
        <w:numPr>
          <w:ilvl w:val="0"/>
          <w:numId w:val="19"/>
        </w:numPr>
        <w:tabs>
          <w:tab w:val="left" w:pos="480"/>
        </w:tabs>
        <w:spacing w:line="360" w:lineRule="auto"/>
        <w:ind w:firstLineChars="0"/>
        <w:rPr>
          <w:rFonts w:asciiTheme="minorEastAsia" w:hAnsiTheme="minorEastAsia" w:eastAsiaTheme="minorEastAsia"/>
          <w:szCs w:val="21"/>
          <w:lang w:eastAsia="zh-Hans"/>
        </w:rPr>
      </w:pPr>
      <w:r>
        <w:rPr>
          <w:rFonts w:hint="eastAsia" w:asciiTheme="minorEastAsia" w:hAnsiTheme="minorEastAsia" w:eastAsiaTheme="minorEastAsia"/>
          <w:szCs w:val="21"/>
          <w:lang w:eastAsia="zh-Hans"/>
        </w:rPr>
        <w:t>平台要求</w:t>
      </w:r>
      <w:r>
        <w:rPr>
          <w:rFonts w:hint="eastAsia"/>
          <w:szCs w:val="21"/>
        </w:rPr>
        <w:t>校内</w:t>
      </w:r>
      <w:r>
        <w:rPr>
          <w:rFonts w:hint="eastAsia" w:asciiTheme="minorEastAsia" w:hAnsiTheme="minorEastAsia" w:eastAsiaTheme="minorEastAsia"/>
          <w:szCs w:val="21"/>
          <w:lang w:eastAsia="zh-Hans"/>
        </w:rPr>
        <w:t>本地化部署，部署方式符合学校规定，</w:t>
      </w:r>
      <w:r>
        <w:rPr>
          <w:rFonts w:asciiTheme="minorEastAsia" w:hAnsiTheme="minorEastAsia" w:eastAsiaTheme="minorEastAsia"/>
          <w:szCs w:val="21"/>
          <w:lang w:eastAsia="zh-Hans"/>
        </w:rPr>
        <w:t>应支持云平台</w:t>
      </w:r>
      <w:r>
        <w:rPr>
          <w:rFonts w:hint="eastAsia" w:asciiTheme="minorEastAsia" w:hAnsiTheme="minorEastAsia" w:eastAsiaTheme="minorEastAsia"/>
          <w:szCs w:val="21"/>
          <w:lang w:eastAsia="zh-Hans"/>
        </w:rPr>
        <w:t>及物理机部署；浏览器满足现有主流浏览器及版本的要求，如：Edge、</w:t>
      </w:r>
      <w:r>
        <w:rPr>
          <w:rFonts w:asciiTheme="minorEastAsia" w:hAnsiTheme="minorEastAsia" w:eastAsiaTheme="minorEastAsia"/>
          <w:szCs w:val="21"/>
          <w:lang w:eastAsia="zh-Hans"/>
        </w:rPr>
        <w:t>ie、firefox、chrome</w:t>
      </w:r>
      <w:r>
        <w:rPr>
          <w:rFonts w:hint="eastAsia" w:asciiTheme="minorEastAsia" w:hAnsiTheme="minorEastAsia" w:eastAsiaTheme="minorEastAsia"/>
          <w:szCs w:val="21"/>
          <w:lang w:eastAsia="zh-Hans"/>
        </w:rPr>
        <w:t>、</w:t>
      </w:r>
      <w:r>
        <w:rPr>
          <w:rFonts w:asciiTheme="minorEastAsia" w:hAnsiTheme="minorEastAsia" w:eastAsiaTheme="minorEastAsia"/>
          <w:szCs w:val="21"/>
          <w:lang w:eastAsia="zh-Hans"/>
        </w:rPr>
        <w:t>Safari</w:t>
      </w:r>
      <w:r>
        <w:rPr>
          <w:rFonts w:hint="eastAsia" w:asciiTheme="minorEastAsia" w:hAnsiTheme="minorEastAsia" w:eastAsiaTheme="minorEastAsia"/>
          <w:szCs w:val="21"/>
          <w:lang w:eastAsia="zh-Hans"/>
        </w:rPr>
        <w:t>等</w:t>
      </w:r>
      <w:r>
        <w:rPr>
          <w:rFonts w:asciiTheme="minorEastAsia" w:hAnsiTheme="minorEastAsia" w:eastAsiaTheme="minorEastAsia"/>
          <w:szCs w:val="21"/>
          <w:lang w:eastAsia="zh-Hans"/>
        </w:rPr>
        <w:t>,兼容性要求必须满足《网络信息中心信息化项目应用兼容性要求》。</w:t>
      </w:r>
    </w:p>
    <w:p w14:paraId="29567641">
      <w:pPr>
        <w:pStyle w:val="35"/>
        <w:numPr>
          <w:ilvl w:val="0"/>
          <w:numId w:val="19"/>
        </w:numPr>
        <w:tabs>
          <w:tab w:val="left" w:pos="480"/>
        </w:tabs>
        <w:spacing w:line="360" w:lineRule="auto"/>
        <w:ind w:firstLineChars="0"/>
        <w:rPr>
          <w:rFonts w:asciiTheme="minorEastAsia" w:hAnsiTheme="minorEastAsia" w:eastAsiaTheme="minorEastAsia"/>
          <w:szCs w:val="21"/>
          <w:lang w:eastAsia="zh-Hans"/>
        </w:rPr>
      </w:pPr>
      <w:r>
        <w:rPr>
          <w:rFonts w:hint="eastAsia" w:asciiTheme="minorEastAsia" w:hAnsiTheme="minorEastAsia" w:eastAsiaTheme="minorEastAsia"/>
          <w:szCs w:val="21"/>
          <w:lang w:eastAsia="zh-Hans"/>
        </w:rPr>
        <w:t>平台采购后可终身使用，质保期不少于三年。质保期内，中标方须完成质保期内平台系统日常维护、数据处理、系统功能完善、已有功能临时性调整等工作。并完成包括但不限于《</w:t>
      </w:r>
      <w:r>
        <w:rPr>
          <w:rFonts w:hint="eastAsia" w:ascii="宋体" w:hAnsi="宋体"/>
        </w:rPr>
        <w:t>数据分类分级规则》</w:t>
      </w:r>
      <w:r>
        <w:rPr>
          <w:rFonts w:hint="eastAsia" w:asciiTheme="minorEastAsia" w:hAnsiTheme="minorEastAsia" w:eastAsiaTheme="minorEastAsia"/>
          <w:szCs w:val="21"/>
          <w:lang w:eastAsia="zh-Hans"/>
        </w:rPr>
        <w:t>、《</w:t>
      </w:r>
      <w:r>
        <w:rPr>
          <w:rFonts w:hint="eastAsia" w:ascii="宋体" w:hAnsi="宋体"/>
        </w:rPr>
        <w:t>数据分类分级管理规范</w:t>
      </w:r>
      <w:r>
        <w:rPr>
          <w:rFonts w:hint="eastAsia" w:asciiTheme="minorEastAsia" w:hAnsiTheme="minorEastAsia" w:eastAsiaTheme="minorEastAsia"/>
          <w:szCs w:val="21"/>
          <w:lang w:eastAsia="zh-Hans"/>
        </w:rPr>
        <w:t>》、《数据安全人员管理规范》等文档更新或起草工作。本次采购产品所有开发、安装、部署等费用均包含在此次采购范围内，且不涉及其他商业版权问题，西安交通大学网络信息中心将不支付其他任何费用。</w:t>
      </w:r>
    </w:p>
    <w:p w14:paraId="526A011A">
      <w:pPr>
        <w:numPr>
          <w:ilvl w:val="0"/>
          <w:numId w:val="19"/>
        </w:numPr>
        <w:spacing w:line="360" w:lineRule="auto"/>
        <w:rPr>
          <w:rFonts w:ascii="宋体" w:hAnsi="宋体" w:cs="宋体"/>
          <w:sz w:val="24"/>
          <w:szCs w:val="24"/>
        </w:rPr>
      </w:pPr>
      <w:r>
        <w:rPr>
          <w:rFonts w:hint="eastAsia" w:ascii="宋体" w:hAnsi="宋体" w:cs="宋体"/>
          <w:szCs w:val="21"/>
        </w:rPr>
        <w:t>知识产权要求。本项目交付的所有成果、文档资料、应学校要求定制开发的源程序代码的知识产权归学校所有。</w:t>
      </w:r>
    </w:p>
    <w:p w14:paraId="75037227">
      <w:pPr>
        <w:pStyle w:val="35"/>
        <w:numPr>
          <w:ilvl w:val="0"/>
          <w:numId w:val="19"/>
        </w:numPr>
        <w:tabs>
          <w:tab w:val="left" w:pos="480"/>
        </w:tabs>
        <w:spacing w:line="360" w:lineRule="auto"/>
        <w:ind w:firstLineChars="0"/>
        <w:rPr>
          <w:rFonts w:asciiTheme="minorEastAsia" w:hAnsiTheme="minorEastAsia" w:eastAsiaTheme="minorEastAsia"/>
          <w:szCs w:val="21"/>
          <w:lang w:eastAsia="zh-Hans"/>
        </w:rPr>
      </w:pPr>
      <w:r>
        <w:rPr>
          <w:rFonts w:hint="eastAsia" w:asciiTheme="minorEastAsia" w:hAnsiTheme="minorEastAsia" w:eastAsiaTheme="minorEastAsia"/>
          <w:szCs w:val="21"/>
          <w:lang w:eastAsia="zh-Hans"/>
        </w:rPr>
        <w:t>★安全责任要求：</w:t>
      </w:r>
    </w:p>
    <w:p w14:paraId="0C9BAC73">
      <w:pPr>
        <w:pStyle w:val="35"/>
        <w:numPr>
          <w:ilvl w:val="0"/>
          <w:numId w:val="20"/>
        </w:numPr>
        <w:tabs>
          <w:tab w:val="left" w:pos="480"/>
        </w:tabs>
        <w:spacing w:line="360" w:lineRule="auto"/>
        <w:ind w:firstLineChars="0"/>
        <w:rPr>
          <w:rFonts w:cs="宋体" w:asciiTheme="minorEastAsia" w:hAnsiTheme="minorEastAsia" w:eastAsiaTheme="minorEastAsia"/>
          <w:szCs w:val="21"/>
          <w:lang w:eastAsia="zh-Hans"/>
        </w:rPr>
      </w:pPr>
      <w:r>
        <w:rPr>
          <w:rFonts w:hint="eastAsia" w:cs="宋体" w:asciiTheme="minorEastAsia" w:hAnsiTheme="minorEastAsia" w:eastAsiaTheme="minorEastAsia"/>
          <w:szCs w:val="21"/>
          <w:lang w:eastAsia="zh-Hans"/>
        </w:rPr>
        <w:t>供应商须无偿配合学校实施本平台的信息系统安全等级保护相关工作，达到信息安全等级保护二级或二级以上标准，符合国标《信息安全技术-信息系统安全等级保护基本要求》（GB/T 22239-2019）6.1.4应用安全要求。供应商须根据学校要求签订保密协议</w:t>
      </w:r>
      <w:r>
        <w:rPr>
          <w:rFonts w:hint="eastAsia" w:asciiTheme="minorEastAsia" w:hAnsiTheme="minorEastAsia" w:eastAsiaTheme="minorEastAsia"/>
          <w:szCs w:val="21"/>
          <w:lang w:eastAsia="zh-Hans"/>
        </w:rPr>
        <w:t>，所有数据未经学校允许，不能用作他用及对外演示</w:t>
      </w:r>
      <w:r>
        <w:rPr>
          <w:rFonts w:hint="eastAsia" w:cs="宋体" w:asciiTheme="minorEastAsia" w:hAnsiTheme="minorEastAsia" w:eastAsiaTheme="minorEastAsia"/>
          <w:szCs w:val="21"/>
          <w:lang w:eastAsia="zh-Hans"/>
        </w:rPr>
        <w:t>；</w:t>
      </w:r>
    </w:p>
    <w:p w14:paraId="34B435EA">
      <w:pPr>
        <w:pStyle w:val="35"/>
        <w:numPr>
          <w:ilvl w:val="0"/>
          <w:numId w:val="20"/>
        </w:numPr>
        <w:tabs>
          <w:tab w:val="left" w:pos="480"/>
        </w:tabs>
        <w:spacing w:line="360" w:lineRule="auto"/>
        <w:ind w:firstLineChars="0"/>
        <w:rPr>
          <w:rFonts w:cs="宋体" w:asciiTheme="minorEastAsia" w:hAnsiTheme="minorEastAsia" w:eastAsiaTheme="minorEastAsia"/>
          <w:szCs w:val="21"/>
          <w:lang w:eastAsia="zh-Hans"/>
        </w:rPr>
      </w:pPr>
      <w:r>
        <w:rPr>
          <w:rFonts w:hint="eastAsia" w:cs="宋体" w:asciiTheme="minorEastAsia" w:hAnsiTheme="minorEastAsia" w:eastAsiaTheme="minorEastAsia"/>
          <w:szCs w:val="21"/>
          <w:lang w:eastAsia="zh-Hans"/>
        </w:rPr>
        <w:t>平台建设完成后乙方应按照我校信息系统安全审查流程完成安全审查，确认系统建设与运维符合《西安交通大学信息系统安全基线技术规范》要求后方可提交验收。</w:t>
      </w:r>
    </w:p>
    <w:p w14:paraId="16F261ED">
      <w:pPr>
        <w:tabs>
          <w:tab w:val="left" w:pos="480"/>
        </w:tabs>
        <w:spacing w:line="360" w:lineRule="auto"/>
        <w:ind w:firstLine="424" w:firstLineChars="202"/>
        <w:rPr>
          <w:rFonts w:ascii="宋体" w:hAnsi="宋体"/>
        </w:rPr>
      </w:pPr>
    </w:p>
    <w:p w14:paraId="39AB4BAD">
      <w:pPr>
        <w:pStyle w:val="2"/>
        <w:spacing w:before="0" w:after="0" w:line="360" w:lineRule="auto"/>
        <w:rPr>
          <w:sz w:val="21"/>
          <w:szCs w:val="21"/>
        </w:rPr>
      </w:pPr>
      <w:r>
        <w:rPr>
          <w:rFonts w:hint="eastAsia"/>
          <w:sz w:val="21"/>
          <w:szCs w:val="21"/>
        </w:rPr>
        <w:t>五、采购标的需满足的服务标准、期限、效率等要求</w:t>
      </w:r>
    </w:p>
    <w:p w14:paraId="1C127D5F">
      <w:pPr>
        <w:pStyle w:val="4"/>
        <w:numPr>
          <w:ilvl w:val="0"/>
          <w:numId w:val="21"/>
        </w:numPr>
        <w:spacing w:before="0" w:after="0" w:line="415" w:lineRule="auto"/>
        <w:rPr>
          <w:sz w:val="21"/>
          <w:szCs w:val="21"/>
        </w:rPr>
      </w:pPr>
      <w:r>
        <w:rPr>
          <w:rFonts w:hint="eastAsia"/>
          <w:sz w:val="21"/>
          <w:szCs w:val="21"/>
        </w:rPr>
        <w:t>质保期：</w:t>
      </w:r>
    </w:p>
    <w:p w14:paraId="329FF6C5">
      <w:pPr>
        <w:tabs>
          <w:tab w:val="left" w:pos="480"/>
        </w:tabs>
        <w:spacing w:line="360" w:lineRule="auto"/>
        <w:ind w:firstLine="424" w:firstLineChars="202"/>
        <w:rPr>
          <w:rFonts w:ascii="宋体" w:hAnsi="宋体"/>
        </w:rPr>
      </w:pPr>
      <w:r>
        <w:rPr>
          <w:rFonts w:hint="eastAsia" w:ascii="宋体" w:hAnsi="宋体"/>
        </w:rPr>
        <w:t>标段一、二、三：质保期不少于</w:t>
      </w:r>
      <w:r>
        <w:rPr>
          <w:rFonts w:ascii="宋体" w:hAnsi="宋体"/>
        </w:rPr>
        <w:t>3</w:t>
      </w:r>
      <w:r>
        <w:rPr>
          <w:rFonts w:hint="eastAsia" w:ascii="宋体" w:hAnsi="宋体"/>
        </w:rPr>
        <w:t>年。</w:t>
      </w:r>
    </w:p>
    <w:p w14:paraId="3DCAC460">
      <w:pPr>
        <w:tabs>
          <w:tab w:val="left" w:pos="480"/>
        </w:tabs>
        <w:spacing w:line="360" w:lineRule="auto"/>
        <w:ind w:firstLine="424" w:firstLineChars="202"/>
        <w:rPr>
          <w:rFonts w:ascii="宋体" w:hAnsi="宋体"/>
        </w:rPr>
      </w:pPr>
      <w:r>
        <w:rPr>
          <w:rFonts w:hint="eastAsia" w:ascii="宋体" w:hAnsi="宋体"/>
        </w:rPr>
        <w:t>标段四：质保期不少于</w:t>
      </w:r>
      <w:r>
        <w:rPr>
          <w:rFonts w:ascii="宋体" w:hAnsi="宋体"/>
        </w:rPr>
        <w:t>5</w:t>
      </w:r>
      <w:r>
        <w:rPr>
          <w:rFonts w:hint="eastAsia" w:ascii="宋体" w:hAnsi="宋体"/>
        </w:rPr>
        <w:t>年。</w:t>
      </w:r>
    </w:p>
    <w:p w14:paraId="0C6065A7">
      <w:pPr>
        <w:tabs>
          <w:tab w:val="left" w:pos="480"/>
        </w:tabs>
        <w:spacing w:line="360" w:lineRule="auto"/>
        <w:ind w:firstLine="424" w:firstLineChars="202"/>
        <w:rPr>
          <w:rFonts w:ascii="宋体" w:hAnsi="宋体"/>
        </w:rPr>
      </w:pPr>
      <w:r>
        <w:rPr>
          <w:rFonts w:hint="eastAsia" w:ascii="宋体" w:hAnsi="宋体"/>
        </w:rPr>
        <w:t>各标段在质保期内，供应商免费提供原厂免费维护、升级、巡检等服务，若有升级版本须及时通知用户，是否升级由学校决定；提供至少每年一次安全漏洞检查和加固服务；操作系统、数据库、中间件及系统本身及相关组件出现安全漏洞时，免费升级服务，修复漏洞。免费服务期结束后，供应商应保证系统的正常运行，并且提出升级、维护服务方案，并对服务内容、费用、方式、范围（产品、技术、模块）等方面进行承诺，另行签订服务合同。</w:t>
      </w:r>
    </w:p>
    <w:p w14:paraId="69287DB9">
      <w:pPr>
        <w:pStyle w:val="4"/>
        <w:numPr>
          <w:ilvl w:val="0"/>
          <w:numId w:val="21"/>
        </w:numPr>
        <w:spacing w:before="0" w:after="0" w:line="415" w:lineRule="auto"/>
        <w:rPr>
          <w:sz w:val="21"/>
          <w:szCs w:val="21"/>
        </w:rPr>
      </w:pPr>
      <w:r>
        <w:rPr>
          <w:rFonts w:hint="eastAsia"/>
          <w:sz w:val="21"/>
          <w:szCs w:val="21"/>
        </w:rPr>
        <w:t>服务响应时间：</w:t>
      </w:r>
    </w:p>
    <w:p w14:paraId="516C1C0A">
      <w:pPr>
        <w:tabs>
          <w:tab w:val="left" w:pos="480"/>
        </w:tabs>
        <w:spacing w:line="360" w:lineRule="auto"/>
        <w:ind w:firstLine="424" w:firstLineChars="202"/>
        <w:rPr>
          <w:rFonts w:ascii="宋体" w:hAnsi="宋体"/>
        </w:rPr>
      </w:pPr>
      <w:r>
        <w:rPr>
          <w:rFonts w:hint="eastAsia" w:ascii="宋体" w:hAnsi="宋体"/>
        </w:rPr>
        <w:t>要求提供 7*24 小时技术支持服务，提供应用系统各业务模块日常维护，保证各业务模块功能正常使用，数据准确无误。保障平台和各系统接口数据正常交互；紧急问题，如：系统崩溃导致业务停止、数据丢失等。1小时内提交故障处理方案，4 小时内解决故障；严重问题，如：出现系统报错或警告，但业务系统能继续运行且性能不受影响。1小时内提交故障处理方案，24小时内解决故障；普通问题，如：系统技术功能、安装或配置咨询，或其他不影响业务的预约服务。1 小时内提交故障处理方案，48小时内解决故障。</w:t>
      </w:r>
    </w:p>
    <w:p w14:paraId="3B7C92CF">
      <w:pPr>
        <w:pStyle w:val="4"/>
        <w:numPr>
          <w:ilvl w:val="0"/>
          <w:numId w:val="21"/>
        </w:numPr>
        <w:spacing w:before="0" w:after="0" w:line="415" w:lineRule="auto"/>
        <w:rPr>
          <w:sz w:val="21"/>
          <w:szCs w:val="21"/>
        </w:rPr>
      </w:pPr>
      <w:r>
        <w:rPr>
          <w:rFonts w:hint="eastAsia"/>
          <w:sz w:val="21"/>
          <w:szCs w:val="21"/>
        </w:rPr>
        <w:t>培训要求：</w:t>
      </w:r>
    </w:p>
    <w:p w14:paraId="3518ED9C">
      <w:pPr>
        <w:tabs>
          <w:tab w:val="left" w:pos="480"/>
        </w:tabs>
        <w:spacing w:line="360" w:lineRule="auto"/>
        <w:ind w:firstLine="424" w:firstLineChars="202"/>
        <w:rPr>
          <w:rFonts w:ascii="宋体" w:hAnsi="宋体"/>
        </w:rPr>
      </w:pPr>
      <w:r>
        <w:rPr>
          <w:rFonts w:hint="eastAsia" w:ascii="宋体" w:hAnsi="宋体"/>
        </w:rPr>
        <w:t>各标段供应商负责对学校人员提供技术培训，包括多种形式的系统使用指南及系统操作现场培训会，积极协助推进新系统。须按照不同的角色提供《用户使用手册》，方便学校用户掌握系统的所有功能；根据学校需求提供定期或不定期的技术交流与使用培训，包括操作人员培训和管理维护人员培训，便于学校掌握系统的使用和维护。供应商应在投标文件中提出培训计划，计划包括培训类别、培训项目、人数、时间、地点及培训方式等详细内容，达到使相关人员熟练使用系统的目的。</w:t>
      </w:r>
    </w:p>
    <w:p w14:paraId="18604E6B">
      <w:pPr>
        <w:pStyle w:val="4"/>
        <w:numPr>
          <w:ilvl w:val="0"/>
          <w:numId w:val="21"/>
        </w:numPr>
        <w:spacing w:before="0" w:after="0" w:line="415" w:lineRule="auto"/>
        <w:rPr>
          <w:sz w:val="21"/>
          <w:szCs w:val="21"/>
        </w:rPr>
      </w:pPr>
      <w:r>
        <w:rPr>
          <w:rFonts w:hint="eastAsia"/>
          <w:sz w:val="21"/>
          <w:szCs w:val="21"/>
        </w:rPr>
        <w:t xml:space="preserve">服务标准及效率： </w:t>
      </w:r>
    </w:p>
    <w:p w14:paraId="41AD230E">
      <w:pPr>
        <w:tabs>
          <w:tab w:val="left" w:pos="480"/>
        </w:tabs>
        <w:spacing w:line="360" w:lineRule="auto"/>
        <w:ind w:firstLine="424" w:firstLineChars="202"/>
        <w:rPr>
          <w:rFonts w:ascii="宋体" w:hAnsi="宋体"/>
        </w:rPr>
      </w:pPr>
      <w:r>
        <w:rPr>
          <w:rFonts w:hint="eastAsia" w:ascii="宋体" w:hAnsi="宋体"/>
        </w:rPr>
        <w:t>1)标准化实施流程，应至少每季度进行一次系统巡检，并提交巡检报告，内容包括：磁盘空间、内存、CPU 使用率；网络环境检查；查看应用程序日志，查找系统异常日志等。对用户使用的系统部署实施的应用服务器、数据库服务器等的运行环境进行性能调优、系统诊断、系统各模块日常维护等工作； 提供至少每年一次安全漏洞扫描和加固服务；操作系统、数据库、中间件及系统本身及相关组件出现安全漏洞时，免费升级服务，修复漏洞。供应商应无偿配合学校实施本平台的信息系统安全等级保护相关工作。</w:t>
      </w:r>
    </w:p>
    <w:p w14:paraId="2A26B52A">
      <w:pPr>
        <w:tabs>
          <w:tab w:val="left" w:pos="480"/>
        </w:tabs>
        <w:spacing w:line="360" w:lineRule="auto"/>
        <w:ind w:firstLine="424" w:firstLineChars="202"/>
        <w:rPr>
          <w:rFonts w:ascii="宋体" w:hAnsi="宋体"/>
        </w:rPr>
      </w:pPr>
      <w:r>
        <w:rPr>
          <w:rFonts w:hint="eastAsia" w:ascii="宋体" w:hAnsi="宋体"/>
        </w:rPr>
        <w:t>2)系统质保期内，能够安排技术人员提供技术和业务支持，关键时间段提供现场技术保障和维护服务。 整个项目全流程服务过程均需有完善的文档记录，便于跟踪、分析问题；对各项服务提供详细的书面报告，包括故障处理报告、健康巡检报告、维护总表报告、服务年度报告等。 对运行过程中师生用户及业务部门的问题提供解答和问题解决跟踪。</w:t>
      </w:r>
    </w:p>
    <w:p w14:paraId="2A00E75F">
      <w:pPr>
        <w:tabs>
          <w:tab w:val="left" w:pos="480"/>
        </w:tabs>
        <w:spacing w:line="360" w:lineRule="auto"/>
        <w:ind w:firstLine="424" w:firstLineChars="202"/>
        <w:rPr>
          <w:rFonts w:ascii="宋体" w:hAnsi="宋体"/>
        </w:rPr>
      </w:pPr>
      <w:r>
        <w:rPr>
          <w:rFonts w:hint="eastAsia" w:ascii="宋体" w:hAnsi="宋体"/>
        </w:rPr>
        <w:t>3)在质保期内，对于学校自身业务规则的变化导致的非模块级功能需求变更、性能要求提升导致的部署结构变化等，提供配套的支持服务，响应需求，优化升级现有功能设置。针对本次建设的系统中存在的bug、缺陷，不论在质保期内、外，均应持续免费提供修正与消缺服务。</w:t>
      </w:r>
    </w:p>
    <w:p w14:paraId="7FB8FC8D">
      <w:pPr>
        <w:pStyle w:val="4"/>
        <w:numPr>
          <w:ilvl w:val="0"/>
          <w:numId w:val="21"/>
        </w:numPr>
        <w:spacing w:before="0" w:after="0" w:line="415" w:lineRule="auto"/>
        <w:rPr>
          <w:sz w:val="21"/>
          <w:szCs w:val="21"/>
        </w:rPr>
      </w:pPr>
      <w:r>
        <w:rPr>
          <w:sz w:val="21"/>
          <w:szCs w:val="21"/>
        </w:rPr>
        <w:t>项目</w:t>
      </w:r>
      <w:r>
        <w:rPr>
          <w:rFonts w:hint="eastAsia"/>
          <w:sz w:val="21"/>
          <w:szCs w:val="21"/>
        </w:rPr>
        <w:t>交付的成果：</w:t>
      </w:r>
    </w:p>
    <w:p w14:paraId="76BDB3A4">
      <w:pPr>
        <w:tabs>
          <w:tab w:val="left" w:pos="480"/>
        </w:tabs>
        <w:spacing w:line="360" w:lineRule="auto"/>
        <w:ind w:firstLine="424" w:firstLineChars="202"/>
        <w:rPr>
          <w:rFonts w:ascii="宋体" w:hAnsi="宋体"/>
        </w:rPr>
      </w:pPr>
      <w:r>
        <w:rPr>
          <w:rFonts w:hint="eastAsia" w:ascii="宋体" w:hAnsi="宋体"/>
        </w:rPr>
        <w:t>各标段建设需满足招标文件中所列举的所有功能模块的实现要求。</w:t>
      </w:r>
    </w:p>
    <w:p w14:paraId="66A195AF">
      <w:pPr>
        <w:tabs>
          <w:tab w:val="left" w:pos="480"/>
        </w:tabs>
        <w:spacing w:line="360" w:lineRule="auto"/>
        <w:ind w:firstLine="424" w:firstLineChars="202"/>
        <w:rPr>
          <w:rFonts w:ascii="宋体" w:hAnsi="宋体"/>
        </w:rPr>
      </w:pPr>
      <w:r>
        <w:rPr>
          <w:rFonts w:hint="eastAsia" w:ascii="宋体" w:hAnsi="宋体"/>
        </w:rPr>
        <w:t>交付的成果和文档资料包括但不限于：</w:t>
      </w:r>
    </w:p>
    <w:p w14:paraId="5FF84532">
      <w:pPr>
        <w:tabs>
          <w:tab w:val="left" w:pos="480"/>
        </w:tabs>
        <w:spacing w:line="360" w:lineRule="auto"/>
        <w:ind w:firstLine="424" w:firstLineChars="202"/>
        <w:rPr>
          <w:rFonts w:ascii="宋体" w:hAnsi="宋体"/>
        </w:rPr>
      </w:pPr>
      <w:r>
        <w:rPr>
          <w:rFonts w:ascii="宋体" w:hAnsi="宋体"/>
        </w:rPr>
        <w:t>1）可长期有效运行的系统。</w:t>
      </w:r>
    </w:p>
    <w:p w14:paraId="52837B36">
      <w:pPr>
        <w:tabs>
          <w:tab w:val="left" w:pos="480"/>
        </w:tabs>
        <w:spacing w:line="360" w:lineRule="auto"/>
        <w:ind w:firstLine="424" w:firstLineChars="202"/>
        <w:rPr>
          <w:rFonts w:ascii="宋体" w:hAnsi="宋体"/>
        </w:rPr>
      </w:pPr>
      <w:r>
        <w:rPr>
          <w:rFonts w:ascii="宋体" w:hAnsi="宋体"/>
        </w:rPr>
        <w:t>2）交付文档包括不限于：</w:t>
      </w:r>
    </w:p>
    <w:p w14:paraId="191A9D9D">
      <w:pPr>
        <w:tabs>
          <w:tab w:val="left" w:pos="480"/>
        </w:tabs>
        <w:spacing w:line="360" w:lineRule="auto"/>
        <w:ind w:firstLine="424" w:firstLineChars="202"/>
        <w:rPr>
          <w:rFonts w:ascii="宋体" w:hAnsi="宋体"/>
        </w:rPr>
      </w:pPr>
      <w:r>
        <w:rPr>
          <w:rFonts w:ascii="宋体" w:hAnsi="宋体"/>
        </w:rPr>
        <w:t></w:t>
      </w:r>
      <w:r>
        <w:rPr>
          <w:rFonts w:hint="eastAsia" w:ascii="宋体" w:hAnsi="宋体"/>
        </w:rPr>
        <w:t>项目执行阶段：软件相关设计文档、项目过程资料（如《项目简报》、《会议纪要》、《阶段交付报告》、《需求确认单》等）、其他需要存档的资料。</w:t>
      </w:r>
    </w:p>
    <w:p w14:paraId="2D1D3F17">
      <w:pPr>
        <w:tabs>
          <w:tab w:val="left" w:pos="480"/>
        </w:tabs>
        <w:spacing w:line="360" w:lineRule="auto"/>
        <w:ind w:firstLine="424" w:firstLineChars="202"/>
        <w:rPr>
          <w:rFonts w:ascii="宋体" w:hAnsi="宋体"/>
        </w:rPr>
      </w:pPr>
      <w:r>
        <w:rPr>
          <w:rFonts w:ascii="宋体" w:hAnsi="宋体"/>
        </w:rPr>
        <w:t></w:t>
      </w:r>
      <w:r>
        <w:rPr>
          <w:rFonts w:hint="eastAsia" w:ascii="宋体" w:hAnsi="宋体"/>
        </w:rPr>
        <w:t>项目验收阶段：《需求设计说明书》、《详细设计说明书》、《数据库设计说明书》、《用户操作手册》、《功能测试报告》、《性能测试报告》、应用系统及文档电子版光盘、其他需要存档的资料（如执行代码和源代码、需求说明书、设计说明书、数据字典、使用说明书、配置安装说明、系统维护说明、系统培训资料等）。</w:t>
      </w:r>
    </w:p>
    <w:p w14:paraId="560A31E4">
      <w:pPr>
        <w:pStyle w:val="4"/>
        <w:numPr>
          <w:ilvl w:val="0"/>
          <w:numId w:val="21"/>
        </w:numPr>
        <w:spacing w:before="0" w:after="0" w:line="415" w:lineRule="auto"/>
        <w:rPr>
          <w:sz w:val="21"/>
          <w:szCs w:val="21"/>
        </w:rPr>
      </w:pPr>
      <w:r>
        <w:rPr>
          <w:rFonts w:hint="eastAsia"/>
          <w:sz w:val="21"/>
          <w:szCs w:val="21"/>
        </w:rPr>
        <w:t>驻场要求：</w:t>
      </w:r>
    </w:p>
    <w:p w14:paraId="28DA5295">
      <w:pPr>
        <w:tabs>
          <w:tab w:val="left" w:pos="480"/>
        </w:tabs>
        <w:spacing w:line="360" w:lineRule="auto"/>
        <w:ind w:firstLine="424" w:firstLineChars="202"/>
        <w:rPr>
          <w:rFonts w:ascii="宋体" w:hAnsi="宋体"/>
        </w:rPr>
      </w:pPr>
      <w:r>
        <w:rPr>
          <w:rFonts w:hint="eastAsia" w:ascii="宋体" w:hAnsi="宋体"/>
        </w:rPr>
        <w:t>根据项目建设情况安排人员驻场，项目在建设期间驻场人员不少于</w:t>
      </w:r>
      <w:r>
        <w:rPr>
          <w:rFonts w:ascii="宋体" w:hAnsi="宋体"/>
        </w:rPr>
        <w:t>2</w:t>
      </w:r>
      <w:r>
        <w:rPr>
          <w:rFonts w:hint="eastAsia" w:ascii="宋体" w:hAnsi="宋体"/>
        </w:rPr>
        <w:t>人，验收后1年内驻场人员不少于</w:t>
      </w:r>
      <w:r>
        <w:rPr>
          <w:rFonts w:ascii="宋体" w:hAnsi="宋体"/>
        </w:rPr>
        <w:t>1</w:t>
      </w:r>
      <w:r>
        <w:rPr>
          <w:rFonts w:hint="eastAsia" w:ascii="宋体" w:hAnsi="宋体"/>
        </w:rPr>
        <w:t>人，负责项目的需求对接、现场功能的测试及问题的收集和反馈等。</w:t>
      </w:r>
    </w:p>
    <w:p w14:paraId="5A9EEB61">
      <w:pPr>
        <w:pStyle w:val="2"/>
        <w:spacing w:before="0" w:after="0" w:line="360" w:lineRule="auto"/>
        <w:rPr>
          <w:sz w:val="21"/>
          <w:szCs w:val="21"/>
        </w:rPr>
      </w:pPr>
      <w:r>
        <w:rPr>
          <w:rFonts w:hint="eastAsia"/>
          <w:sz w:val="21"/>
          <w:szCs w:val="21"/>
        </w:rPr>
        <w:t>六、</w:t>
      </w:r>
      <w:r>
        <w:rPr>
          <w:sz w:val="21"/>
          <w:szCs w:val="21"/>
        </w:rPr>
        <w:t>采购标的的</w:t>
      </w:r>
      <w:r>
        <w:rPr>
          <w:rFonts w:hint="eastAsia"/>
          <w:sz w:val="21"/>
          <w:szCs w:val="21"/>
        </w:rPr>
        <w:t>履约验收标准</w:t>
      </w:r>
    </w:p>
    <w:bookmarkEnd w:id="1"/>
    <w:bookmarkEnd w:id="2"/>
    <w:bookmarkEnd w:id="3"/>
    <w:tbl>
      <w:tblPr>
        <w:tblStyle w:val="23"/>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3507"/>
        <w:gridCol w:w="2254"/>
        <w:gridCol w:w="2114"/>
      </w:tblGrid>
      <w:tr w14:paraId="34F8E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601" w:type="dxa"/>
            <w:gridSpan w:val="4"/>
            <w:vAlign w:val="center"/>
          </w:tcPr>
          <w:p w14:paraId="6671C0A8">
            <w:pPr>
              <w:widowControl/>
              <w:jc w:val="center"/>
              <w:textAlignment w:val="baseline"/>
              <w:rPr>
                <w:kern w:val="0"/>
                <w:sz w:val="20"/>
                <w:szCs w:val="21"/>
              </w:rPr>
            </w:pPr>
            <w:r>
              <w:rPr>
                <w:kern w:val="0"/>
                <w:sz w:val="20"/>
                <w:szCs w:val="21"/>
              </w:rPr>
              <w:t>现场的检验指标及方法</w:t>
            </w:r>
          </w:p>
        </w:tc>
      </w:tr>
      <w:tr w14:paraId="7531F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6" w:type="dxa"/>
            <w:vAlign w:val="center"/>
          </w:tcPr>
          <w:p w14:paraId="4C7E2ACC">
            <w:pPr>
              <w:widowControl/>
              <w:jc w:val="center"/>
              <w:textAlignment w:val="baseline"/>
              <w:rPr>
                <w:kern w:val="0"/>
                <w:sz w:val="20"/>
                <w:szCs w:val="21"/>
              </w:rPr>
            </w:pPr>
            <w:r>
              <w:rPr>
                <w:kern w:val="0"/>
                <w:sz w:val="20"/>
                <w:szCs w:val="21"/>
              </w:rPr>
              <w:t>序号</w:t>
            </w:r>
          </w:p>
        </w:tc>
        <w:tc>
          <w:tcPr>
            <w:tcW w:w="3507" w:type="dxa"/>
            <w:vAlign w:val="center"/>
          </w:tcPr>
          <w:p w14:paraId="1F3CAAF4">
            <w:pPr>
              <w:widowControl/>
              <w:jc w:val="center"/>
              <w:textAlignment w:val="baseline"/>
              <w:rPr>
                <w:kern w:val="0"/>
                <w:sz w:val="20"/>
                <w:szCs w:val="21"/>
              </w:rPr>
            </w:pPr>
            <w:r>
              <w:rPr>
                <w:kern w:val="0"/>
                <w:sz w:val="20"/>
                <w:szCs w:val="21"/>
              </w:rPr>
              <w:t>功能或指标</w:t>
            </w:r>
          </w:p>
        </w:tc>
        <w:tc>
          <w:tcPr>
            <w:tcW w:w="4368" w:type="dxa"/>
            <w:gridSpan w:val="2"/>
            <w:vAlign w:val="center"/>
          </w:tcPr>
          <w:p w14:paraId="75771A1F">
            <w:pPr>
              <w:widowControl/>
              <w:jc w:val="center"/>
              <w:textAlignment w:val="baseline"/>
              <w:rPr>
                <w:kern w:val="0"/>
                <w:sz w:val="20"/>
                <w:szCs w:val="21"/>
              </w:rPr>
            </w:pPr>
            <w:r>
              <w:rPr>
                <w:kern w:val="0"/>
                <w:sz w:val="20"/>
                <w:szCs w:val="21"/>
              </w:rPr>
              <w:t>验收或测试方法</w:t>
            </w:r>
          </w:p>
        </w:tc>
      </w:tr>
      <w:tr w14:paraId="019C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199EF150">
            <w:pPr>
              <w:widowControl/>
              <w:jc w:val="left"/>
              <w:textAlignment w:val="baseline"/>
              <w:rPr>
                <w:rFonts w:eastAsia="黑体"/>
                <w:b/>
                <w:kern w:val="0"/>
                <w:sz w:val="18"/>
                <w:szCs w:val="18"/>
              </w:rPr>
            </w:pPr>
            <w:r>
              <w:rPr>
                <w:rFonts w:eastAsia="黑体"/>
                <w:b/>
                <w:kern w:val="0"/>
                <w:sz w:val="18"/>
                <w:szCs w:val="18"/>
              </w:rPr>
              <w:t>项目建设单位验收要求：</w:t>
            </w:r>
          </w:p>
        </w:tc>
      </w:tr>
      <w:tr w14:paraId="2EAF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64C04879">
            <w:pPr>
              <w:widowControl/>
              <w:spacing w:line="450" w:lineRule="atLeast"/>
              <w:jc w:val="center"/>
              <w:textAlignment w:val="baseline"/>
              <w:rPr>
                <w:kern w:val="0"/>
                <w:sz w:val="20"/>
                <w:szCs w:val="21"/>
              </w:rPr>
            </w:pPr>
            <w:r>
              <w:rPr>
                <w:kern w:val="0"/>
                <w:sz w:val="20"/>
                <w:szCs w:val="21"/>
              </w:rPr>
              <w:t>1</w:t>
            </w:r>
          </w:p>
        </w:tc>
        <w:tc>
          <w:tcPr>
            <w:tcW w:w="3507" w:type="dxa"/>
            <w:vAlign w:val="center"/>
          </w:tcPr>
          <w:p w14:paraId="3FA928E5">
            <w:pPr>
              <w:widowControl/>
              <w:textAlignment w:val="baseline"/>
              <w:rPr>
                <w:kern w:val="0"/>
                <w:sz w:val="18"/>
                <w:szCs w:val="18"/>
              </w:rPr>
            </w:pPr>
            <w:r>
              <w:rPr>
                <w:kern w:val="0"/>
                <w:sz w:val="18"/>
                <w:szCs w:val="18"/>
              </w:rPr>
              <w:t>货物外包装与外观无损伤</w:t>
            </w:r>
          </w:p>
        </w:tc>
        <w:tc>
          <w:tcPr>
            <w:tcW w:w="4368" w:type="dxa"/>
            <w:gridSpan w:val="2"/>
            <w:vAlign w:val="center"/>
          </w:tcPr>
          <w:p w14:paraId="57929D73">
            <w:pPr>
              <w:widowControl/>
              <w:jc w:val="left"/>
              <w:textAlignment w:val="baseline"/>
              <w:rPr>
                <w:kern w:val="0"/>
                <w:sz w:val="18"/>
                <w:szCs w:val="18"/>
              </w:rPr>
            </w:pPr>
            <w:r>
              <w:rPr>
                <w:kern w:val="0"/>
                <w:sz w:val="18"/>
                <w:szCs w:val="18"/>
              </w:rPr>
              <w:t>现场核查</w:t>
            </w:r>
          </w:p>
        </w:tc>
      </w:tr>
      <w:tr w14:paraId="700A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11F0E5A6">
            <w:pPr>
              <w:widowControl/>
              <w:spacing w:line="450" w:lineRule="atLeast"/>
              <w:jc w:val="center"/>
              <w:textAlignment w:val="baseline"/>
              <w:rPr>
                <w:kern w:val="0"/>
                <w:sz w:val="20"/>
                <w:szCs w:val="21"/>
              </w:rPr>
            </w:pPr>
            <w:r>
              <w:rPr>
                <w:kern w:val="0"/>
                <w:sz w:val="20"/>
                <w:szCs w:val="21"/>
              </w:rPr>
              <w:t>2</w:t>
            </w:r>
          </w:p>
        </w:tc>
        <w:tc>
          <w:tcPr>
            <w:tcW w:w="3507" w:type="dxa"/>
            <w:vAlign w:val="center"/>
          </w:tcPr>
          <w:p w14:paraId="61A6C05C">
            <w:pPr>
              <w:widowControl/>
              <w:textAlignment w:val="baseline"/>
              <w:rPr>
                <w:kern w:val="0"/>
                <w:sz w:val="18"/>
                <w:szCs w:val="18"/>
              </w:rPr>
            </w:pPr>
            <w:r>
              <w:rPr>
                <w:kern w:val="0"/>
                <w:sz w:val="18"/>
                <w:szCs w:val="18"/>
              </w:rPr>
              <w:t>货物配置、包括备品备件、耗品耗材等提供齐全，货物实物品牌、规格、型号、配置数量与采购结果、合同约定相符。</w:t>
            </w:r>
          </w:p>
        </w:tc>
        <w:tc>
          <w:tcPr>
            <w:tcW w:w="4368" w:type="dxa"/>
            <w:gridSpan w:val="2"/>
            <w:vAlign w:val="center"/>
          </w:tcPr>
          <w:p w14:paraId="552E65F5">
            <w:pPr>
              <w:widowControl/>
              <w:textAlignment w:val="baseline"/>
              <w:rPr>
                <w:kern w:val="0"/>
                <w:sz w:val="18"/>
                <w:szCs w:val="18"/>
              </w:rPr>
            </w:pPr>
            <w:r>
              <w:rPr>
                <w:kern w:val="0"/>
                <w:sz w:val="18"/>
                <w:szCs w:val="18"/>
              </w:rPr>
              <w:t>依据《合同》及其附件（包括但不限于《采购需求》《供应商投标（响应）文件》《投标澄清函》《技术协议》等）约定，现场核查。</w:t>
            </w:r>
          </w:p>
        </w:tc>
      </w:tr>
      <w:tr w14:paraId="6164E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566CD78B">
            <w:pPr>
              <w:widowControl/>
              <w:spacing w:line="450" w:lineRule="atLeast"/>
              <w:jc w:val="center"/>
              <w:textAlignment w:val="baseline"/>
              <w:rPr>
                <w:kern w:val="0"/>
                <w:sz w:val="20"/>
                <w:szCs w:val="21"/>
              </w:rPr>
            </w:pPr>
            <w:r>
              <w:rPr>
                <w:kern w:val="0"/>
                <w:sz w:val="20"/>
                <w:szCs w:val="21"/>
              </w:rPr>
              <w:t>3</w:t>
            </w:r>
          </w:p>
        </w:tc>
        <w:tc>
          <w:tcPr>
            <w:tcW w:w="3507" w:type="dxa"/>
            <w:vAlign w:val="center"/>
          </w:tcPr>
          <w:p w14:paraId="2895CB49">
            <w:pPr>
              <w:widowControl/>
              <w:textAlignment w:val="baseline"/>
              <w:rPr>
                <w:kern w:val="0"/>
                <w:sz w:val="18"/>
                <w:szCs w:val="18"/>
              </w:rPr>
            </w:pPr>
            <w:r>
              <w:rPr>
                <w:kern w:val="0"/>
                <w:sz w:val="18"/>
                <w:szCs w:val="18"/>
              </w:rPr>
              <w:t>所有功能和指标参数（包括边界极限值）达到采购结果合同约定要求。</w:t>
            </w:r>
          </w:p>
        </w:tc>
        <w:tc>
          <w:tcPr>
            <w:tcW w:w="4368" w:type="dxa"/>
            <w:gridSpan w:val="2"/>
            <w:vAlign w:val="center"/>
          </w:tcPr>
          <w:p w14:paraId="15A4768E">
            <w:pPr>
              <w:rPr>
                <w:kern w:val="0"/>
                <w:sz w:val="20"/>
                <w:szCs w:val="21"/>
              </w:rPr>
            </w:pPr>
            <w:r>
              <w:rPr>
                <w:kern w:val="0"/>
                <w:sz w:val="18"/>
                <w:szCs w:val="18"/>
              </w:rPr>
              <w:t>依据《合同》及其附件（包括但不限于《采购需求》《供应商投标（响应）文件》《投标澄清函》《技术协议》等）约定，现场测试。</w:t>
            </w:r>
          </w:p>
        </w:tc>
      </w:tr>
      <w:tr w14:paraId="77D5F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76077F8C">
            <w:pPr>
              <w:widowControl/>
              <w:spacing w:line="450" w:lineRule="atLeast"/>
              <w:jc w:val="center"/>
              <w:textAlignment w:val="baseline"/>
              <w:rPr>
                <w:kern w:val="0"/>
                <w:sz w:val="20"/>
                <w:szCs w:val="21"/>
              </w:rPr>
            </w:pPr>
            <w:r>
              <w:rPr>
                <w:kern w:val="0"/>
                <w:sz w:val="20"/>
                <w:szCs w:val="21"/>
              </w:rPr>
              <w:t>4</w:t>
            </w:r>
          </w:p>
        </w:tc>
        <w:tc>
          <w:tcPr>
            <w:tcW w:w="3507" w:type="dxa"/>
            <w:vAlign w:val="center"/>
          </w:tcPr>
          <w:p w14:paraId="18B52781">
            <w:pPr>
              <w:widowControl/>
              <w:textAlignment w:val="baseline"/>
              <w:rPr>
                <w:kern w:val="0"/>
                <w:sz w:val="18"/>
                <w:szCs w:val="18"/>
              </w:rPr>
            </w:pPr>
            <w:r>
              <w:rPr>
                <w:kern w:val="0"/>
                <w:sz w:val="18"/>
                <w:szCs w:val="18"/>
              </w:rPr>
              <w:t>提供《培训视频》影像资料</w:t>
            </w:r>
          </w:p>
        </w:tc>
        <w:tc>
          <w:tcPr>
            <w:tcW w:w="4368" w:type="dxa"/>
            <w:gridSpan w:val="2"/>
            <w:vAlign w:val="center"/>
          </w:tcPr>
          <w:p w14:paraId="78B94D43">
            <w:pPr>
              <w:widowControl/>
              <w:textAlignment w:val="baseline"/>
              <w:rPr>
                <w:kern w:val="0"/>
                <w:sz w:val="18"/>
                <w:szCs w:val="18"/>
              </w:rPr>
            </w:pPr>
            <w:r>
              <w:rPr>
                <w:kern w:val="0"/>
                <w:sz w:val="18"/>
                <w:szCs w:val="18"/>
              </w:rPr>
              <w:t>现场核查</w:t>
            </w:r>
          </w:p>
        </w:tc>
      </w:tr>
      <w:tr w14:paraId="67233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6639355A">
            <w:pPr>
              <w:widowControl/>
              <w:spacing w:line="450" w:lineRule="atLeast"/>
              <w:jc w:val="center"/>
              <w:textAlignment w:val="baseline"/>
              <w:rPr>
                <w:kern w:val="0"/>
                <w:sz w:val="20"/>
                <w:szCs w:val="21"/>
              </w:rPr>
            </w:pPr>
            <w:r>
              <w:rPr>
                <w:kern w:val="0"/>
                <w:sz w:val="20"/>
                <w:szCs w:val="21"/>
              </w:rPr>
              <w:t>5</w:t>
            </w:r>
          </w:p>
        </w:tc>
        <w:tc>
          <w:tcPr>
            <w:tcW w:w="3507" w:type="dxa"/>
            <w:vAlign w:val="center"/>
          </w:tcPr>
          <w:p w14:paraId="3BC09A88">
            <w:pPr>
              <w:widowControl/>
              <w:textAlignment w:val="baseline"/>
              <w:rPr>
                <w:kern w:val="0"/>
                <w:sz w:val="18"/>
                <w:szCs w:val="18"/>
              </w:rPr>
            </w:pPr>
            <w:r>
              <w:rPr>
                <w:kern w:val="0"/>
                <w:sz w:val="18"/>
                <w:szCs w:val="18"/>
              </w:rPr>
              <w:t>验证测试设备的运行稳定性</w:t>
            </w:r>
          </w:p>
        </w:tc>
        <w:tc>
          <w:tcPr>
            <w:tcW w:w="4368" w:type="dxa"/>
            <w:gridSpan w:val="2"/>
            <w:vAlign w:val="center"/>
          </w:tcPr>
          <w:p w14:paraId="66F52F44">
            <w:pPr>
              <w:widowControl/>
              <w:textAlignment w:val="baseline"/>
              <w:rPr>
                <w:kern w:val="0"/>
                <w:sz w:val="18"/>
                <w:szCs w:val="18"/>
              </w:rPr>
            </w:pPr>
            <w:r>
              <w:rPr>
                <w:kern w:val="0"/>
                <w:sz w:val="18"/>
                <w:szCs w:val="18"/>
              </w:rPr>
              <w:t>试运行验证测试设备运行稳定达标</w:t>
            </w:r>
          </w:p>
        </w:tc>
      </w:tr>
      <w:tr w14:paraId="36094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4D2AC163">
            <w:pPr>
              <w:widowControl/>
              <w:spacing w:line="450" w:lineRule="atLeast"/>
              <w:jc w:val="center"/>
              <w:textAlignment w:val="baseline"/>
              <w:rPr>
                <w:kern w:val="0"/>
                <w:sz w:val="20"/>
                <w:szCs w:val="21"/>
              </w:rPr>
            </w:pPr>
            <w:r>
              <w:rPr>
                <w:kern w:val="0"/>
                <w:sz w:val="20"/>
                <w:szCs w:val="21"/>
              </w:rPr>
              <w:t>6</w:t>
            </w:r>
          </w:p>
        </w:tc>
        <w:tc>
          <w:tcPr>
            <w:tcW w:w="7875" w:type="dxa"/>
            <w:gridSpan w:val="3"/>
            <w:vAlign w:val="center"/>
          </w:tcPr>
          <w:p w14:paraId="7C49CB4D">
            <w:pPr>
              <w:widowControl/>
              <w:textAlignment w:val="baseline"/>
              <w:rPr>
                <w:kern w:val="0"/>
                <w:sz w:val="18"/>
                <w:szCs w:val="18"/>
              </w:rPr>
            </w:pPr>
            <w:r>
              <w:rPr>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14:paraId="1F78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1E2C2AF4">
            <w:pPr>
              <w:widowControl/>
              <w:jc w:val="left"/>
              <w:textAlignment w:val="baseline"/>
              <w:rPr>
                <w:kern w:val="0"/>
                <w:sz w:val="18"/>
                <w:szCs w:val="18"/>
              </w:rPr>
            </w:pPr>
            <w:r>
              <w:rPr>
                <w:rFonts w:eastAsia="黑体"/>
                <w:b/>
                <w:kern w:val="0"/>
                <w:sz w:val="18"/>
                <w:szCs w:val="18"/>
              </w:rPr>
              <w:t>学校验收复核要求：</w:t>
            </w:r>
          </w:p>
        </w:tc>
      </w:tr>
      <w:tr w14:paraId="44181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72B76547">
            <w:pPr>
              <w:widowControl/>
              <w:spacing w:line="450" w:lineRule="atLeast"/>
              <w:jc w:val="center"/>
              <w:textAlignment w:val="baseline"/>
              <w:rPr>
                <w:kern w:val="0"/>
                <w:sz w:val="20"/>
                <w:szCs w:val="21"/>
              </w:rPr>
            </w:pPr>
            <w:r>
              <w:rPr>
                <w:kern w:val="0"/>
                <w:sz w:val="20"/>
                <w:szCs w:val="21"/>
              </w:rPr>
              <w:t>1</w:t>
            </w:r>
          </w:p>
        </w:tc>
        <w:tc>
          <w:tcPr>
            <w:tcW w:w="7875" w:type="dxa"/>
            <w:gridSpan w:val="3"/>
            <w:vAlign w:val="center"/>
          </w:tcPr>
          <w:p w14:paraId="00B53DFF">
            <w:pPr>
              <w:widowControl/>
              <w:textAlignment w:val="baseline"/>
              <w:rPr>
                <w:kern w:val="0"/>
                <w:sz w:val="18"/>
                <w:szCs w:val="18"/>
              </w:rPr>
            </w:pPr>
            <w:r>
              <w:rPr>
                <w:kern w:val="0"/>
                <w:sz w:val="18"/>
                <w:szCs w:val="18"/>
              </w:rPr>
              <w:t>项目建设单位填写《学校采购货物类项目验收复核申请表》</w:t>
            </w:r>
          </w:p>
        </w:tc>
      </w:tr>
      <w:tr w14:paraId="3FC6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6AC48FA7">
            <w:pPr>
              <w:widowControl/>
              <w:spacing w:line="450" w:lineRule="atLeast"/>
              <w:jc w:val="center"/>
              <w:textAlignment w:val="baseline"/>
              <w:rPr>
                <w:kern w:val="0"/>
                <w:sz w:val="20"/>
                <w:szCs w:val="21"/>
              </w:rPr>
            </w:pPr>
            <w:r>
              <w:rPr>
                <w:kern w:val="0"/>
                <w:sz w:val="20"/>
                <w:szCs w:val="21"/>
              </w:rPr>
              <w:t>2</w:t>
            </w:r>
          </w:p>
        </w:tc>
        <w:tc>
          <w:tcPr>
            <w:tcW w:w="7875" w:type="dxa"/>
            <w:gridSpan w:val="3"/>
            <w:vAlign w:val="center"/>
          </w:tcPr>
          <w:p w14:paraId="11C7F9CC">
            <w:pPr>
              <w:widowControl/>
              <w:textAlignment w:val="baseline"/>
              <w:rPr>
                <w:kern w:val="0"/>
                <w:sz w:val="18"/>
                <w:szCs w:val="18"/>
              </w:rPr>
            </w:pPr>
            <w:r>
              <w:rPr>
                <w:kern w:val="0"/>
                <w:sz w:val="18"/>
                <w:szCs w:val="18"/>
              </w:rPr>
              <w:t>提供《供应商货物类项目完工报告》</w:t>
            </w:r>
          </w:p>
        </w:tc>
      </w:tr>
      <w:tr w14:paraId="26DF2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496BF613">
            <w:pPr>
              <w:widowControl/>
              <w:spacing w:line="450" w:lineRule="atLeast"/>
              <w:jc w:val="center"/>
              <w:textAlignment w:val="baseline"/>
              <w:rPr>
                <w:kern w:val="0"/>
                <w:sz w:val="20"/>
                <w:szCs w:val="21"/>
              </w:rPr>
            </w:pPr>
            <w:r>
              <w:rPr>
                <w:kern w:val="0"/>
                <w:sz w:val="20"/>
                <w:szCs w:val="21"/>
              </w:rPr>
              <w:t>3</w:t>
            </w:r>
          </w:p>
        </w:tc>
        <w:tc>
          <w:tcPr>
            <w:tcW w:w="7875" w:type="dxa"/>
            <w:gridSpan w:val="3"/>
            <w:vAlign w:val="center"/>
          </w:tcPr>
          <w:p w14:paraId="4DCC04C1">
            <w:pPr>
              <w:widowControl/>
              <w:textAlignment w:val="baseline"/>
              <w:rPr>
                <w:kern w:val="0"/>
                <w:sz w:val="18"/>
                <w:szCs w:val="18"/>
              </w:rPr>
            </w:pPr>
            <w:r>
              <w:rPr>
                <w:kern w:val="0"/>
                <w:sz w:val="18"/>
                <w:szCs w:val="18"/>
              </w:rPr>
              <w:t>提供《项目建设单位货物类项目完工自验收报告》</w:t>
            </w:r>
          </w:p>
        </w:tc>
      </w:tr>
      <w:tr w14:paraId="60E3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5B29C98C">
            <w:pPr>
              <w:widowControl/>
              <w:spacing w:line="450" w:lineRule="atLeast"/>
              <w:jc w:val="center"/>
              <w:textAlignment w:val="baseline"/>
              <w:rPr>
                <w:kern w:val="0"/>
                <w:sz w:val="20"/>
                <w:szCs w:val="21"/>
              </w:rPr>
            </w:pPr>
            <w:r>
              <w:rPr>
                <w:kern w:val="0"/>
                <w:sz w:val="20"/>
                <w:szCs w:val="21"/>
              </w:rPr>
              <w:t>4</w:t>
            </w:r>
          </w:p>
        </w:tc>
        <w:tc>
          <w:tcPr>
            <w:tcW w:w="7875" w:type="dxa"/>
            <w:gridSpan w:val="3"/>
            <w:vAlign w:val="center"/>
          </w:tcPr>
          <w:p w14:paraId="6D25DEDE">
            <w:pPr>
              <w:widowControl/>
              <w:textAlignment w:val="baseline"/>
              <w:rPr>
                <w:kern w:val="0"/>
                <w:sz w:val="18"/>
                <w:szCs w:val="18"/>
              </w:rPr>
            </w:pPr>
            <w:r>
              <w:rPr>
                <w:kern w:val="0"/>
                <w:sz w:val="18"/>
                <w:szCs w:val="18"/>
              </w:rPr>
              <w:t>学校组织验收专家组现场复核供应商与项目建设单位货物到货完工验收完成情况</w:t>
            </w:r>
          </w:p>
        </w:tc>
      </w:tr>
      <w:tr w14:paraId="26CC4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1ECD2BF3">
            <w:pPr>
              <w:widowControl/>
              <w:textAlignment w:val="baseline"/>
              <w:rPr>
                <w:kern w:val="0"/>
                <w:sz w:val="20"/>
                <w:szCs w:val="21"/>
              </w:rPr>
            </w:pPr>
            <w:r>
              <w:rPr>
                <w:kern w:val="0"/>
                <w:sz w:val="20"/>
                <w:szCs w:val="21"/>
              </w:rPr>
              <w:t>验收时是否需要供应商提供样品</w:t>
            </w:r>
          </w:p>
        </w:tc>
        <w:tc>
          <w:tcPr>
            <w:tcW w:w="2254" w:type="dxa"/>
            <w:vAlign w:val="center"/>
          </w:tcPr>
          <w:p w14:paraId="401BD1F5">
            <w:pPr>
              <w:widowControl/>
              <w:textAlignment w:val="baseline"/>
              <w:rPr>
                <w:kern w:val="0"/>
                <w:sz w:val="20"/>
                <w:szCs w:val="21"/>
              </w:rPr>
            </w:pPr>
            <w:r>
              <w:rPr>
                <w:kern w:val="0"/>
                <w:sz w:val="20"/>
                <w:szCs w:val="21"/>
              </w:rPr>
              <w:t>是□</w:t>
            </w:r>
          </w:p>
        </w:tc>
        <w:tc>
          <w:tcPr>
            <w:tcW w:w="2114" w:type="dxa"/>
            <w:vAlign w:val="center"/>
          </w:tcPr>
          <w:p w14:paraId="06528531">
            <w:pPr>
              <w:widowControl/>
              <w:textAlignment w:val="baseline"/>
              <w:rPr>
                <w:kern w:val="0"/>
                <w:sz w:val="20"/>
                <w:szCs w:val="21"/>
              </w:rPr>
            </w:pPr>
            <w:r>
              <w:rPr>
                <w:kern w:val="0"/>
                <w:sz w:val="20"/>
                <w:szCs w:val="21"/>
              </w:rPr>
              <w:t>否</w:t>
            </w:r>
            <w:r>
              <w:rPr>
                <w:rFonts w:hint="eastAsia" w:ascii="宋体" w:hAnsi="宋体"/>
                <w:kern w:val="0"/>
                <w:sz w:val="20"/>
                <w:szCs w:val="21"/>
              </w:rPr>
              <w:t>√</w:t>
            </w:r>
          </w:p>
        </w:tc>
      </w:tr>
      <w:tr w14:paraId="641A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069E5CC2">
            <w:pPr>
              <w:widowControl/>
              <w:textAlignment w:val="baseline"/>
              <w:rPr>
                <w:kern w:val="0"/>
                <w:sz w:val="20"/>
                <w:szCs w:val="21"/>
              </w:rPr>
            </w:pPr>
            <w:r>
              <w:rPr>
                <w:kern w:val="0"/>
                <w:sz w:val="20"/>
                <w:szCs w:val="21"/>
              </w:rPr>
              <w:t>验收时是否需供应商提供必要的其他设备</w:t>
            </w:r>
          </w:p>
        </w:tc>
        <w:tc>
          <w:tcPr>
            <w:tcW w:w="2254" w:type="dxa"/>
            <w:vAlign w:val="center"/>
          </w:tcPr>
          <w:p w14:paraId="045924B2">
            <w:pPr>
              <w:widowControl/>
              <w:textAlignment w:val="baseline"/>
              <w:rPr>
                <w:kern w:val="0"/>
                <w:sz w:val="20"/>
                <w:szCs w:val="21"/>
              </w:rPr>
            </w:pPr>
            <w:r>
              <w:rPr>
                <w:kern w:val="0"/>
                <w:sz w:val="20"/>
                <w:szCs w:val="21"/>
              </w:rPr>
              <w:t>是□</w:t>
            </w:r>
          </w:p>
        </w:tc>
        <w:tc>
          <w:tcPr>
            <w:tcW w:w="2114" w:type="dxa"/>
            <w:vAlign w:val="center"/>
          </w:tcPr>
          <w:p w14:paraId="6AE16633">
            <w:pPr>
              <w:widowControl/>
              <w:textAlignment w:val="baseline"/>
              <w:rPr>
                <w:kern w:val="0"/>
                <w:sz w:val="20"/>
                <w:szCs w:val="21"/>
              </w:rPr>
            </w:pPr>
            <w:r>
              <w:rPr>
                <w:kern w:val="0"/>
                <w:sz w:val="20"/>
                <w:szCs w:val="21"/>
              </w:rPr>
              <w:t>否</w:t>
            </w:r>
            <w:r>
              <w:rPr>
                <w:rFonts w:hint="eastAsia" w:ascii="宋体" w:hAnsi="宋体"/>
                <w:kern w:val="0"/>
                <w:sz w:val="20"/>
                <w:szCs w:val="21"/>
              </w:rPr>
              <w:t>√</w:t>
            </w:r>
          </w:p>
        </w:tc>
      </w:tr>
      <w:tr w14:paraId="138A5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1" w:type="dxa"/>
            <w:gridSpan w:val="4"/>
            <w:vAlign w:val="center"/>
          </w:tcPr>
          <w:p w14:paraId="6F4A6179">
            <w:pPr>
              <w:widowControl/>
              <w:textAlignment w:val="baseline"/>
              <w:rPr>
                <w:kern w:val="0"/>
                <w:sz w:val="20"/>
                <w:szCs w:val="21"/>
              </w:rPr>
            </w:pPr>
            <w:r>
              <w:rPr>
                <w:kern w:val="0"/>
                <w:sz w:val="20"/>
                <w:szCs w:val="21"/>
              </w:rPr>
              <w:t>除现场验收外，需提供的其他验收要求</w:t>
            </w:r>
          </w:p>
        </w:tc>
      </w:tr>
      <w:tr w14:paraId="7619E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33" w:type="dxa"/>
            <w:gridSpan w:val="2"/>
            <w:vAlign w:val="center"/>
          </w:tcPr>
          <w:p w14:paraId="3DC2219B">
            <w:pPr>
              <w:widowControl/>
              <w:spacing w:line="450" w:lineRule="atLeast"/>
              <w:textAlignment w:val="baseline"/>
              <w:rPr>
                <w:kern w:val="0"/>
                <w:sz w:val="20"/>
                <w:szCs w:val="21"/>
              </w:rPr>
            </w:pPr>
            <w:r>
              <w:rPr>
                <w:kern w:val="0"/>
                <w:sz w:val="20"/>
                <w:szCs w:val="21"/>
              </w:rPr>
              <w:t>除现场验收外，是□否</w:t>
            </w:r>
            <w:r>
              <w:rPr>
                <w:rFonts w:hint="eastAsia" w:ascii="宋体" w:hAnsi="宋体"/>
                <w:kern w:val="0"/>
                <w:sz w:val="20"/>
                <w:szCs w:val="21"/>
              </w:rPr>
              <w:t>√</w:t>
            </w:r>
            <w:r>
              <w:rPr>
                <w:kern w:val="0"/>
                <w:sz w:val="20"/>
                <w:szCs w:val="21"/>
              </w:rPr>
              <w:t>需提供第三方检测报告</w:t>
            </w:r>
          </w:p>
          <w:p w14:paraId="5B900D7A">
            <w:pPr>
              <w:widowControl/>
              <w:spacing w:line="450" w:lineRule="atLeast"/>
              <w:textAlignment w:val="baseline"/>
              <w:rPr>
                <w:kern w:val="0"/>
                <w:sz w:val="20"/>
                <w:szCs w:val="21"/>
              </w:rPr>
            </w:pPr>
          </w:p>
        </w:tc>
        <w:tc>
          <w:tcPr>
            <w:tcW w:w="4368" w:type="dxa"/>
            <w:gridSpan w:val="2"/>
            <w:vAlign w:val="center"/>
          </w:tcPr>
          <w:p w14:paraId="4061D6D0">
            <w:pPr>
              <w:widowControl/>
              <w:spacing w:line="450" w:lineRule="atLeast"/>
              <w:textAlignment w:val="baseline"/>
              <w:rPr>
                <w:kern w:val="0"/>
                <w:sz w:val="20"/>
                <w:szCs w:val="21"/>
              </w:rPr>
            </w:pPr>
            <w:r>
              <w:rPr>
                <w:kern w:val="0"/>
                <w:sz w:val="20"/>
                <w:szCs w:val="21"/>
              </w:rPr>
              <w:t>对于检测机构的要求：国家正规检测机构，出具的检测报告由验收复核专家认可之后作为验收复核通过的主要依据。</w:t>
            </w:r>
          </w:p>
          <w:p w14:paraId="047ACD12">
            <w:pPr>
              <w:widowControl/>
              <w:spacing w:line="450" w:lineRule="atLeast"/>
              <w:textAlignment w:val="baseline"/>
              <w:rPr>
                <w:kern w:val="0"/>
                <w:sz w:val="20"/>
                <w:szCs w:val="21"/>
              </w:rPr>
            </w:pPr>
            <w:r>
              <w:rPr>
                <w:kern w:val="0"/>
                <w:sz w:val="20"/>
                <w:szCs w:val="21"/>
              </w:rPr>
              <w:t>对于检测执行标准的要求：各项检测项目标准以检测机构按照行业相关要求最新适用并执行的标准为准。</w:t>
            </w:r>
          </w:p>
        </w:tc>
      </w:tr>
    </w:tbl>
    <w:p w14:paraId="4233EC01"/>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79BE7">
    <w:pPr>
      <w:pStyle w:val="13"/>
      <w:jc w:val="center"/>
    </w:pPr>
    <w:r>
      <w:fldChar w:fldCharType="begin"/>
    </w:r>
    <w:r>
      <w:instrText xml:space="preserve">PAGE   \* MERGEFORMAT</w:instrText>
    </w:r>
    <w:r>
      <w:fldChar w:fldCharType="separate"/>
    </w:r>
    <w:r>
      <w:rPr>
        <w:lang w:val="zh-CN"/>
      </w:rPr>
      <w:t>41</w:t>
    </w:r>
    <w:r>
      <w:fldChar w:fldCharType="end"/>
    </w:r>
  </w:p>
  <w:p w14:paraId="5174B84C">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443DC"/>
    <w:multiLevelType w:val="multilevel"/>
    <w:tmpl w:val="013443DC"/>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A9F3708"/>
    <w:multiLevelType w:val="multilevel"/>
    <w:tmpl w:val="0A9F3708"/>
    <w:lvl w:ilvl="0" w:tentative="0">
      <w:start w:val="1"/>
      <w:numFmt w:val="decimal"/>
      <w:lvlText w:val="%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D215E29"/>
    <w:multiLevelType w:val="multilevel"/>
    <w:tmpl w:val="0D215E29"/>
    <w:lvl w:ilvl="0" w:tentative="0">
      <w:start w:val="1"/>
      <w:numFmt w:val="decimal"/>
      <w:lvlText w:val="%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410B16"/>
    <w:multiLevelType w:val="multilevel"/>
    <w:tmpl w:val="12410B1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15307BD6"/>
    <w:multiLevelType w:val="multilevel"/>
    <w:tmpl w:val="15307BD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5">
    <w:nsid w:val="16FF7143"/>
    <w:multiLevelType w:val="multilevel"/>
    <w:tmpl w:val="16FF7143"/>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6">
    <w:nsid w:val="29641F6F"/>
    <w:multiLevelType w:val="multilevel"/>
    <w:tmpl w:val="29641F6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2CA85CFA"/>
    <w:multiLevelType w:val="multilevel"/>
    <w:tmpl w:val="2CA85CF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42B3107D"/>
    <w:multiLevelType w:val="multilevel"/>
    <w:tmpl w:val="42B3107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480E176D"/>
    <w:multiLevelType w:val="multilevel"/>
    <w:tmpl w:val="480E176D"/>
    <w:lvl w:ilvl="0" w:tentative="0">
      <w:start w:val="1"/>
      <w:numFmt w:val="decimal"/>
      <w:lvlText w:val="%1）"/>
      <w:lvlJc w:val="left"/>
      <w:pPr>
        <w:ind w:left="784" w:hanging="360"/>
      </w:pPr>
      <w:rPr>
        <w:rFonts w:hint="default"/>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0">
    <w:nsid w:val="48A63D52"/>
    <w:multiLevelType w:val="multilevel"/>
    <w:tmpl w:val="48A63D5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9964FE0"/>
    <w:multiLevelType w:val="multilevel"/>
    <w:tmpl w:val="49964FE0"/>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4BA00E1C"/>
    <w:multiLevelType w:val="multilevel"/>
    <w:tmpl w:val="4BA00E1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8F3323C"/>
    <w:multiLevelType w:val="multilevel"/>
    <w:tmpl w:val="58F3323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1060040"/>
    <w:multiLevelType w:val="multilevel"/>
    <w:tmpl w:val="6106004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616D6A93"/>
    <w:multiLevelType w:val="multilevel"/>
    <w:tmpl w:val="616D6A9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7531D5A"/>
    <w:multiLevelType w:val="multilevel"/>
    <w:tmpl w:val="67531D5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6DA063E7"/>
    <w:multiLevelType w:val="multilevel"/>
    <w:tmpl w:val="6DA063E7"/>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70E2525E"/>
    <w:multiLevelType w:val="multilevel"/>
    <w:tmpl w:val="70E2525E"/>
    <w:lvl w:ilvl="0" w:tentative="0">
      <w:start w:val="1"/>
      <w:numFmt w:val="decimal"/>
      <w:lvlText w:val="1.%1"/>
      <w:lvlJc w:val="left"/>
      <w:pPr>
        <w:ind w:left="126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9BB46D3"/>
    <w:multiLevelType w:val="multilevel"/>
    <w:tmpl w:val="79BB46D3"/>
    <w:lvl w:ilvl="0" w:tentative="0">
      <w:start w:val="1"/>
      <w:numFmt w:val="bullet"/>
      <w:lvlText w:val=""/>
      <w:lvlJc w:val="left"/>
      <w:pPr>
        <w:ind w:left="844" w:hanging="420"/>
      </w:pPr>
      <w:rPr>
        <w:rFonts w:hint="default" w:ascii="Wingdings" w:hAnsi="Wingdings"/>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20">
    <w:nsid w:val="7AE73FDE"/>
    <w:multiLevelType w:val="multilevel"/>
    <w:tmpl w:val="7AE73FDE"/>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18"/>
  </w:num>
  <w:num w:numId="3">
    <w:abstractNumId w:val="12"/>
  </w:num>
  <w:num w:numId="4">
    <w:abstractNumId w:val="4"/>
  </w:num>
  <w:num w:numId="5">
    <w:abstractNumId w:val="20"/>
  </w:num>
  <w:num w:numId="6">
    <w:abstractNumId w:val="9"/>
  </w:num>
  <w:num w:numId="7">
    <w:abstractNumId w:val="11"/>
  </w:num>
  <w:num w:numId="8">
    <w:abstractNumId w:val="15"/>
  </w:num>
  <w:num w:numId="9">
    <w:abstractNumId w:val="14"/>
  </w:num>
  <w:num w:numId="10">
    <w:abstractNumId w:val="7"/>
  </w:num>
  <w:num w:numId="11">
    <w:abstractNumId w:val="3"/>
  </w:num>
  <w:num w:numId="12">
    <w:abstractNumId w:val="17"/>
  </w:num>
  <w:num w:numId="13">
    <w:abstractNumId w:val="0"/>
  </w:num>
  <w:num w:numId="14">
    <w:abstractNumId w:val="8"/>
  </w:num>
  <w:num w:numId="15">
    <w:abstractNumId w:val="6"/>
  </w:num>
  <w:num w:numId="16">
    <w:abstractNumId w:val="16"/>
  </w:num>
  <w:num w:numId="17">
    <w:abstractNumId w:val="13"/>
  </w:num>
  <w:num w:numId="18">
    <w:abstractNumId w:val="5"/>
  </w:num>
  <w:num w:numId="19">
    <w:abstractNumId w:val="10"/>
  </w:num>
  <w:num w:numId="20">
    <w:abstractNumId w:val="1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FC"/>
    <w:rsid w:val="00003B2E"/>
    <w:rsid w:val="00003B7D"/>
    <w:rsid w:val="000045B7"/>
    <w:rsid w:val="000050E7"/>
    <w:rsid w:val="0000525D"/>
    <w:rsid w:val="000052DB"/>
    <w:rsid w:val="0001399C"/>
    <w:rsid w:val="0001517F"/>
    <w:rsid w:val="00015E59"/>
    <w:rsid w:val="0001651A"/>
    <w:rsid w:val="00016581"/>
    <w:rsid w:val="000170BA"/>
    <w:rsid w:val="000176C2"/>
    <w:rsid w:val="00017C9A"/>
    <w:rsid w:val="00024FC2"/>
    <w:rsid w:val="000260A6"/>
    <w:rsid w:val="00026F30"/>
    <w:rsid w:val="00032D62"/>
    <w:rsid w:val="00036066"/>
    <w:rsid w:val="00037CBD"/>
    <w:rsid w:val="00037E27"/>
    <w:rsid w:val="00044227"/>
    <w:rsid w:val="00044E3A"/>
    <w:rsid w:val="000502C0"/>
    <w:rsid w:val="00051653"/>
    <w:rsid w:val="0007173B"/>
    <w:rsid w:val="0007748E"/>
    <w:rsid w:val="00084C20"/>
    <w:rsid w:val="00087766"/>
    <w:rsid w:val="000878A6"/>
    <w:rsid w:val="00090056"/>
    <w:rsid w:val="00090095"/>
    <w:rsid w:val="00090131"/>
    <w:rsid w:val="00092785"/>
    <w:rsid w:val="000A209A"/>
    <w:rsid w:val="000A32F4"/>
    <w:rsid w:val="000B4E42"/>
    <w:rsid w:val="000C588B"/>
    <w:rsid w:val="000C7F50"/>
    <w:rsid w:val="000D2976"/>
    <w:rsid w:val="000E38DE"/>
    <w:rsid w:val="000F20C4"/>
    <w:rsid w:val="00102887"/>
    <w:rsid w:val="0010451E"/>
    <w:rsid w:val="00105428"/>
    <w:rsid w:val="001157E0"/>
    <w:rsid w:val="001234B3"/>
    <w:rsid w:val="00125BE9"/>
    <w:rsid w:val="001262C3"/>
    <w:rsid w:val="0012727F"/>
    <w:rsid w:val="00131490"/>
    <w:rsid w:val="00132B67"/>
    <w:rsid w:val="00136581"/>
    <w:rsid w:val="001406F4"/>
    <w:rsid w:val="00140AF0"/>
    <w:rsid w:val="00141C59"/>
    <w:rsid w:val="001442E3"/>
    <w:rsid w:val="001471E1"/>
    <w:rsid w:val="001507CE"/>
    <w:rsid w:val="00150868"/>
    <w:rsid w:val="0015153B"/>
    <w:rsid w:val="0015375D"/>
    <w:rsid w:val="0015704C"/>
    <w:rsid w:val="00157667"/>
    <w:rsid w:val="001608CA"/>
    <w:rsid w:val="001609FC"/>
    <w:rsid w:val="00162A76"/>
    <w:rsid w:val="00164E87"/>
    <w:rsid w:val="00171550"/>
    <w:rsid w:val="00171EB7"/>
    <w:rsid w:val="00172E96"/>
    <w:rsid w:val="0017455C"/>
    <w:rsid w:val="00176534"/>
    <w:rsid w:val="00176F36"/>
    <w:rsid w:val="001835B7"/>
    <w:rsid w:val="0018461B"/>
    <w:rsid w:val="00192B6A"/>
    <w:rsid w:val="00196740"/>
    <w:rsid w:val="001A0CC6"/>
    <w:rsid w:val="001A2EB2"/>
    <w:rsid w:val="001A5CB4"/>
    <w:rsid w:val="001A69C1"/>
    <w:rsid w:val="001B03C0"/>
    <w:rsid w:val="001B42E3"/>
    <w:rsid w:val="001B64D8"/>
    <w:rsid w:val="001B712C"/>
    <w:rsid w:val="001C0880"/>
    <w:rsid w:val="001C41C3"/>
    <w:rsid w:val="001C68A4"/>
    <w:rsid w:val="001C68A7"/>
    <w:rsid w:val="001C7C84"/>
    <w:rsid w:val="001C7EB9"/>
    <w:rsid w:val="001D1E6E"/>
    <w:rsid w:val="001D20E3"/>
    <w:rsid w:val="001D435F"/>
    <w:rsid w:val="001E09DA"/>
    <w:rsid w:val="001E453E"/>
    <w:rsid w:val="001F0675"/>
    <w:rsid w:val="001F1723"/>
    <w:rsid w:val="001F4245"/>
    <w:rsid w:val="001F51E2"/>
    <w:rsid w:val="001F6C34"/>
    <w:rsid w:val="001F787E"/>
    <w:rsid w:val="00201AC7"/>
    <w:rsid w:val="002133DD"/>
    <w:rsid w:val="002177CC"/>
    <w:rsid w:val="002204EA"/>
    <w:rsid w:val="00221EB6"/>
    <w:rsid w:val="002241F3"/>
    <w:rsid w:val="002248B5"/>
    <w:rsid w:val="00225D64"/>
    <w:rsid w:val="002267FC"/>
    <w:rsid w:val="00230817"/>
    <w:rsid w:val="00232AA8"/>
    <w:rsid w:val="002339AF"/>
    <w:rsid w:val="00237253"/>
    <w:rsid w:val="002375F2"/>
    <w:rsid w:val="00237BD7"/>
    <w:rsid w:val="00240648"/>
    <w:rsid w:val="00240A7C"/>
    <w:rsid w:val="002427C2"/>
    <w:rsid w:val="00251F8A"/>
    <w:rsid w:val="00253744"/>
    <w:rsid w:val="00254E25"/>
    <w:rsid w:val="0025575E"/>
    <w:rsid w:val="00256A67"/>
    <w:rsid w:val="00266636"/>
    <w:rsid w:val="00266EBC"/>
    <w:rsid w:val="00267556"/>
    <w:rsid w:val="002678DE"/>
    <w:rsid w:val="00271B0E"/>
    <w:rsid w:val="00272C35"/>
    <w:rsid w:val="00274538"/>
    <w:rsid w:val="00280226"/>
    <w:rsid w:val="002815C8"/>
    <w:rsid w:val="00290089"/>
    <w:rsid w:val="00292F4F"/>
    <w:rsid w:val="0029314E"/>
    <w:rsid w:val="00294944"/>
    <w:rsid w:val="00294A8A"/>
    <w:rsid w:val="00295D2B"/>
    <w:rsid w:val="00295EBF"/>
    <w:rsid w:val="002976D9"/>
    <w:rsid w:val="002A03F5"/>
    <w:rsid w:val="002A0A28"/>
    <w:rsid w:val="002A4902"/>
    <w:rsid w:val="002A6571"/>
    <w:rsid w:val="002B2988"/>
    <w:rsid w:val="002B3A1B"/>
    <w:rsid w:val="002B75B1"/>
    <w:rsid w:val="002C2E8C"/>
    <w:rsid w:val="002C3533"/>
    <w:rsid w:val="002C4309"/>
    <w:rsid w:val="002C44E4"/>
    <w:rsid w:val="002C7D00"/>
    <w:rsid w:val="002D00C9"/>
    <w:rsid w:val="002D328F"/>
    <w:rsid w:val="002D68DE"/>
    <w:rsid w:val="002E0B97"/>
    <w:rsid w:val="002E0C45"/>
    <w:rsid w:val="002E1415"/>
    <w:rsid w:val="002E44F8"/>
    <w:rsid w:val="002E5F4F"/>
    <w:rsid w:val="002F183F"/>
    <w:rsid w:val="002F1B2C"/>
    <w:rsid w:val="002F3E9E"/>
    <w:rsid w:val="002F500A"/>
    <w:rsid w:val="002F5F34"/>
    <w:rsid w:val="002F68FE"/>
    <w:rsid w:val="00300AEA"/>
    <w:rsid w:val="003027D7"/>
    <w:rsid w:val="0031049D"/>
    <w:rsid w:val="00310E17"/>
    <w:rsid w:val="00310E39"/>
    <w:rsid w:val="003113D4"/>
    <w:rsid w:val="00312975"/>
    <w:rsid w:val="0031317F"/>
    <w:rsid w:val="0031584A"/>
    <w:rsid w:val="0031699D"/>
    <w:rsid w:val="0031702A"/>
    <w:rsid w:val="00320BB1"/>
    <w:rsid w:val="00323DAF"/>
    <w:rsid w:val="0032596E"/>
    <w:rsid w:val="00327EC0"/>
    <w:rsid w:val="00331265"/>
    <w:rsid w:val="00335F6E"/>
    <w:rsid w:val="0034379B"/>
    <w:rsid w:val="003458D7"/>
    <w:rsid w:val="00345D8D"/>
    <w:rsid w:val="00350AE9"/>
    <w:rsid w:val="00353EC3"/>
    <w:rsid w:val="00362E6F"/>
    <w:rsid w:val="0036352F"/>
    <w:rsid w:val="003636DC"/>
    <w:rsid w:val="003649AF"/>
    <w:rsid w:val="00365879"/>
    <w:rsid w:val="0036650D"/>
    <w:rsid w:val="0036743A"/>
    <w:rsid w:val="00372ADE"/>
    <w:rsid w:val="00373F46"/>
    <w:rsid w:val="00376255"/>
    <w:rsid w:val="0039273C"/>
    <w:rsid w:val="0039702E"/>
    <w:rsid w:val="003A1819"/>
    <w:rsid w:val="003A2B78"/>
    <w:rsid w:val="003A7E0A"/>
    <w:rsid w:val="003B1B61"/>
    <w:rsid w:val="003B2F37"/>
    <w:rsid w:val="003B42CB"/>
    <w:rsid w:val="003C6C5B"/>
    <w:rsid w:val="003D06DB"/>
    <w:rsid w:val="003D1E57"/>
    <w:rsid w:val="003D2D17"/>
    <w:rsid w:val="003D3B4D"/>
    <w:rsid w:val="003D6038"/>
    <w:rsid w:val="003E015F"/>
    <w:rsid w:val="003E344F"/>
    <w:rsid w:val="003E3A06"/>
    <w:rsid w:val="003E3E44"/>
    <w:rsid w:val="003E4113"/>
    <w:rsid w:val="003E4FDA"/>
    <w:rsid w:val="003F42E0"/>
    <w:rsid w:val="004007F9"/>
    <w:rsid w:val="00402C72"/>
    <w:rsid w:val="00402E6D"/>
    <w:rsid w:val="00403A66"/>
    <w:rsid w:val="00407ECC"/>
    <w:rsid w:val="004102ED"/>
    <w:rsid w:val="00413B4C"/>
    <w:rsid w:val="00420A03"/>
    <w:rsid w:val="00421074"/>
    <w:rsid w:val="00421448"/>
    <w:rsid w:val="00426CB3"/>
    <w:rsid w:val="00431C66"/>
    <w:rsid w:val="00436E3E"/>
    <w:rsid w:val="00436F8E"/>
    <w:rsid w:val="004416A5"/>
    <w:rsid w:val="00442A1F"/>
    <w:rsid w:val="004450B9"/>
    <w:rsid w:val="00446F55"/>
    <w:rsid w:val="004479AA"/>
    <w:rsid w:val="00453832"/>
    <w:rsid w:val="00456BBA"/>
    <w:rsid w:val="004671B1"/>
    <w:rsid w:val="00467C08"/>
    <w:rsid w:val="0047060C"/>
    <w:rsid w:val="00470900"/>
    <w:rsid w:val="004733A0"/>
    <w:rsid w:val="004749FF"/>
    <w:rsid w:val="00475149"/>
    <w:rsid w:val="00476631"/>
    <w:rsid w:val="00480AE8"/>
    <w:rsid w:val="004828F4"/>
    <w:rsid w:val="00484E76"/>
    <w:rsid w:val="004937BD"/>
    <w:rsid w:val="004951D7"/>
    <w:rsid w:val="004A0483"/>
    <w:rsid w:val="004A1D02"/>
    <w:rsid w:val="004A43F0"/>
    <w:rsid w:val="004A4E96"/>
    <w:rsid w:val="004A5D62"/>
    <w:rsid w:val="004B05AA"/>
    <w:rsid w:val="004B0BEE"/>
    <w:rsid w:val="004B3DFE"/>
    <w:rsid w:val="004B5C4E"/>
    <w:rsid w:val="004C1044"/>
    <w:rsid w:val="004C28C4"/>
    <w:rsid w:val="004D100B"/>
    <w:rsid w:val="004D1404"/>
    <w:rsid w:val="004D1772"/>
    <w:rsid w:val="004D2FEE"/>
    <w:rsid w:val="004D35EA"/>
    <w:rsid w:val="004D6E06"/>
    <w:rsid w:val="004E35F1"/>
    <w:rsid w:val="004E36C2"/>
    <w:rsid w:val="004E4B14"/>
    <w:rsid w:val="004F3478"/>
    <w:rsid w:val="00501176"/>
    <w:rsid w:val="00501768"/>
    <w:rsid w:val="005040A1"/>
    <w:rsid w:val="00505415"/>
    <w:rsid w:val="0050543C"/>
    <w:rsid w:val="0051081D"/>
    <w:rsid w:val="00510891"/>
    <w:rsid w:val="00511A72"/>
    <w:rsid w:val="005141D8"/>
    <w:rsid w:val="00515485"/>
    <w:rsid w:val="00516696"/>
    <w:rsid w:val="00517020"/>
    <w:rsid w:val="00517519"/>
    <w:rsid w:val="00521E2F"/>
    <w:rsid w:val="005242B1"/>
    <w:rsid w:val="0052535A"/>
    <w:rsid w:val="0053111A"/>
    <w:rsid w:val="005350BF"/>
    <w:rsid w:val="00541B3F"/>
    <w:rsid w:val="00544A89"/>
    <w:rsid w:val="00544EAA"/>
    <w:rsid w:val="00545D1D"/>
    <w:rsid w:val="005520D8"/>
    <w:rsid w:val="0055494B"/>
    <w:rsid w:val="00555CE2"/>
    <w:rsid w:val="005604ED"/>
    <w:rsid w:val="00562C62"/>
    <w:rsid w:val="005633CE"/>
    <w:rsid w:val="00564AA4"/>
    <w:rsid w:val="00564BE8"/>
    <w:rsid w:val="00570DB0"/>
    <w:rsid w:val="00571ADE"/>
    <w:rsid w:val="0057244E"/>
    <w:rsid w:val="00572C1D"/>
    <w:rsid w:val="005743A9"/>
    <w:rsid w:val="0058283B"/>
    <w:rsid w:val="005852EA"/>
    <w:rsid w:val="005853E9"/>
    <w:rsid w:val="00590E7C"/>
    <w:rsid w:val="0059304A"/>
    <w:rsid w:val="00594750"/>
    <w:rsid w:val="005951EF"/>
    <w:rsid w:val="00595E8E"/>
    <w:rsid w:val="005A638F"/>
    <w:rsid w:val="005B5790"/>
    <w:rsid w:val="005B62C9"/>
    <w:rsid w:val="005C15D0"/>
    <w:rsid w:val="005C3909"/>
    <w:rsid w:val="005C3DA0"/>
    <w:rsid w:val="005C48CF"/>
    <w:rsid w:val="005D1397"/>
    <w:rsid w:val="005D7848"/>
    <w:rsid w:val="005E27F3"/>
    <w:rsid w:val="005E47D4"/>
    <w:rsid w:val="005E5FD6"/>
    <w:rsid w:val="005E6A0A"/>
    <w:rsid w:val="005E7AF2"/>
    <w:rsid w:val="005F1571"/>
    <w:rsid w:val="005F401F"/>
    <w:rsid w:val="005F59E2"/>
    <w:rsid w:val="005F7A23"/>
    <w:rsid w:val="00600398"/>
    <w:rsid w:val="00605E97"/>
    <w:rsid w:val="00611202"/>
    <w:rsid w:val="00611265"/>
    <w:rsid w:val="006237BE"/>
    <w:rsid w:val="0062411C"/>
    <w:rsid w:val="00630D16"/>
    <w:rsid w:val="00636F27"/>
    <w:rsid w:val="00640733"/>
    <w:rsid w:val="006417C5"/>
    <w:rsid w:val="00645F8D"/>
    <w:rsid w:val="0066622D"/>
    <w:rsid w:val="00667C17"/>
    <w:rsid w:val="00671710"/>
    <w:rsid w:val="00672E4E"/>
    <w:rsid w:val="0067661E"/>
    <w:rsid w:val="006878E9"/>
    <w:rsid w:val="00690932"/>
    <w:rsid w:val="00693A1B"/>
    <w:rsid w:val="00693B3B"/>
    <w:rsid w:val="006946AB"/>
    <w:rsid w:val="00695D35"/>
    <w:rsid w:val="00696BF8"/>
    <w:rsid w:val="006A10A0"/>
    <w:rsid w:val="006A2693"/>
    <w:rsid w:val="006A5725"/>
    <w:rsid w:val="006A61CF"/>
    <w:rsid w:val="006B15B1"/>
    <w:rsid w:val="006B517A"/>
    <w:rsid w:val="006B5B9A"/>
    <w:rsid w:val="006B749C"/>
    <w:rsid w:val="006C0FB1"/>
    <w:rsid w:val="006C2144"/>
    <w:rsid w:val="006C2918"/>
    <w:rsid w:val="006C317F"/>
    <w:rsid w:val="006C6239"/>
    <w:rsid w:val="006C782C"/>
    <w:rsid w:val="006D00CB"/>
    <w:rsid w:val="006D095D"/>
    <w:rsid w:val="006D1B87"/>
    <w:rsid w:val="006D2771"/>
    <w:rsid w:val="006E12DD"/>
    <w:rsid w:val="006E473D"/>
    <w:rsid w:val="006E50B8"/>
    <w:rsid w:val="006E69AE"/>
    <w:rsid w:val="006E6F90"/>
    <w:rsid w:val="006F221E"/>
    <w:rsid w:val="006F3879"/>
    <w:rsid w:val="006F549B"/>
    <w:rsid w:val="006F6A69"/>
    <w:rsid w:val="0070331A"/>
    <w:rsid w:val="0070395D"/>
    <w:rsid w:val="00703AC6"/>
    <w:rsid w:val="00705FB9"/>
    <w:rsid w:val="00710AA5"/>
    <w:rsid w:val="007115F6"/>
    <w:rsid w:val="00712CF7"/>
    <w:rsid w:val="00712E23"/>
    <w:rsid w:val="00714D8E"/>
    <w:rsid w:val="00715B3F"/>
    <w:rsid w:val="007200CB"/>
    <w:rsid w:val="00721CBD"/>
    <w:rsid w:val="00722A8C"/>
    <w:rsid w:val="0072372E"/>
    <w:rsid w:val="00724630"/>
    <w:rsid w:val="00725AF9"/>
    <w:rsid w:val="00732ADB"/>
    <w:rsid w:val="00733CF9"/>
    <w:rsid w:val="0073504D"/>
    <w:rsid w:val="00744BFF"/>
    <w:rsid w:val="00752448"/>
    <w:rsid w:val="007540C7"/>
    <w:rsid w:val="007542E4"/>
    <w:rsid w:val="007554BB"/>
    <w:rsid w:val="0076501A"/>
    <w:rsid w:val="00765119"/>
    <w:rsid w:val="00772653"/>
    <w:rsid w:val="00775ED7"/>
    <w:rsid w:val="00777E5F"/>
    <w:rsid w:val="007839AE"/>
    <w:rsid w:val="00785146"/>
    <w:rsid w:val="00785736"/>
    <w:rsid w:val="00785D17"/>
    <w:rsid w:val="0078774D"/>
    <w:rsid w:val="00792976"/>
    <w:rsid w:val="007964B2"/>
    <w:rsid w:val="00797561"/>
    <w:rsid w:val="007A1138"/>
    <w:rsid w:val="007A1B18"/>
    <w:rsid w:val="007A377F"/>
    <w:rsid w:val="007A4912"/>
    <w:rsid w:val="007A5DE1"/>
    <w:rsid w:val="007A76A0"/>
    <w:rsid w:val="007B2B76"/>
    <w:rsid w:val="007B6FB3"/>
    <w:rsid w:val="007C0809"/>
    <w:rsid w:val="007C081D"/>
    <w:rsid w:val="007C6552"/>
    <w:rsid w:val="007C7E00"/>
    <w:rsid w:val="007D0A42"/>
    <w:rsid w:val="007D2651"/>
    <w:rsid w:val="007D7FE0"/>
    <w:rsid w:val="007E1B91"/>
    <w:rsid w:val="007E2512"/>
    <w:rsid w:val="007E5479"/>
    <w:rsid w:val="007F4BD9"/>
    <w:rsid w:val="007F7090"/>
    <w:rsid w:val="007F78A4"/>
    <w:rsid w:val="00800669"/>
    <w:rsid w:val="00800E12"/>
    <w:rsid w:val="00801053"/>
    <w:rsid w:val="008045D7"/>
    <w:rsid w:val="0080610F"/>
    <w:rsid w:val="008108B9"/>
    <w:rsid w:val="00812ADC"/>
    <w:rsid w:val="0081438E"/>
    <w:rsid w:val="008153D5"/>
    <w:rsid w:val="00815CEA"/>
    <w:rsid w:val="00823CA9"/>
    <w:rsid w:val="00825FEF"/>
    <w:rsid w:val="00827E0F"/>
    <w:rsid w:val="00837122"/>
    <w:rsid w:val="008403A0"/>
    <w:rsid w:val="008429F2"/>
    <w:rsid w:val="00843026"/>
    <w:rsid w:val="0084652E"/>
    <w:rsid w:val="0085572E"/>
    <w:rsid w:val="00855C11"/>
    <w:rsid w:val="00860346"/>
    <w:rsid w:val="00860DD3"/>
    <w:rsid w:val="00861F4D"/>
    <w:rsid w:val="00865D25"/>
    <w:rsid w:val="00867503"/>
    <w:rsid w:val="00870113"/>
    <w:rsid w:val="00872FC6"/>
    <w:rsid w:val="00873F09"/>
    <w:rsid w:val="00875019"/>
    <w:rsid w:val="00875A4A"/>
    <w:rsid w:val="00882E3D"/>
    <w:rsid w:val="00883D01"/>
    <w:rsid w:val="00885221"/>
    <w:rsid w:val="0088774B"/>
    <w:rsid w:val="00893399"/>
    <w:rsid w:val="0089621F"/>
    <w:rsid w:val="008A3A34"/>
    <w:rsid w:val="008A7C3B"/>
    <w:rsid w:val="008B0C54"/>
    <w:rsid w:val="008B1DD9"/>
    <w:rsid w:val="008B637A"/>
    <w:rsid w:val="008B6A23"/>
    <w:rsid w:val="008C0BE7"/>
    <w:rsid w:val="008C45C0"/>
    <w:rsid w:val="008C46A3"/>
    <w:rsid w:val="008C7230"/>
    <w:rsid w:val="008D094B"/>
    <w:rsid w:val="008D3374"/>
    <w:rsid w:val="008E134C"/>
    <w:rsid w:val="008E3A6B"/>
    <w:rsid w:val="008E5145"/>
    <w:rsid w:val="008E5B4D"/>
    <w:rsid w:val="008E7A1F"/>
    <w:rsid w:val="008F2B8F"/>
    <w:rsid w:val="008F2ED3"/>
    <w:rsid w:val="008F31F2"/>
    <w:rsid w:val="008F71EA"/>
    <w:rsid w:val="00902435"/>
    <w:rsid w:val="00902581"/>
    <w:rsid w:val="00906897"/>
    <w:rsid w:val="009078DC"/>
    <w:rsid w:val="00907D8C"/>
    <w:rsid w:val="009118E7"/>
    <w:rsid w:val="00912013"/>
    <w:rsid w:val="009126BF"/>
    <w:rsid w:val="00914C61"/>
    <w:rsid w:val="00916DF3"/>
    <w:rsid w:val="009170ED"/>
    <w:rsid w:val="0091769D"/>
    <w:rsid w:val="00925A7F"/>
    <w:rsid w:val="00925E61"/>
    <w:rsid w:val="00931545"/>
    <w:rsid w:val="00931D45"/>
    <w:rsid w:val="00932958"/>
    <w:rsid w:val="0093469C"/>
    <w:rsid w:val="00935121"/>
    <w:rsid w:val="009358AE"/>
    <w:rsid w:val="00937441"/>
    <w:rsid w:val="009402E6"/>
    <w:rsid w:val="00946EF5"/>
    <w:rsid w:val="00962304"/>
    <w:rsid w:val="00967005"/>
    <w:rsid w:val="009672AA"/>
    <w:rsid w:val="0097018A"/>
    <w:rsid w:val="009706F9"/>
    <w:rsid w:val="00972144"/>
    <w:rsid w:val="0097708A"/>
    <w:rsid w:val="00977A0F"/>
    <w:rsid w:val="0098356B"/>
    <w:rsid w:val="00986F5D"/>
    <w:rsid w:val="0099177F"/>
    <w:rsid w:val="00992DA3"/>
    <w:rsid w:val="009955DC"/>
    <w:rsid w:val="00995789"/>
    <w:rsid w:val="009975EE"/>
    <w:rsid w:val="009A25D5"/>
    <w:rsid w:val="009B02B3"/>
    <w:rsid w:val="009B124A"/>
    <w:rsid w:val="009B23D2"/>
    <w:rsid w:val="009B2EF0"/>
    <w:rsid w:val="009B6155"/>
    <w:rsid w:val="009B7354"/>
    <w:rsid w:val="009B7BFC"/>
    <w:rsid w:val="009C3394"/>
    <w:rsid w:val="009C3443"/>
    <w:rsid w:val="009C5DCB"/>
    <w:rsid w:val="009D3518"/>
    <w:rsid w:val="009D69A1"/>
    <w:rsid w:val="009E32E2"/>
    <w:rsid w:val="009E36C8"/>
    <w:rsid w:val="009E5200"/>
    <w:rsid w:val="009F02E3"/>
    <w:rsid w:val="009F1D28"/>
    <w:rsid w:val="009F4394"/>
    <w:rsid w:val="009F6CAB"/>
    <w:rsid w:val="009F7A2C"/>
    <w:rsid w:val="00A035F3"/>
    <w:rsid w:val="00A036A4"/>
    <w:rsid w:val="00A04197"/>
    <w:rsid w:val="00A04697"/>
    <w:rsid w:val="00A047F0"/>
    <w:rsid w:val="00A11C6E"/>
    <w:rsid w:val="00A12858"/>
    <w:rsid w:val="00A14157"/>
    <w:rsid w:val="00A161FC"/>
    <w:rsid w:val="00A16A97"/>
    <w:rsid w:val="00A20C7B"/>
    <w:rsid w:val="00A34442"/>
    <w:rsid w:val="00A345CF"/>
    <w:rsid w:val="00A364D1"/>
    <w:rsid w:val="00A4242E"/>
    <w:rsid w:val="00A42932"/>
    <w:rsid w:val="00A43DAA"/>
    <w:rsid w:val="00A46B44"/>
    <w:rsid w:val="00A4766B"/>
    <w:rsid w:val="00A54C70"/>
    <w:rsid w:val="00A5620F"/>
    <w:rsid w:val="00A61102"/>
    <w:rsid w:val="00A61746"/>
    <w:rsid w:val="00A67E8C"/>
    <w:rsid w:val="00A71D33"/>
    <w:rsid w:val="00A75258"/>
    <w:rsid w:val="00A75EB4"/>
    <w:rsid w:val="00A76420"/>
    <w:rsid w:val="00A765E9"/>
    <w:rsid w:val="00A77AEE"/>
    <w:rsid w:val="00A807B2"/>
    <w:rsid w:val="00A834A0"/>
    <w:rsid w:val="00A865ED"/>
    <w:rsid w:val="00A87C4C"/>
    <w:rsid w:val="00A9113C"/>
    <w:rsid w:val="00A9425D"/>
    <w:rsid w:val="00A96FEC"/>
    <w:rsid w:val="00AA1B7B"/>
    <w:rsid w:val="00AA1EFE"/>
    <w:rsid w:val="00AA676E"/>
    <w:rsid w:val="00AB0EB5"/>
    <w:rsid w:val="00AB48E9"/>
    <w:rsid w:val="00AB5773"/>
    <w:rsid w:val="00AB7481"/>
    <w:rsid w:val="00AC005D"/>
    <w:rsid w:val="00AC0D97"/>
    <w:rsid w:val="00AC6EB4"/>
    <w:rsid w:val="00AC6F95"/>
    <w:rsid w:val="00AD1041"/>
    <w:rsid w:val="00AD7C06"/>
    <w:rsid w:val="00AE1AFA"/>
    <w:rsid w:val="00AE3A40"/>
    <w:rsid w:val="00AE5395"/>
    <w:rsid w:val="00AE56BC"/>
    <w:rsid w:val="00AE67A6"/>
    <w:rsid w:val="00AE684F"/>
    <w:rsid w:val="00AE6B92"/>
    <w:rsid w:val="00AF0F96"/>
    <w:rsid w:val="00AF36F3"/>
    <w:rsid w:val="00AF3D98"/>
    <w:rsid w:val="00AF6296"/>
    <w:rsid w:val="00AF63CC"/>
    <w:rsid w:val="00AF7468"/>
    <w:rsid w:val="00B015CE"/>
    <w:rsid w:val="00B0187E"/>
    <w:rsid w:val="00B026D4"/>
    <w:rsid w:val="00B031FD"/>
    <w:rsid w:val="00B104C0"/>
    <w:rsid w:val="00B11D82"/>
    <w:rsid w:val="00B13E34"/>
    <w:rsid w:val="00B151BE"/>
    <w:rsid w:val="00B1693F"/>
    <w:rsid w:val="00B23012"/>
    <w:rsid w:val="00B24042"/>
    <w:rsid w:val="00B2570B"/>
    <w:rsid w:val="00B33F26"/>
    <w:rsid w:val="00B34143"/>
    <w:rsid w:val="00B350BE"/>
    <w:rsid w:val="00B35868"/>
    <w:rsid w:val="00B37AF6"/>
    <w:rsid w:val="00B40066"/>
    <w:rsid w:val="00B41718"/>
    <w:rsid w:val="00B41E7F"/>
    <w:rsid w:val="00B43698"/>
    <w:rsid w:val="00B4481B"/>
    <w:rsid w:val="00B47D50"/>
    <w:rsid w:val="00B51717"/>
    <w:rsid w:val="00B554C5"/>
    <w:rsid w:val="00B6067C"/>
    <w:rsid w:val="00B6113B"/>
    <w:rsid w:val="00B66F9F"/>
    <w:rsid w:val="00B67EBF"/>
    <w:rsid w:val="00B70BDE"/>
    <w:rsid w:val="00B716A4"/>
    <w:rsid w:val="00B72BD6"/>
    <w:rsid w:val="00B751C1"/>
    <w:rsid w:val="00B82263"/>
    <w:rsid w:val="00B842B0"/>
    <w:rsid w:val="00B84A94"/>
    <w:rsid w:val="00B85E7D"/>
    <w:rsid w:val="00B87678"/>
    <w:rsid w:val="00B87EF9"/>
    <w:rsid w:val="00B91989"/>
    <w:rsid w:val="00B91E7D"/>
    <w:rsid w:val="00B94A57"/>
    <w:rsid w:val="00B967B1"/>
    <w:rsid w:val="00BA2BE6"/>
    <w:rsid w:val="00BA359E"/>
    <w:rsid w:val="00BA5220"/>
    <w:rsid w:val="00BA6573"/>
    <w:rsid w:val="00BB047B"/>
    <w:rsid w:val="00BB2053"/>
    <w:rsid w:val="00BB469B"/>
    <w:rsid w:val="00BB6528"/>
    <w:rsid w:val="00BB7A38"/>
    <w:rsid w:val="00BC0B35"/>
    <w:rsid w:val="00BC1CA4"/>
    <w:rsid w:val="00BC3D86"/>
    <w:rsid w:val="00BC5DF3"/>
    <w:rsid w:val="00BC7870"/>
    <w:rsid w:val="00BD040F"/>
    <w:rsid w:val="00BD0727"/>
    <w:rsid w:val="00BD41BA"/>
    <w:rsid w:val="00BE0D13"/>
    <w:rsid w:val="00BE12E8"/>
    <w:rsid w:val="00BE283C"/>
    <w:rsid w:val="00BE3673"/>
    <w:rsid w:val="00BE3CD9"/>
    <w:rsid w:val="00BE53DB"/>
    <w:rsid w:val="00BE5444"/>
    <w:rsid w:val="00BE660D"/>
    <w:rsid w:val="00BF09F0"/>
    <w:rsid w:val="00BF1466"/>
    <w:rsid w:val="00BF2E77"/>
    <w:rsid w:val="00BF75AA"/>
    <w:rsid w:val="00C01F4A"/>
    <w:rsid w:val="00C02521"/>
    <w:rsid w:val="00C051C4"/>
    <w:rsid w:val="00C10670"/>
    <w:rsid w:val="00C1098B"/>
    <w:rsid w:val="00C15054"/>
    <w:rsid w:val="00C22D82"/>
    <w:rsid w:val="00C25A06"/>
    <w:rsid w:val="00C27512"/>
    <w:rsid w:val="00C3278A"/>
    <w:rsid w:val="00C36A51"/>
    <w:rsid w:val="00C41FBE"/>
    <w:rsid w:val="00C45839"/>
    <w:rsid w:val="00C4642D"/>
    <w:rsid w:val="00C51B3E"/>
    <w:rsid w:val="00C574A6"/>
    <w:rsid w:val="00C60345"/>
    <w:rsid w:val="00C63818"/>
    <w:rsid w:val="00C64E10"/>
    <w:rsid w:val="00C65BF8"/>
    <w:rsid w:val="00C67A10"/>
    <w:rsid w:val="00C72BFD"/>
    <w:rsid w:val="00C80B01"/>
    <w:rsid w:val="00C82348"/>
    <w:rsid w:val="00C83792"/>
    <w:rsid w:val="00C903CF"/>
    <w:rsid w:val="00C91752"/>
    <w:rsid w:val="00C9245B"/>
    <w:rsid w:val="00C96D98"/>
    <w:rsid w:val="00C97625"/>
    <w:rsid w:val="00CA02A4"/>
    <w:rsid w:val="00CA2009"/>
    <w:rsid w:val="00CA2AEF"/>
    <w:rsid w:val="00CA386C"/>
    <w:rsid w:val="00CA6694"/>
    <w:rsid w:val="00CB2423"/>
    <w:rsid w:val="00CB3E15"/>
    <w:rsid w:val="00CB61D8"/>
    <w:rsid w:val="00CC1604"/>
    <w:rsid w:val="00CC2E09"/>
    <w:rsid w:val="00CC539C"/>
    <w:rsid w:val="00CD08E3"/>
    <w:rsid w:val="00CD153F"/>
    <w:rsid w:val="00CD2230"/>
    <w:rsid w:val="00CD50E0"/>
    <w:rsid w:val="00CD75C0"/>
    <w:rsid w:val="00CE0298"/>
    <w:rsid w:val="00CE11D1"/>
    <w:rsid w:val="00CE52E5"/>
    <w:rsid w:val="00CE58DB"/>
    <w:rsid w:val="00CE7150"/>
    <w:rsid w:val="00CF3C63"/>
    <w:rsid w:val="00CF3D5C"/>
    <w:rsid w:val="00D03179"/>
    <w:rsid w:val="00D03285"/>
    <w:rsid w:val="00D04B4C"/>
    <w:rsid w:val="00D1138A"/>
    <w:rsid w:val="00D1314A"/>
    <w:rsid w:val="00D27E6C"/>
    <w:rsid w:val="00D324D9"/>
    <w:rsid w:val="00D35BD4"/>
    <w:rsid w:val="00D3760E"/>
    <w:rsid w:val="00D4136B"/>
    <w:rsid w:val="00D41788"/>
    <w:rsid w:val="00D431D4"/>
    <w:rsid w:val="00D45ED1"/>
    <w:rsid w:val="00D51425"/>
    <w:rsid w:val="00D56E82"/>
    <w:rsid w:val="00D62430"/>
    <w:rsid w:val="00D62499"/>
    <w:rsid w:val="00D65B92"/>
    <w:rsid w:val="00D668A2"/>
    <w:rsid w:val="00D669D9"/>
    <w:rsid w:val="00D725C8"/>
    <w:rsid w:val="00D804DA"/>
    <w:rsid w:val="00D81D1F"/>
    <w:rsid w:val="00D84511"/>
    <w:rsid w:val="00D9103E"/>
    <w:rsid w:val="00D91D88"/>
    <w:rsid w:val="00D94396"/>
    <w:rsid w:val="00D95750"/>
    <w:rsid w:val="00D95DBC"/>
    <w:rsid w:val="00D97FEA"/>
    <w:rsid w:val="00DA00DC"/>
    <w:rsid w:val="00DA3324"/>
    <w:rsid w:val="00DA3837"/>
    <w:rsid w:val="00DA3BB2"/>
    <w:rsid w:val="00DB0C6A"/>
    <w:rsid w:val="00DB1AE8"/>
    <w:rsid w:val="00DB39C9"/>
    <w:rsid w:val="00DB6905"/>
    <w:rsid w:val="00DB6ED1"/>
    <w:rsid w:val="00DB7AB4"/>
    <w:rsid w:val="00DB7E29"/>
    <w:rsid w:val="00DC0E15"/>
    <w:rsid w:val="00DC1928"/>
    <w:rsid w:val="00DC4779"/>
    <w:rsid w:val="00DD30D1"/>
    <w:rsid w:val="00DD30EB"/>
    <w:rsid w:val="00DD3BBD"/>
    <w:rsid w:val="00DD3BE4"/>
    <w:rsid w:val="00DD7959"/>
    <w:rsid w:val="00DE0B43"/>
    <w:rsid w:val="00DE1106"/>
    <w:rsid w:val="00DE12AA"/>
    <w:rsid w:val="00DE262F"/>
    <w:rsid w:val="00DE2C30"/>
    <w:rsid w:val="00DE74F1"/>
    <w:rsid w:val="00DF0DF5"/>
    <w:rsid w:val="00DF1937"/>
    <w:rsid w:val="00DF1EA0"/>
    <w:rsid w:val="00DF5062"/>
    <w:rsid w:val="00DF5E3A"/>
    <w:rsid w:val="00E01198"/>
    <w:rsid w:val="00E02FC1"/>
    <w:rsid w:val="00E03107"/>
    <w:rsid w:val="00E05719"/>
    <w:rsid w:val="00E0581E"/>
    <w:rsid w:val="00E06CFF"/>
    <w:rsid w:val="00E0795A"/>
    <w:rsid w:val="00E1130A"/>
    <w:rsid w:val="00E22081"/>
    <w:rsid w:val="00E23B73"/>
    <w:rsid w:val="00E3192B"/>
    <w:rsid w:val="00E40016"/>
    <w:rsid w:val="00E4264C"/>
    <w:rsid w:val="00E51075"/>
    <w:rsid w:val="00E516D2"/>
    <w:rsid w:val="00E5347A"/>
    <w:rsid w:val="00E620F0"/>
    <w:rsid w:val="00E6685A"/>
    <w:rsid w:val="00E70CCE"/>
    <w:rsid w:val="00E73399"/>
    <w:rsid w:val="00E74CB1"/>
    <w:rsid w:val="00E7573D"/>
    <w:rsid w:val="00E7645C"/>
    <w:rsid w:val="00E821CF"/>
    <w:rsid w:val="00E82DA0"/>
    <w:rsid w:val="00E84522"/>
    <w:rsid w:val="00E856F4"/>
    <w:rsid w:val="00E85911"/>
    <w:rsid w:val="00E86D42"/>
    <w:rsid w:val="00E875BF"/>
    <w:rsid w:val="00E90F81"/>
    <w:rsid w:val="00E931F1"/>
    <w:rsid w:val="00E93F85"/>
    <w:rsid w:val="00E942F4"/>
    <w:rsid w:val="00E94401"/>
    <w:rsid w:val="00E94B33"/>
    <w:rsid w:val="00EA590E"/>
    <w:rsid w:val="00EA61FF"/>
    <w:rsid w:val="00EA7C28"/>
    <w:rsid w:val="00EB70FC"/>
    <w:rsid w:val="00EB7685"/>
    <w:rsid w:val="00EC0BE2"/>
    <w:rsid w:val="00EC1CB2"/>
    <w:rsid w:val="00EC325C"/>
    <w:rsid w:val="00EC3DBF"/>
    <w:rsid w:val="00EC707D"/>
    <w:rsid w:val="00ED29A0"/>
    <w:rsid w:val="00ED371F"/>
    <w:rsid w:val="00ED5BAE"/>
    <w:rsid w:val="00ED79F7"/>
    <w:rsid w:val="00EE3A9A"/>
    <w:rsid w:val="00EE4CE4"/>
    <w:rsid w:val="00EE5268"/>
    <w:rsid w:val="00EE6357"/>
    <w:rsid w:val="00EF1E9E"/>
    <w:rsid w:val="00EF280F"/>
    <w:rsid w:val="00EF419C"/>
    <w:rsid w:val="00EF448C"/>
    <w:rsid w:val="00EF5794"/>
    <w:rsid w:val="00EF6FCA"/>
    <w:rsid w:val="00EF77F8"/>
    <w:rsid w:val="00F072C1"/>
    <w:rsid w:val="00F07693"/>
    <w:rsid w:val="00F10369"/>
    <w:rsid w:val="00F11C51"/>
    <w:rsid w:val="00F17DEA"/>
    <w:rsid w:val="00F21022"/>
    <w:rsid w:val="00F21EEF"/>
    <w:rsid w:val="00F26CE0"/>
    <w:rsid w:val="00F27A7B"/>
    <w:rsid w:val="00F3252F"/>
    <w:rsid w:val="00F329CA"/>
    <w:rsid w:val="00F35137"/>
    <w:rsid w:val="00F368A5"/>
    <w:rsid w:val="00F4145F"/>
    <w:rsid w:val="00F42888"/>
    <w:rsid w:val="00F43286"/>
    <w:rsid w:val="00F45AC5"/>
    <w:rsid w:val="00F45AE3"/>
    <w:rsid w:val="00F463B2"/>
    <w:rsid w:val="00F463CA"/>
    <w:rsid w:val="00F512DA"/>
    <w:rsid w:val="00F53565"/>
    <w:rsid w:val="00F54181"/>
    <w:rsid w:val="00F55E3B"/>
    <w:rsid w:val="00F57DCD"/>
    <w:rsid w:val="00F61741"/>
    <w:rsid w:val="00F61BD8"/>
    <w:rsid w:val="00F63C1E"/>
    <w:rsid w:val="00F65692"/>
    <w:rsid w:val="00F72696"/>
    <w:rsid w:val="00F75C5F"/>
    <w:rsid w:val="00F84F89"/>
    <w:rsid w:val="00F9789E"/>
    <w:rsid w:val="00FA5D12"/>
    <w:rsid w:val="00FA7651"/>
    <w:rsid w:val="00FB00E1"/>
    <w:rsid w:val="00FB0DA2"/>
    <w:rsid w:val="00FB79FC"/>
    <w:rsid w:val="00FC0D6E"/>
    <w:rsid w:val="00FC1111"/>
    <w:rsid w:val="00FC2273"/>
    <w:rsid w:val="00FC3BB8"/>
    <w:rsid w:val="00FD4C05"/>
    <w:rsid w:val="00FE15EA"/>
    <w:rsid w:val="00FE1B41"/>
    <w:rsid w:val="00FE58C2"/>
    <w:rsid w:val="00FE7651"/>
    <w:rsid w:val="00FF122C"/>
    <w:rsid w:val="00FF21F2"/>
    <w:rsid w:val="00FF339E"/>
    <w:rsid w:val="00FF47AD"/>
    <w:rsid w:val="00FF698C"/>
    <w:rsid w:val="00FF6DF5"/>
    <w:rsid w:val="00FF72B0"/>
    <w:rsid w:val="02B56CD5"/>
    <w:rsid w:val="08F065A2"/>
    <w:rsid w:val="1BC72B84"/>
    <w:rsid w:val="1C9C1AC5"/>
    <w:rsid w:val="371742C6"/>
    <w:rsid w:val="384746E9"/>
    <w:rsid w:val="38DA0FF8"/>
    <w:rsid w:val="38F0269B"/>
    <w:rsid w:val="3AE96ECD"/>
    <w:rsid w:val="3B750334"/>
    <w:rsid w:val="4AAB6C73"/>
    <w:rsid w:val="4FAF6015"/>
    <w:rsid w:val="574B4F70"/>
    <w:rsid w:val="58910F35"/>
    <w:rsid w:val="68014CBD"/>
    <w:rsid w:val="696D283E"/>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39" w:semiHidden="0" w:name="toc 9"/>
    <w:lsdException w:qFormat="1" w:unhideWhenUsed="0" w:uiPriority="0" w:semiHidden="0" w:name="Normal Indent"/>
    <w:lsdException w:qFormat="1" w:uiPriority="99" w:name="footnote text"/>
    <w:lsdException w:qFormat="1" w:uiPriority="99"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4"/>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1"/>
    <w:unhideWhenUsed/>
    <w:qFormat/>
    <w:uiPriority w:val="9"/>
    <w:pPr>
      <w:keepNext/>
      <w:keepLines/>
      <w:spacing w:before="40" w:after="40"/>
      <w:ind w:firstLine="562" w:firstLineChars="200"/>
      <w:outlineLvl w:val="3"/>
    </w:pPr>
    <w:rPr>
      <w:rFonts w:eastAsia="黑体" w:asciiTheme="majorHAnsi" w:hAnsiTheme="majorHAnsi" w:cstheme="majorBidi"/>
      <w:b/>
      <w:bCs/>
      <w:sz w:val="28"/>
      <w:szCs w:val="28"/>
    </w:rPr>
  </w:style>
  <w:style w:type="paragraph" w:styleId="6">
    <w:name w:val="heading 5"/>
    <w:basedOn w:val="1"/>
    <w:next w:val="1"/>
    <w:link w:val="49"/>
    <w:unhideWhenUsed/>
    <w:qFormat/>
    <w:uiPriority w:val="9"/>
    <w:pPr>
      <w:keepNext/>
      <w:keepLines/>
      <w:spacing w:before="280" w:after="290" w:line="376" w:lineRule="auto"/>
      <w:outlineLvl w:val="4"/>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3"/>
    <w:qFormat/>
    <w:uiPriority w:val="0"/>
    <w:pPr>
      <w:widowControl/>
      <w:spacing w:after="120"/>
      <w:ind w:firstLine="425"/>
      <w:jc w:val="left"/>
    </w:pPr>
    <w:rPr>
      <w:rFonts w:ascii="宋体" w:cs="宋体"/>
      <w:color w:val="000000"/>
      <w:kern w:val="0"/>
      <w:sz w:val="20"/>
      <w:szCs w:val="24"/>
    </w:rPr>
  </w:style>
  <w:style w:type="paragraph" w:styleId="8">
    <w:name w:val="annotation text"/>
    <w:basedOn w:val="1"/>
    <w:link w:val="50"/>
    <w:unhideWhenUsed/>
    <w:qFormat/>
    <w:uiPriority w:val="99"/>
    <w:pPr>
      <w:jc w:val="left"/>
    </w:pPr>
  </w:style>
  <w:style w:type="paragraph" w:styleId="9">
    <w:name w:val="Body Text"/>
    <w:basedOn w:val="1"/>
    <w:link w:val="61"/>
    <w:qFormat/>
    <w:uiPriority w:val="0"/>
    <w:pPr>
      <w:spacing w:after="120" w:line="324" w:lineRule="auto"/>
    </w:pPr>
    <w:rPr>
      <w:sz w:val="24"/>
      <w:szCs w:val="24"/>
    </w:rPr>
  </w:style>
  <w:style w:type="paragraph" w:styleId="10">
    <w:name w:val="Body Text Indent"/>
    <w:basedOn w:val="1"/>
    <w:link w:val="63"/>
    <w:semiHidden/>
    <w:unhideWhenUsed/>
    <w:qFormat/>
    <w:uiPriority w:val="99"/>
    <w:pPr>
      <w:spacing w:after="120"/>
      <w:ind w:left="420" w:leftChars="200"/>
    </w:pPr>
  </w:style>
  <w:style w:type="paragraph" w:styleId="11">
    <w:name w:val="Plain Text"/>
    <w:basedOn w:val="1"/>
    <w:link w:val="28"/>
    <w:qFormat/>
    <w:uiPriority w:val="0"/>
    <w:rPr>
      <w:rFonts w:ascii="宋体" w:hAnsi="Courier New" w:cstheme="minorBidi"/>
      <w:szCs w:val="22"/>
    </w:rPr>
  </w:style>
  <w:style w:type="paragraph" w:styleId="12">
    <w:name w:val="Balloon Text"/>
    <w:basedOn w:val="1"/>
    <w:link w:val="36"/>
    <w:semiHidden/>
    <w:unhideWhenUsed/>
    <w:qFormat/>
    <w:uiPriority w:val="99"/>
    <w:rPr>
      <w:sz w:val="18"/>
      <w:szCs w:val="18"/>
    </w:rPr>
  </w:style>
  <w:style w:type="paragraph" w:styleId="13">
    <w:name w:val="footer"/>
    <w:basedOn w:val="1"/>
    <w:link w:val="29"/>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1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semiHidden/>
    <w:unhideWhenUsed/>
    <w:qFormat/>
    <w:uiPriority w:val="39"/>
  </w:style>
  <w:style w:type="paragraph" w:styleId="16">
    <w:name w:val="footnote text"/>
    <w:basedOn w:val="1"/>
    <w:link w:val="62"/>
    <w:semiHidden/>
    <w:unhideWhenUsed/>
    <w:qFormat/>
    <w:uiPriority w:val="99"/>
    <w:pPr>
      <w:snapToGrid w:val="0"/>
      <w:jc w:val="left"/>
    </w:pPr>
    <w:rPr>
      <w:sz w:val="18"/>
      <w:szCs w:val="18"/>
    </w:rPr>
  </w:style>
  <w:style w:type="paragraph" w:styleId="17">
    <w:name w:val="toc 2"/>
    <w:basedOn w:val="1"/>
    <w:next w:val="1"/>
    <w:autoRedefine/>
    <w:semiHidden/>
    <w:unhideWhenUsed/>
    <w:qFormat/>
    <w:uiPriority w:val="39"/>
    <w:pPr>
      <w:ind w:left="420" w:leftChars="200"/>
    </w:pPr>
  </w:style>
  <w:style w:type="paragraph" w:styleId="18">
    <w:name w:val="toc 9"/>
    <w:basedOn w:val="1"/>
    <w:next w:val="1"/>
    <w:qFormat/>
    <w:uiPriority w:val="39"/>
    <w:pPr>
      <w:spacing w:line="360" w:lineRule="auto"/>
      <w:ind w:left="3360" w:leftChars="1600"/>
    </w:pPr>
    <w:rPr>
      <w:sz w:val="24"/>
      <w:szCs w:val="24"/>
    </w:rPr>
  </w:style>
  <w:style w:type="paragraph" w:styleId="19">
    <w:name w:val="Title"/>
    <w:basedOn w:val="1"/>
    <w:link w:val="30"/>
    <w:qFormat/>
    <w:uiPriority w:val="0"/>
    <w:pPr>
      <w:spacing w:before="240" w:after="60"/>
      <w:jc w:val="center"/>
      <w:outlineLvl w:val="0"/>
    </w:pPr>
    <w:rPr>
      <w:rFonts w:ascii="Arial" w:hAnsi="Arial" w:cs="Arial"/>
      <w:b/>
      <w:bCs/>
      <w:sz w:val="32"/>
      <w:szCs w:val="32"/>
    </w:rPr>
  </w:style>
  <w:style w:type="paragraph" w:styleId="20">
    <w:name w:val="annotation subject"/>
    <w:basedOn w:val="8"/>
    <w:next w:val="8"/>
    <w:link w:val="51"/>
    <w:semiHidden/>
    <w:unhideWhenUsed/>
    <w:qFormat/>
    <w:uiPriority w:val="99"/>
    <w:rPr>
      <w:b/>
      <w:bCs/>
    </w:rPr>
  </w:style>
  <w:style w:type="paragraph" w:styleId="21">
    <w:name w:val="Body Text First Indent 2"/>
    <w:basedOn w:val="10"/>
    <w:link w:val="64"/>
    <w:semiHidden/>
    <w:unhideWhenUsed/>
    <w:qFormat/>
    <w:uiPriority w:val="99"/>
    <w:pPr>
      <w:ind w:firstLine="420" w:firstLineChars="200"/>
    </w:p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annotation reference"/>
    <w:basedOn w:val="24"/>
    <w:unhideWhenUsed/>
    <w:qFormat/>
    <w:uiPriority w:val="99"/>
    <w:rPr>
      <w:sz w:val="21"/>
      <w:szCs w:val="21"/>
    </w:rPr>
  </w:style>
  <w:style w:type="character" w:styleId="27">
    <w:name w:val="footnote reference"/>
    <w:basedOn w:val="24"/>
    <w:semiHidden/>
    <w:unhideWhenUsed/>
    <w:qFormat/>
    <w:uiPriority w:val="99"/>
    <w:rPr>
      <w:vertAlign w:val="superscript"/>
    </w:rPr>
  </w:style>
  <w:style w:type="character" w:customStyle="1" w:styleId="28">
    <w:name w:val="纯文本 字符"/>
    <w:link w:val="11"/>
    <w:qFormat/>
    <w:uiPriority w:val="0"/>
    <w:rPr>
      <w:rFonts w:ascii="宋体" w:hAnsi="Courier New" w:eastAsia="宋体"/>
    </w:rPr>
  </w:style>
  <w:style w:type="character" w:customStyle="1" w:styleId="29">
    <w:name w:val="页脚 字符"/>
    <w:link w:val="13"/>
    <w:qFormat/>
    <w:uiPriority w:val="0"/>
    <w:rPr>
      <w:sz w:val="18"/>
    </w:rPr>
  </w:style>
  <w:style w:type="character" w:customStyle="1" w:styleId="30">
    <w:name w:val="标题 字符"/>
    <w:link w:val="19"/>
    <w:qFormat/>
    <w:uiPriority w:val="0"/>
    <w:rPr>
      <w:rFonts w:ascii="Arial" w:hAnsi="Arial" w:eastAsia="宋体" w:cs="Arial"/>
      <w:b/>
      <w:bCs/>
      <w:sz w:val="32"/>
      <w:szCs w:val="32"/>
    </w:rPr>
  </w:style>
  <w:style w:type="character" w:customStyle="1" w:styleId="31">
    <w:name w:val="页脚 Char"/>
    <w:basedOn w:val="24"/>
    <w:semiHidden/>
    <w:qFormat/>
    <w:uiPriority w:val="99"/>
    <w:rPr>
      <w:rFonts w:ascii="Times New Roman" w:hAnsi="Times New Roman" w:eastAsia="宋体" w:cs="Times New Roman"/>
      <w:sz w:val="18"/>
      <w:szCs w:val="18"/>
    </w:rPr>
  </w:style>
  <w:style w:type="character" w:customStyle="1" w:styleId="32">
    <w:name w:val="标题 Char"/>
    <w:basedOn w:val="24"/>
    <w:qFormat/>
    <w:uiPriority w:val="10"/>
    <w:rPr>
      <w:rFonts w:eastAsia="宋体" w:asciiTheme="majorHAnsi" w:hAnsiTheme="majorHAnsi" w:cstheme="majorBidi"/>
      <w:b/>
      <w:bCs/>
      <w:sz w:val="32"/>
      <w:szCs w:val="32"/>
    </w:rPr>
  </w:style>
  <w:style w:type="character" w:customStyle="1" w:styleId="33">
    <w:name w:val="纯文本 Char"/>
    <w:basedOn w:val="24"/>
    <w:semiHidden/>
    <w:qFormat/>
    <w:uiPriority w:val="99"/>
    <w:rPr>
      <w:rFonts w:ascii="宋体" w:hAnsi="Courier New" w:eastAsia="宋体" w:cs="Courier New"/>
      <w:szCs w:val="21"/>
    </w:rPr>
  </w:style>
  <w:style w:type="character" w:customStyle="1" w:styleId="34">
    <w:name w:val="页眉 字符"/>
    <w:basedOn w:val="24"/>
    <w:link w:val="14"/>
    <w:qFormat/>
    <w:uiPriority w:val="99"/>
    <w:rPr>
      <w:rFonts w:ascii="Times New Roman" w:hAnsi="Times New Roman" w:eastAsia="宋体" w:cs="Times New Roman"/>
      <w:sz w:val="18"/>
      <w:szCs w:val="18"/>
    </w:rPr>
  </w:style>
  <w:style w:type="paragraph" w:styleId="35">
    <w:name w:val="List Paragraph"/>
    <w:basedOn w:val="1"/>
    <w:qFormat/>
    <w:uiPriority w:val="34"/>
    <w:pPr>
      <w:ind w:firstLine="420" w:firstLineChars="200"/>
    </w:pPr>
  </w:style>
  <w:style w:type="character" w:customStyle="1" w:styleId="36">
    <w:name w:val="批注框文本 字符"/>
    <w:basedOn w:val="24"/>
    <w:link w:val="12"/>
    <w:semiHidden/>
    <w:qFormat/>
    <w:uiPriority w:val="99"/>
    <w:rPr>
      <w:rFonts w:ascii="Times New Roman" w:hAnsi="Times New Roman" w:eastAsia="宋体" w:cs="Times New Roman"/>
      <w:sz w:val="18"/>
      <w:szCs w:val="18"/>
    </w:rPr>
  </w:style>
  <w:style w:type="paragraph" w:customStyle="1" w:styleId="37">
    <w:name w:val="paragraph"/>
    <w:basedOn w:val="1"/>
    <w:semiHidden/>
    <w:qFormat/>
    <w:uiPriority w:val="0"/>
    <w:pPr>
      <w:widowControl/>
      <w:spacing w:before="100" w:beforeAutospacing="1" w:after="100" w:afterAutospacing="1"/>
      <w:jc w:val="left"/>
    </w:pPr>
    <w:rPr>
      <w:rFonts w:ascii="等线" w:hAnsi="等线" w:eastAsia="等线"/>
      <w:kern w:val="0"/>
      <w:sz w:val="24"/>
      <w:szCs w:val="24"/>
    </w:rPr>
  </w:style>
  <w:style w:type="paragraph" w:customStyle="1" w:styleId="38">
    <w:name w:val="列表段落1"/>
    <w:basedOn w:val="1"/>
    <w:link w:val="39"/>
    <w:qFormat/>
    <w:uiPriority w:val="34"/>
    <w:pPr>
      <w:ind w:firstLine="420" w:firstLineChars="200"/>
    </w:pPr>
    <w:rPr>
      <w:rFonts w:asciiTheme="minorHAnsi" w:hAnsiTheme="minorHAnsi" w:eastAsiaTheme="minorEastAsia" w:cstheme="minorBidi"/>
      <w:szCs w:val="22"/>
    </w:rPr>
  </w:style>
  <w:style w:type="character" w:customStyle="1" w:styleId="39">
    <w:name w:val="列表段落 字符"/>
    <w:link w:val="38"/>
    <w:qFormat/>
    <w:uiPriority w:val="0"/>
    <w:rPr>
      <w:kern w:val="2"/>
      <w:sz w:val="21"/>
      <w:szCs w:val="22"/>
    </w:rPr>
  </w:style>
  <w:style w:type="paragraph" w:customStyle="1" w:styleId="40">
    <w:name w:val="！正文"/>
    <w:basedOn w:val="1"/>
    <w:qFormat/>
    <w:uiPriority w:val="0"/>
    <w:pPr>
      <w:spacing w:line="360" w:lineRule="auto"/>
      <w:ind w:right="210" w:rightChars="100"/>
    </w:pPr>
    <w:rPr>
      <w:rFonts w:ascii="宋体" w:hAnsi="宋体"/>
      <w:sz w:val="22"/>
      <w:szCs w:val="24"/>
    </w:rPr>
  </w:style>
  <w:style w:type="character" w:customStyle="1" w:styleId="41">
    <w:name w:val="标题 4 字符"/>
    <w:basedOn w:val="24"/>
    <w:link w:val="5"/>
    <w:qFormat/>
    <w:uiPriority w:val="9"/>
    <w:rPr>
      <w:rFonts w:eastAsia="黑体" w:asciiTheme="majorHAnsi" w:hAnsiTheme="majorHAnsi" w:cstheme="majorBidi"/>
      <w:b/>
      <w:bCs/>
      <w:kern w:val="2"/>
      <w:sz w:val="28"/>
      <w:szCs w:val="28"/>
    </w:rPr>
  </w:style>
  <w:style w:type="character" w:customStyle="1" w:styleId="42">
    <w:name w:val="标题 1 字符"/>
    <w:basedOn w:val="24"/>
    <w:link w:val="2"/>
    <w:qFormat/>
    <w:uiPriority w:val="9"/>
    <w:rPr>
      <w:rFonts w:ascii="Times New Roman" w:hAnsi="Times New Roman" w:eastAsia="宋体" w:cs="Times New Roman"/>
      <w:b/>
      <w:bCs/>
      <w:kern w:val="44"/>
      <w:sz w:val="44"/>
      <w:szCs w:val="44"/>
    </w:rPr>
  </w:style>
  <w:style w:type="character" w:customStyle="1" w:styleId="43">
    <w:name w:val="标题 2 字符"/>
    <w:basedOn w:val="24"/>
    <w:link w:val="3"/>
    <w:qFormat/>
    <w:uiPriority w:val="9"/>
    <w:rPr>
      <w:rFonts w:asciiTheme="majorHAnsi" w:hAnsiTheme="majorHAnsi" w:eastAsiaTheme="majorEastAsia" w:cstheme="majorBidi"/>
      <w:b/>
      <w:bCs/>
      <w:kern w:val="2"/>
      <w:sz w:val="32"/>
      <w:szCs w:val="32"/>
    </w:rPr>
  </w:style>
  <w:style w:type="character" w:customStyle="1" w:styleId="44">
    <w:name w:val="标题 3 字符"/>
    <w:basedOn w:val="24"/>
    <w:link w:val="4"/>
    <w:qFormat/>
    <w:uiPriority w:val="9"/>
    <w:rPr>
      <w:rFonts w:ascii="Times New Roman" w:hAnsi="Times New Roman" w:eastAsia="宋体" w:cs="Times New Roman"/>
      <w:b/>
      <w:bCs/>
      <w:kern w:val="2"/>
      <w:sz w:val="32"/>
      <w:szCs w:val="32"/>
    </w:rPr>
  </w:style>
  <w:style w:type="paragraph" w:customStyle="1" w:styleId="45">
    <w:name w:val="表格正文"/>
    <w:basedOn w:val="1"/>
    <w:link w:val="46"/>
    <w:qFormat/>
    <w:uiPriority w:val="0"/>
    <w:pPr>
      <w:spacing w:line="360" w:lineRule="auto"/>
      <w:ind w:firstLine="480" w:firstLineChars="200"/>
      <w:jc w:val="left"/>
    </w:pPr>
    <w:rPr>
      <w:rFonts w:ascii="Calibri" w:hAnsi="Calibri"/>
      <w:sz w:val="28"/>
      <w:szCs w:val="24"/>
    </w:rPr>
  </w:style>
  <w:style w:type="character" w:customStyle="1" w:styleId="46">
    <w:name w:val="表格正文 Char"/>
    <w:link w:val="45"/>
    <w:qFormat/>
    <w:uiPriority w:val="0"/>
    <w:rPr>
      <w:rFonts w:ascii="Calibri" w:hAnsi="Calibri" w:eastAsia="宋体" w:cs="Times New Roman"/>
      <w:kern w:val="2"/>
      <w:sz w:val="28"/>
      <w:szCs w:val="24"/>
    </w:rPr>
  </w:style>
  <w:style w:type="paragraph" w:customStyle="1" w:styleId="47">
    <w:name w:val="标准文本"/>
    <w:basedOn w:val="1"/>
    <w:link w:val="48"/>
    <w:qFormat/>
    <w:uiPriority w:val="0"/>
    <w:pPr>
      <w:spacing w:line="360" w:lineRule="auto"/>
      <w:ind w:firstLine="480" w:firstLineChars="200"/>
    </w:pPr>
    <w:rPr>
      <w:rFonts w:cs="宋体"/>
      <w:sz w:val="24"/>
    </w:rPr>
  </w:style>
  <w:style w:type="character" w:customStyle="1" w:styleId="48">
    <w:name w:val="标准文本 Char"/>
    <w:link w:val="47"/>
    <w:qFormat/>
    <w:uiPriority w:val="0"/>
    <w:rPr>
      <w:rFonts w:ascii="Times New Roman" w:hAnsi="Times New Roman" w:eastAsia="宋体" w:cs="宋体"/>
      <w:kern w:val="2"/>
      <w:sz w:val="24"/>
    </w:rPr>
  </w:style>
  <w:style w:type="character" w:customStyle="1" w:styleId="49">
    <w:name w:val="标题 5 字符"/>
    <w:basedOn w:val="24"/>
    <w:link w:val="6"/>
    <w:qFormat/>
    <w:uiPriority w:val="9"/>
    <w:rPr>
      <w:rFonts w:ascii="Times New Roman" w:hAnsi="Times New Roman" w:eastAsia="宋体" w:cs="Times New Roman"/>
      <w:b/>
      <w:bCs/>
      <w:kern w:val="2"/>
      <w:sz w:val="28"/>
      <w:szCs w:val="28"/>
    </w:rPr>
  </w:style>
  <w:style w:type="character" w:customStyle="1" w:styleId="50">
    <w:name w:val="批注文字 字符"/>
    <w:basedOn w:val="24"/>
    <w:link w:val="8"/>
    <w:qFormat/>
    <w:uiPriority w:val="99"/>
    <w:rPr>
      <w:rFonts w:ascii="Times New Roman" w:hAnsi="Times New Roman" w:eastAsia="宋体" w:cs="Times New Roman"/>
      <w:kern w:val="2"/>
      <w:sz w:val="21"/>
    </w:rPr>
  </w:style>
  <w:style w:type="character" w:customStyle="1" w:styleId="51">
    <w:name w:val="批注主题 字符"/>
    <w:basedOn w:val="50"/>
    <w:link w:val="20"/>
    <w:semiHidden/>
    <w:qFormat/>
    <w:uiPriority w:val="99"/>
    <w:rPr>
      <w:rFonts w:ascii="Times New Roman" w:hAnsi="Times New Roman" w:eastAsia="宋体" w:cs="Times New Roman"/>
      <w:b/>
      <w:bCs/>
      <w:kern w:val="2"/>
      <w:sz w:val="21"/>
    </w:rPr>
  </w:style>
  <w:style w:type="paragraph" w:customStyle="1" w:styleId="52">
    <w:name w:val="无间隔1"/>
    <w:qFormat/>
    <w:uiPriority w:val="1"/>
    <w:rPr>
      <w:rFonts w:ascii="Calibri" w:hAnsi="Calibri" w:eastAsia="宋体" w:cs="Times New Roman"/>
      <w:sz w:val="22"/>
      <w:szCs w:val="22"/>
      <w:lang w:val="en-US" w:eastAsia="zh-CN" w:bidi="ar-SA"/>
    </w:rPr>
  </w:style>
  <w:style w:type="character" w:customStyle="1" w:styleId="53">
    <w:name w:val="正文缩进 字符"/>
    <w:link w:val="7"/>
    <w:qFormat/>
    <w:locked/>
    <w:uiPriority w:val="0"/>
    <w:rPr>
      <w:rFonts w:ascii="宋体" w:hAnsi="Times New Roman" w:eastAsia="宋体" w:cs="宋体"/>
      <w:color w:val="000000"/>
      <w:szCs w:val="24"/>
    </w:rPr>
  </w:style>
  <w:style w:type="paragraph" w:customStyle="1" w:styleId="54">
    <w:name w:val="正文1"/>
    <w:basedOn w:val="1"/>
    <w:next w:val="1"/>
    <w:link w:val="55"/>
    <w:qFormat/>
    <w:uiPriority w:val="0"/>
    <w:pPr>
      <w:adjustRightInd w:val="0"/>
      <w:snapToGrid w:val="0"/>
      <w:spacing w:line="360" w:lineRule="auto"/>
      <w:ind w:firstLine="200" w:firstLineChars="200"/>
    </w:pPr>
    <w:rPr>
      <w:rFonts w:ascii="宋体" w:hAnsi="宋体"/>
      <w:sz w:val="24"/>
      <w:szCs w:val="24"/>
    </w:rPr>
  </w:style>
  <w:style w:type="character" w:customStyle="1" w:styleId="55">
    <w:name w:val="正文1 字符"/>
    <w:basedOn w:val="24"/>
    <w:link w:val="54"/>
    <w:qFormat/>
    <w:uiPriority w:val="0"/>
    <w:rPr>
      <w:rFonts w:ascii="宋体" w:hAnsi="宋体" w:eastAsia="宋体" w:cs="Times New Roman"/>
      <w:kern w:val="2"/>
      <w:sz w:val="24"/>
      <w:szCs w:val="24"/>
    </w:rPr>
  </w:style>
  <w:style w:type="paragraph" w:customStyle="1" w:styleId="56">
    <w:name w:val="正文_1_0_0"/>
    <w:qFormat/>
    <w:uiPriority w:val="0"/>
    <w:pPr>
      <w:widowControl w:val="0"/>
      <w:jc w:val="both"/>
    </w:pPr>
    <w:rPr>
      <w:rFonts w:ascii="Times New Roman" w:hAnsi="Times New Roman" w:eastAsia="宋体" w:cs="Times New Roman"/>
      <w:kern w:val="2"/>
      <w:sz w:val="21"/>
      <w:szCs w:val="24"/>
      <w:lang w:val="en-US" w:eastAsia="zh-CN" w:bidi="ar-SA"/>
      <w14:ligatures w14:val="standardContextual"/>
    </w:rPr>
  </w:style>
  <w:style w:type="paragraph" w:styleId="57">
    <w:name w:val="No Spacing"/>
    <w:qFormat/>
    <w:uiPriority w:val="1"/>
    <w:pPr>
      <w:widowControl w:val="0"/>
      <w:ind w:firstLine="200" w:firstLineChars="200"/>
    </w:pPr>
    <w:rPr>
      <w:rFonts w:eastAsia="宋体" w:asciiTheme="minorHAnsi" w:hAnsiTheme="minorHAnsi" w:cstheme="minorBidi"/>
      <w:kern w:val="2"/>
      <w:sz w:val="24"/>
      <w:szCs w:val="24"/>
      <w:lang w:val="en-US" w:eastAsia="zh-CN" w:bidi="ar-SA"/>
      <w14:ligatures w14:val="standardContextual"/>
    </w:rPr>
  </w:style>
  <w:style w:type="paragraph" w:styleId="58">
    <w:name w:val="Quote"/>
    <w:basedOn w:val="1"/>
    <w:next w:val="1"/>
    <w:link w:val="59"/>
    <w:qFormat/>
    <w:uiPriority w:val="29"/>
    <w:pPr>
      <w:spacing w:before="160" w:after="160" w:line="360" w:lineRule="auto"/>
      <w:ind w:firstLine="200" w:firstLineChars="200"/>
      <w:jc w:val="center"/>
    </w:pPr>
    <w:rPr>
      <w:rFonts w:asciiTheme="minorHAnsi" w:hAnsiTheme="minorHAnsi" w:cstheme="minorBidi"/>
      <w:i/>
      <w:iCs/>
      <w:color w:val="404040" w:themeColor="text1" w:themeTint="BF"/>
      <w:sz w:val="24"/>
      <w:szCs w:val="24"/>
      <w14:textFill>
        <w14:solidFill>
          <w14:schemeClr w14:val="tx1">
            <w14:lumMod w14:val="75000"/>
            <w14:lumOff w14:val="25000"/>
          </w14:schemeClr>
        </w14:solidFill>
      </w14:textFill>
      <w14:ligatures w14:val="standardContextual"/>
    </w:rPr>
  </w:style>
  <w:style w:type="character" w:customStyle="1" w:styleId="59">
    <w:name w:val="引用 字符"/>
    <w:basedOn w:val="24"/>
    <w:link w:val="58"/>
    <w:qFormat/>
    <w:uiPriority w:val="29"/>
    <w:rPr>
      <w:rFonts w:eastAsia="宋体"/>
      <w:i/>
      <w:iCs/>
      <w:color w:val="404040" w:themeColor="text1" w:themeTint="BF"/>
      <w:kern w:val="2"/>
      <w:sz w:val="24"/>
      <w:szCs w:val="24"/>
      <w14:textFill>
        <w14:solidFill>
          <w14:schemeClr w14:val="tx1">
            <w14:lumMod w14:val="75000"/>
            <w14:lumOff w14:val="25000"/>
          </w14:schemeClr>
        </w14:solidFill>
      </w14:textFill>
      <w14:ligatures w14:val="standardContextual"/>
    </w:rPr>
  </w:style>
  <w:style w:type="paragraph" w:customStyle="1" w:styleId="60">
    <w:name w:val="Revision"/>
    <w:hidden/>
    <w:semiHidden/>
    <w:qFormat/>
    <w:uiPriority w:val="99"/>
    <w:rPr>
      <w:rFonts w:ascii="Times New Roman" w:hAnsi="Times New Roman" w:eastAsia="宋体" w:cs="Times New Roman"/>
      <w:kern w:val="2"/>
      <w:sz w:val="21"/>
      <w:lang w:val="en-US" w:eastAsia="zh-CN" w:bidi="ar-SA"/>
    </w:rPr>
  </w:style>
  <w:style w:type="character" w:customStyle="1" w:styleId="61">
    <w:name w:val="正文文本 字符"/>
    <w:basedOn w:val="24"/>
    <w:link w:val="9"/>
    <w:qFormat/>
    <w:uiPriority w:val="0"/>
    <w:rPr>
      <w:rFonts w:ascii="Times New Roman" w:hAnsi="Times New Roman" w:eastAsia="宋体" w:cs="Times New Roman"/>
      <w:kern w:val="2"/>
      <w:sz w:val="24"/>
      <w:szCs w:val="24"/>
    </w:rPr>
  </w:style>
  <w:style w:type="character" w:customStyle="1" w:styleId="62">
    <w:name w:val="脚注文本 字符"/>
    <w:basedOn w:val="24"/>
    <w:link w:val="16"/>
    <w:semiHidden/>
    <w:qFormat/>
    <w:uiPriority w:val="99"/>
    <w:rPr>
      <w:rFonts w:ascii="Times New Roman" w:hAnsi="Times New Roman" w:eastAsia="宋体" w:cs="Times New Roman"/>
      <w:kern w:val="2"/>
      <w:sz w:val="18"/>
      <w:szCs w:val="18"/>
    </w:rPr>
  </w:style>
  <w:style w:type="character" w:customStyle="1" w:styleId="63">
    <w:name w:val="正文文本缩进 字符"/>
    <w:basedOn w:val="24"/>
    <w:link w:val="10"/>
    <w:semiHidden/>
    <w:qFormat/>
    <w:uiPriority w:val="99"/>
    <w:rPr>
      <w:rFonts w:ascii="Times New Roman" w:hAnsi="Times New Roman" w:eastAsia="宋体" w:cs="Times New Roman"/>
      <w:kern w:val="2"/>
      <w:sz w:val="21"/>
    </w:rPr>
  </w:style>
  <w:style w:type="character" w:customStyle="1" w:styleId="64">
    <w:name w:val="正文文本首行缩进 2 字符"/>
    <w:basedOn w:val="63"/>
    <w:link w:val="21"/>
    <w:semiHidden/>
    <w:qFormat/>
    <w:uiPriority w:val="99"/>
    <w:rPr>
      <w:rFonts w:ascii="Times New Roman" w:hAnsi="Times New Roman" w:eastAsia="宋体" w:cs="Times New Roman"/>
      <w:kern w:val="2"/>
      <w:sz w:val="21"/>
    </w:rPr>
  </w:style>
  <w:style w:type="paragraph" w:customStyle="1" w:styleId="65">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9F4D9-F946-4FB8-8ABB-BA3FC6632A15}">
  <ds:schemaRefs/>
</ds:datastoreItem>
</file>

<file path=docProps/app.xml><?xml version="1.0" encoding="utf-8"?>
<Properties xmlns="http://schemas.openxmlformats.org/officeDocument/2006/extended-properties" xmlns:vt="http://schemas.openxmlformats.org/officeDocument/2006/docPropsVTypes">
  <Template>Normal</Template>
  <Pages>13</Pages>
  <Words>10321</Words>
  <Characters>10489</Characters>
  <Lines>293</Lines>
  <Paragraphs>82</Paragraphs>
  <TotalTime>257</TotalTime>
  <ScaleCrop>false</ScaleCrop>
  <LinksUpToDate>false</LinksUpToDate>
  <CharactersWithSpaces>10584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2025-04-24T02:48:00Z</dcterms:created>
  <dc:creator>User</dc:creator>
  <cp:lastModifiedBy>张亚娟</cp:lastModifiedBy>
  <dcterms:modified xsi:type="dcterms:W3CDTF">2025-06-01T03:30:52Z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FD47254428C546C79753499200788EBF</vt:lpwstr>
  </property>
  <property fmtid="{D5CDD505-2E9C-101B-9397-08002B2CF9AE}" pid="4" name="KSOTemplateDocerSaveRecord">
    <vt:lpwstr>eyJoZGlkIjoiOGUyYjBmNGQwYzAyZmZkZGMzYjdlYWZkZGRmZGFlOWQiLCJ1c2VySWQiOiIxNDg2Nzk1MzczIn0=</vt:lpwstr>
  </property>
</Properties>
</file>