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宋体" w:hAnsi="宋体"/>
          <w:color w:val="auto"/>
          <w:sz w:val="36"/>
        </w:rPr>
      </w:pPr>
      <w:bookmarkStart w:id="0" w:name="_Toc38367762"/>
      <w:r>
        <w:rPr>
          <w:rFonts w:hint="eastAsia" w:ascii="宋体" w:hAnsi="宋体"/>
          <w:color w:val="auto"/>
          <w:sz w:val="36"/>
        </w:rPr>
        <w:t>【超速冷冻离心机】</w:t>
      </w:r>
      <w:r>
        <w:rPr>
          <w:rFonts w:ascii="宋体" w:hAnsi="宋体"/>
          <w:color w:val="auto"/>
          <w:sz w:val="36"/>
        </w:rPr>
        <w:t>采购需求</w:t>
      </w:r>
      <w:bookmarkEnd w:id="0"/>
    </w:p>
    <w:p>
      <w:pPr>
        <w:tabs>
          <w:tab w:val="left" w:pos="900"/>
        </w:tabs>
        <w:spacing w:before="156" w:beforeLines="50" w:line="360" w:lineRule="auto"/>
        <w:rPr>
          <w:b/>
          <w:color w:val="auto"/>
          <w:szCs w:val="21"/>
        </w:rPr>
      </w:pPr>
      <w:bookmarkStart w:id="1" w:name="_Toc158978330"/>
      <w:bookmarkStart w:id="2" w:name="_Toc172360661"/>
      <w:bookmarkStart w:id="3" w:name="_Toc219271393"/>
      <w:r>
        <w:rPr>
          <w:rFonts w:hint="eastAsia" w:hAnsi="宋体"/>
          <w:b/>
          <w:color w:val="auto"/>
          <w:szCs w:val="21"/>
        </w:rPr>
        <w:t>一、</w:t>
      </w:r>
      <w:r>
        <w:rPr>
          <w:rFonts w:hAnsi="宋体"/>
          <w:b/>
          <w:color w:val="auto"/>
          <w:szCs w:val="21"/>
        </w:rPr>
        <w:t>采购</w:t>
      </w:r>
      <w:r>
        <w:rPr>
          <w:rFonts w:hint="eastAsia" w:hAnsi="宋体"/>
          <w:b/>
          <w:color w:val="auto"/>
          <w:szCs w:val="21"/>
        </w:rPr>
        <w:t>标的</w:t>
      </w:r>
      <w:r>
        <w:rPr>
          <w:rFonts w:hAnsi="宋体"/>
          <w:b/>
          <w:color w:val="auto"/>
          <w:szCs w:val="21"/>
        </w:rPr>
        <w:t>需实现的功能或者目标，以及为落实政府采购政策需满足的要求：</w:t>
      </w:r>
    </w:p>
    <w:p>
      <w:pPr>
        <w:tabs>
          <w:tab w:val="left" w:pos="900"/>
        </w:tabs>
        <w:spacing w:before="156" w:beforeLines="50" w:line="360" w:lineRule="auto"/>
        <w:rPr>
          <w:b/>
          <w:color w:val="auto"/>
          <w:szCs w:val="21"/>
        </w:rPr>
      </w:pPr>
      <w:r>
        <w:rPr>
          <w:rFonts w:hAnsi="宋体"/>
          <w:b/>
          <w:color w:val="auto"/>
          <w:szCs w:val="21"/>
        </w:rPr>
        <w:t>（一）采购</w:t>
      </w:r>
      <w:r>
        <w:rPr>
          <w:rFonts w:hint="eastAsia" w:hAnsi="宋体"/>
          <w:b/>
          <w:color w:val="auto"/>
          <w:szCs w:val="21"/>
        </w:rPr>
        <w:t>标的</w:t>
      </w:r>
      <w:r>
        <w:rPr>
          <w:rFonts w:hAnsi="宋体"/>
          <w:b/>
          <w:color w:val="auto"/>
          <w:szCs w:val="21"/>
        </w:rPr>
        <w:t>需实现的功能或者目标</w:t>
      </w:r>
    </w:p>
    <w:p>
      <w:pPr>
        <w:spacing w:line="360" w:lineRule="auto"/>
        <w:ind w:firstLine="420" w:firstLineChars="200"/>
        <w:rPr>
          <w:rFonts w:ascii="宋体" w:hAnsi="宋体" w:cs="宋体"/>
          <w:color w:val="auto"/>
          <w:szCs w:val="21"/>
        </w:rPr>
      </w:pPr>
      <w:r>
        <w:rPr>
          <w:rFonts w:hint="eastAsia" w:ascii="宋体" w:hAnsi="宋体" w:cs="宋体"/>
          <w:color w:val="auto"/>
          <w:szCs w:val="21"/>
        </w:rPr>
        <w:t>本项目采购超速冷冻离心机1套，用于生物大分子和细胞亚结构的分离纯化研究，要求实现精确控温功能，温度范围在</w:t>
      </w:r>
      <w:r>
        <w:rPr>
          <w:rFonts w:ascii="宋体" w:hAnsi="宋体" w:cs="宋体"/>
          <w:color w:val="auto"/>
          <w:szCs w:val="21"/>
        </w:rPr>
        <w:t xml:space="preserve">0 </w:t>
      </w:r>
      <w:r>
        <w:rPr>
          <w:rFonts w:hint="eastAsia" w:ascii="宋体" w:hAnsi="宋体" w:cs="宋体"/>
          <w:color w:val="auto"/>
          <w:szCs w:val="21"/>
        </w:rPr>
        <w:t>℃至40</w:t>
      </w:r>
      <w:r>
        <w:rPr>
          <w:rFonts w:ascii="宋体" w:hAnsi="宋体" w:cs="宋体"/>
          <w:color w:val="auto"/>
          <w:szCs w:val="21"/>
        </w:rPr>
        <w:t xml:space="preserve"> </w:t>
      </w:r>
      <w:r>
        <w:rPr>
          <w:rFonts w:hint="eastAsia" w:ascii="宋体" w:hAnsi="宋体" w:cs="宋体"/>
          <w:color w:val="auto"/>
          <w:szCs w:val="21"/>
        </w:rPr>
        <w:t>℃之间</w:t>
      </w:r>
      <w:bookmarkStart w:id="4" w:name="OLE_LINK4"/>
      <w:bookmarkStart w:id="5" w:name="OLE_LINK3"/>
      <w:r>
        <w:rPr>
          <w:rFonts w:hint="eastAsia" w:ascii="宋体" w:hAnsi="宋体" w:cs="宋体"/>
          <w:color w:val="auto"/>
          <w:szCs w:val="21"/>
        </w:rPr>
        <w:t>，</w:t>
      </w:r>
      <w:bookmarkEnd w:id="4"/>
      <w:bookmarkEnd w:id="5"/>
      <w:r>
        <w:rPr>
          <w:rFonts w:hint="eastAsia" w:ascii="宋体" w:hAnsi="宋体" w:cs="宋体"/>
          <w:color w:val="auto"/>
          <w:szCs w:val="21"/>
        </w:rPr>
        <w:t>控温精度达到±</w:t>
      </w:r>
      <w:r>
        <w:rPr>
          <w:rFonts w:hint="eastAsia" w:ascii="宋体" w:hAnsi="宋体" w:cs="宋体"/>
          <w:color w:val="auto"/>
          <w:szCs w:val="21"/>
          <w:lang w:val="en-US" w:eastAsia="zh-CN"/>
        </w:rPr>
        <w:t>1</w:t>
      </w:r>
      <w:r>
        <w:rPr>
          <w:rFonts w:ascii="宋体" w:hAnsi="宋体" w:cs="宋体"/>
          <w:color w:val="auto"/>
          <w:szCs w:val="21"/>
        </w:rPr>
        <w:t xml:space="preserve"> </w:t>
      </w:r>
      <w:r>
        <w:rPr>
          <w:rFonts w:hint="eastAsia" w:ascii="宋体" w:hAnsi="宋体" w:cs="宋体"/>
          <w:color w:val="auto"/>
          <w:szCs w:val="21"/>
        </w:rPr>
        <w:t>℃；具备多种转头可选，最大转速不低于100,000 rpm ，离心力不低于</w:t>
      </w:r>
      <w:r>
        <w:rPr>
          <w:rFonts w:ascii="宋体" w:hAnsi="宋体" w:cs="宋体"/>
          <w:color w:val="auto"/>
          <w:szCs w:val="21"/>
        </w:rPr>
        <w:t>8</w:t>
      </w:r>
      <w:r>
        <w:rPr>
          <w:rFonts w:hint="eastAsia" w:ascii="宋体" w:hAnsi="宋体" w:cs="宋体"/>
          <w:color w:val="auto"/>
          <w:szCs w:val="21"/>
        </w:rPr>
        <w:t>00,000</w:t>
      </w:r>
      <w:r>
        <w:rPr>
          <w:rFonts w:hint="eastAsia" w:ascii="宋体" w:hAnsi="宋体" w:cs="宋体"/>
          <w:color w:val="auto"/>
          <w:szCs w:val="21"/>
          <w:lang w:val="en-US" w:eastAsia="zh-CN"/>
        </w:rPr>
        <w:t xml:space="preserve"> </w:t>
      </w:r>
      <w:r>
        <w:rPr>
          <w:rFonts w:hint="eastAsia" w:ascii="宋体" w:hAnsi="宋体" w:cs="宋体"/>
          <w:color w:val="auto"/>
          <w:szCs w:val="21"/>
        </w:rPr>
        <w:t>g，能够满足不同样品的离心需求；同时离心机需配备智能控制系统，可预设和存储多种运行程序，并具备故障自诊断和安全防护功能，保障实验安全稳定进行。</w:t>
      </w:r>
    </w:p>
    <w:p>
      <w:pPr>
        <w:tabs>
          <w:tab w:val="left" w:pos="900"/>
        </w:tabs>
        <w:spacing w:before="156" w:beforeLines="50" w:line="360" w:lineRule="auto"/>
        <w:rPr>
          <w:b/>
          <w:color w:val="auto"/>
          <w:szCs w:val="21"/>
        </w:rPr>
      </w:pPr>
      <w:r>
        <w:rPr>
          <w:rFonts w:hAnsi="宋体"/>
          <w:b/>
          <w:color w:val="auto"/>
          <w:szCs w:val="21"/>
        </w:rPr>
        <w:t>（二）为落实政府采购政策需满足的要求</w:t>
      </w:r>
    </w:p>
    <w:p>
      <w:pPr>
        <w:tabs>
          <w:tab w:val="left" w:pos="900"/>
        </w:tabs>
        <w:spacing w:line="360" w:lineRule="auto"/>
        <w:ind w:left="420"/>
        <w:rPr>
          <w:rFonts w:hAnsi="宋体"/>
          <w:color w:val="auto"/>
          <w:szCs w:val="21"/>
        </w:rPr>
      </w:pPr>
      <w:r>
        <w:rPr>
          <w:rFonts w:hint="eastAsia" w:hAnsi="宋体"/>
          <w:color w:val="auto"/>
          <w:szCs w:val="24"/>
        </w:rPr>
        <w:t>1</w:t>
      </w:r>
      <w:r>
        <w:rPr>
          <w:rFonts w:hAnsi="宋体"/>
          <w:color w:val="auto"/>
          <w:szCs w:val="24"/>
        </w:rPr>
        <w:t>.根据</w:t>
      </w:r>
      <w:r>
        <w:rPr>
          <w:rFonts w:hAnsi="宋体"/>
          <w:color w:val="auto"/>
        </w:rPr>
        <w:t>《政府采购促进中小企业发展管理办法》</w:t>
      </w:r>
      <w:r>
        <w:rPr>
          <w:rFonts w:hint="eastAsia" w:hAnsi="宋体"/>
          <w:color w:val="auto"/>
        </w:rPr>
        <w:t>（财库【2</w:t>
      </w:r>
      <w:r>
        <w:rPr>
          <w:rFonts w:hAnsi="宋体"/>
          <w:color w:val="auto"/>
        </w:rPr>
        <w:t>020</w:t>
      </w:r>
      <w:r>
        <w:rPr>
          <w:rFonts w:hint="eastAsia" w:hAnsi="宋体"/>
          <w:color w:val="auto"/>
        </w:rPr>
        <w:t>】4</w:t>
      </w:r>
      <w:r>
        <w:rPr>
          <w:rFonts w:hAnsi="宋体"/>
          <w:color w:val="auto"/>
        </w:rPr>
        <w:t>6</w:t>
      </w:r>
      <w:r>
        <w:rPr>
          <w:rFonts w:hint="eastAsia" w:hAnsi="宋体"/>
          <w:color w:val="auto"/>
        </w:rPr>
        <w:t>号）</w:t>
      </w:r>
      <w:r>
        <w:rPr>
          <w:rFonts w:hAnsi="宋体"/>
          <w:color w:val="auto"/>
        </w:rPr>
        <w:t>规定，本项目</w:t>
      </w:r>
      <w:r>
        <w:rPr>
          <w:rFonts w:hint="eastAsia" w:hAnsi="宋体"/>
          <w:color w:val="auto"/>
        </w:rPr>
        <w:t>采购标的</w:t>
      </w:r>
      <w:r>
        <w:rPr>
          <w:rFonts w:hAnsi="宋体"/>
          <w:color w:val="auto"/>
        </w:rPr>
        <w:t>为</w:t>
      </w:r>
      <w:r>
        <w:rPr>
          <w:rFonts w:hint="eastAsia" w:hAnsi="宋体"/>
          <w:color w:val="auto"/>
        </w:rPr>
        <w:t>中小</w:t>
      </w:r>
      <w:r>
        <w:rPr>
          <w:rFonts w:hAnsi="宋体"/>
          <w:color w:val="auto"/>
        </w:rPr>
        <w:t>型企业</w:t>
      </w:r>
      <w:r>
        <w:rPr>
          <w:rFonts w:hint="eastAsia" w:hAnsi="宋体"/>
          <w:color w:val="auto"/>
        </w:rPr>
        <w:t>制造、承建或承接</w:t>
      </w:r>
      <w:r>
        <w:rPr>
          <w:rFonts w:hAnsi="宋体"/>
          <w:color w:val="auto"/>
          <w:szCs w:val="24"/>
        </w:rPr>
        <w:t>的，</w:t>
      </w:r>
      <w:r>
        <w:rPr>
          <w:rFonts w:hAnsi="宋体"/>
          <w:color w:val="auto"/>
        </w:rPr>
        <w:t>投标人应</w:t>
      </w:r>
      <w:r>
        <w:rPr>
          <w:rFonts w:hint="eastAsia" w:hAnsi="宋体"/>
          <w:color w:val="auto"/>
        </w:rPr>
        <w:t>提供办法规定的</w:t>
      </w:r>
      <w:r>
        <w:rPr>
          <w:rFonts w:hAnsi="宋体"/>
          <w:color w:val="auto"/>
          <w:szCs w:val="21"/>
        </w:rPr>
        <w:t>《中小企业声明函》</w:t>
      </w:r>
      <w:r>
        <w:rPr>
          <w:rFonts w:hint="eastAsia" w:hAnsi="宋体"/>
          <w:color w:val="auto"/>
          <w:szCs w:val="21"/>
        </w:rPr>
        <w:t>，否则不得享受相关中小企业扶持政策</w:t>
      </w:r>
      <w:r>
        <w:rPr>
          <w:rFonts w:hAnsi="宋体"/>
          <w:color w:val="auto"/>
          <w:szCs w:val="24"/>
        </w:rPr>
        <w:t>。投标人应对提交的中小企业声明函的真实性负责，提交的中小企业声明函不真实的，应承担相应的法律责任</w:t>
      </w:r>
      <w:r>
        <w:rPr>
          <w:rFonts w:hAnsi="宋体"/>
          <w:color w:val="auto"/>
          <w:szCs w:val="21"/>
        </w:rPr>
        <w:t>。</w:t>
      </w:r>
    </w:p>
    <w:p>
      <w:pPr>
        <w:tabs>
          <w:tab w:val="left" w:pos="900"/>
        </w:tabs>
        <w:spacing w:line="360" w:lineRule="auto"/>
        <w:ind w:left="420"/>
        <w:rPr>
          <w:rFonts w:hAnsi="宋体"/>
          <w:color w:val="auto"/>
          <w:szCs w:val="24"/>
        </w:rPr>
      </w:pPr>
      <w:r>
        <w:rPr>
          <w:rFonts w:hint="eastAsia" w:hAnsi="宋体"/>
          <w:color w:val="auto"/>
          <w:szCs w:val="24"/>
        </w:rPr>
        <w:t>本项目采购标的对应的《中小企业划型标准规定》所属行业为：</w:t>
      </w:r>
      <w:r>
        <w:rPr>
          <w:rFonts w:hint="eastAsia" w:hAnsi="宋体"/>
          <w:color w:val="auto"/>
          <w:szCs w:val="24"/>
          <w:u w:val="single"/>
        </w:rPr>
        <w:t xml:space="preserve">  工业  </w:t>
      </w:r>
      <w:r>
        <w:rPr>
          <w:rFonts w:hint="eastAsia" w:hAnsi="宋体"/>
          <w:color w:val="auto"/>
          <w:szCs w:val="24"/>
        </w:rPr>
        <w:t>。</w:t>
      </w:r>
    </w:p>
    <w:p>
      <w:pPr>
        <w:tabs>
          <w:tab w:val="left" w:pos="900"/>
        </w:tabs>
        <w:spacing w:line="360" w:lineRule="auto"/>
        <w:ind w:left="420"/>
        <w:rPr>
          <w:rFonts w:cs="宋体" w:asciiTheme="minorEastAsia" w:hAnsiTheme="minorEastAsia"/>
          <w:b/>
          <w:color w:val="auto"/>
          <w:kern w:val="0"/>
          <w:sz w:val="20"/>
          <w:szCs w:val="21"/>
        </w:rPr>
      </w:pPr>
      <w:r>
        <w:rPr>
          <w:rFonts w:hint="eastAsia" w:hAnsi="宋体"/>
          <w:color w:val="auto"/>
          <w:szCs w:val="24"/>
        </w:rPr>
        <w:t>2</w:t>
      </w:r>
      <w:r>
        <w:rPr>
          <w:rFonts w:hAnsi="宋体"/>
          <w:color w:val="auto"/>
          <w:szCs w:val="24"/>
        </w:rPr>
        <w:t>.</w:t>
      </w:r>
      <w:r>
        <w:rPr>
          <w:rFonts w:hint="eastAsia" w:cs="宋体" w:asciiTheme="minorEastAsia" w:hAnsiTheme="minorEastAsia"/>
          <w:color w:val="auto"/>
          <w:kern w:val="0"/>
          <w:sz w:val="20"/>
          <w:szCs w:val="21"/>
        </w:rPr>
        <w:t xml:space="preserve"> </w:t>
      </w:r>
      <w:r>
        <w:rPr>
          <w:rFonts w:hint="eastAsia" w:cs="宋体" w:asciiTheme="minorEastAsia" w:hAnsiTheme="minorEastAsia"/>
          <w:b/>
          <w:color w:val="auto"/>
          <w:kern w:val="0"/>
          <w:sz w:val="24"/>
          <w:szCs w:val="24"/>
        </w:rPr>
        <w:sym w:font="Wingdings 2" w:char="0052"/>
      </w:r>
      <w:r>
        <w:rPr>
          <w:rFonts w:hint="eastAsia" w:cs="宋体" w:asciiTheme="minorEastAsia" w:hAnsiTheme="minorEastAsia"/>
          <w:b/>
          <w:color w:val="auto"/>
          <w:kern w:val="0"/>
          <w:sz w:val="24"/>
          <w:szCs w:val="24"/>
        </w:rPr>
        <w:t xml:space="preserve"> </w:t>
      </w:r>
      <w:r>
        <w:rPr>
          <w:rFonts w:hint="eastAsia" w:cs="宋体" w:asciiTheme="minorEastAsia" w:hAnsiTheme="minorEastAsia"/>
          <w:b/>
          <w:color w:val="auto"/>
          <w:kern w:val="0"/>
          <w:sz w:val="20"/>
          <w:szCs w:val="21"/>
        </w:rPr>
        <w:t>本采购项目允许进口产品参加。</w:t>
      </w:r>
    </w:p>
    <w:p>
      <w:pPr>
        <w:tabs>
          <w:tab w:val="left" w:pos="900"/>
        </w:tabs>
        <w:spacing w:line="360" w:lineRule="auto"/>
        <w:ind w:left="420" w:firstLine="201" w:firstLineChars="100"/>
        <w:rPr>
          <w:rFonts w:cs="宋体" w:asciiTheme="minorEastAsia" w:hAnsiTheme="minorEastAsia"/>
          <w:b/>
          <w:color w:val="auto"/>
          <w:kern w:val="0"/>
          <w:sz w:val="20"/>
          <w:szCs w:val="21"/>
        </w:rPr>
      </w:pPr>
      <w:r>
        <w:rPr>
          <w:rFonts w:hint="eastAsia" w:cs="宋体" w:asciiTheme="minorEastAsia" w:hAnsiTheme="minorEastAsia"/>
          <w:b/>
          <w:color w:val="auto"/>
          <w:kern w:val="0"/>
          <w:sz w:val="20"/>
          <w:szCs w:val="21"/>
        </w:rPr>
        <w:t>（说明：请项目单位根据采购实际情况在“□”中打勾（</w:t>
      </w:r>
      <w:r>
        <w:rPr>
          <w:rFonts w:hint="eastAsia" w:cs="宋体" w:asciiTheme="minorEastAsia" w:hAnsiTheme="minorEastAsia"/>
          <w:b/>
          <w:color w:val="auto"/>
          <w:kern w:val="0"/>
          <w:sz w:val="24"/>
          <w:szCs w:val="24"/>
        </w:rPr>
        <w:sym w:font="Wingdings 2" w:char="F052"/>
      </w:r>
      <w:r>
        <w:rPr>
          <w:rFonts w:hint="eastAsia" w:cs="宋体" w:asciiTheme="minorEastAsia" w:hAnsiTheme="minorEastAsia"/>
          <w:b/>
          <w:color w:val="auto"/>
          <w:kern w:val="0"/>
          <w:sz w:val="24"/>
          <w:szCs w:val="24"/>
        </w:rPr>
        <w:t>）</w:t>
      </w:r>
      <w:r>
        <w:rPr>
          <w:rFonts w:hint="eastAsia" w:cs="宋体" w:asciiTheme="minorEastAsia" w:hAnsiTheme="minorEastAsia"/>
          <w:b/>
          <w:color w:val="auto"/>
          <w:kern w:val="0"/>
          <w:sz w:val="20"/>
          <w:szCs w:val="21"/>
        </w:rPr>
        <w:t>。未进行勾选的，视为只接受本国产品参加）</w:t>
      </w:r>
    </w:p>
    <w:p>
      <w:pPr>
        <w:tabs>
          <w:tab w:val="left" w:pos="900"/>
        </w:tabs>
        <w:spacing w:before="156" w:beforeLines="50" w:line="360" w:lineRule="auto"/>
        <w:rPr>
          <w:rFonts w:hAnsi="宋体"/>
          <w:b/>
          <w:color w:val="auto"/>
          <w:szCs w:val="21"/>
        </w:rPr>
      </w:pPr>
      <w:r>
        <w:rPr>
          <w:rFonts w:hint="eastAsia" w:hAnsi="宋体"/>
          <w:b/>
          <w:color w:val="auto"/>
          <w:szCs w:val="21"/>
        </w:rPr>
        <w:t>二、</w:t>
      </w:r>
      <w:r>
        <w:rPr>
          <w:rFonts w:hAnsi="宋体"/>
          <w:b/>
          <w:color w:val="auto"/>
          <w:szCs w:val="21"/>
        </w:rPr>
        <w:t>采购</w:t>
      </w:r>
      <w:r>
        <w:rPr>
          <w:rFonts w:hint="eastAsia" w:hAnsi="宋体"/>
          <w:b/>
          <w:color w:val="auto"/>
          <w:szCs w:val="21"/>
        </w:rPr>
        <w:t>标的</w:t>
      </w:r>
      <w:r>
        <w:rPr>
          <w:rFonts w:hAnsi="宋体"/>
          <w:b/>
          <w:color w:val="auto"/>
          <w:szCs w:val="21"/>
        </w:rPr>
        <w:t>需执行的国家相关标准、行业标准、地方标准或者其他标准、规范：</w:t>
      </w:r>
    </w:p>
    <w:p>
      <w:pPr>
        <w:tabs>
          <w:tab w:val="left" w:pos="900"/>
        </w:tabs>
        <w:spacing w:before="156" w:beforeLines="50" w:line="360" w:lineRule="auto"/>
        <w:ind w:firstLine="420" w:firstLineChars="200"/>
        <w:rPr>
          <w:color w:val="auto"/>
          <w:szCs w:val="21"/>
        </w:rPr>
      </w:pPr>
      <w:r>
        <w:rPr>
          <w:rFonts w:hint="eastAsia"/>
          <w:color w:val="auto"/>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pPr>
        <w:tabs>
          <w:tab w:val="left" w:pos="900"/>
        </w:tabs>
        <w:spacing w:before="156" w:beforeLines="50" w:line="360" w:lineRule="auto"/>
        <w:rPr>
          <w:rFonts w:hAnsi="宋体"/>
          <w:b/>
          <w:color w:val="auto"/>
          <w:szCs w:val="21"/>
        </w:rPr>
      </w:pPr>
      <w:r>
        <w:rPr>
          <w:rFonts w:hint="eastAsia" w:hAnsi="宋体"/>
          <w:b/>
          <w:color w:val="auto"/>
          <w:szCs w:val="21"/>
        </w:rPr>
        <w:t>三、采购标的概况</w:t>
      </w:r>
    </w:p>
    <w:p>
      <w:pPr>
        <w:spacing w:before="156" w:beforeLines="50" w:line="360" w:lineRule="auto"/>
        <w:rPr>
          <w:rFonts w:hAnsi="宋体"/>
          <w:color w:val="auto"/>
          <w:szCs w:val="21"/>
        </w:rPr>
      </w:pPr>
      <w:r>
        <w:rPr>
          <w:rFonts w:hint="eastAsia" w:ascii="宋体" w:hAnsi="宋体"/>
          <w:color w:val="auto"/>
          <w:szCs w:val="21"/>
        </w:rPr>
        <w:t>（一）采购项目名称：</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超速冷冻离心机</w:t>
      </w:r>
      <w:r>
        <w:rPr>
          <w:rFonts w:ascii="宋体" w:hAnsi="宋体"/>
          <w:color w:val="auto"/>
          <w:szCs w:val="21"/>
          <w:u w:val="single"/>
        </w:rPr>
        <w:t xml:space="preserve">      </w:t>
      </w:r>
      <w:r>
        <w:rPr>
          <w:rFonts w:hint="eastAsia" w:ascii="宋体" w:hAnsi="宋体"/>
          <w:color w:val="auto"/>
          <w:szCs w:val="21"/>
          <w:u w:val="single"/>
          <w:lang w:eastAsia="zh-CN"/>
        </w:rPr>
        <w:t>。</w:t>
      </w:r>
      <w:r>
        <w:rPr>
          <w:rFonts w:hAnsi="宋体"/>
          <w:color w:val="auto"/>
          <w:szCs w:val="21"/>
        </w:rPr>
        <w:t xml:space="preserve">  </w:t>
      </w:r>
    </w:p>
    <w:p>
      <w:pPr>
        <w:spacing w:before="156" w:beforeLines="50" w:line="360" w:lineRule="auto"/>
        <w:rPr>
          <w:rFonts w:hint="eastAsia" w:hAnsi="宋体" w:eastAsia="宋体"/>
          <w:color w:val="auto"/>
          <w:szCs w:val="21"/>
          <w:u w:val="single"/>
          <w:lang w:eastAsia="zh-CN"/>
        </w:rPr>
      </w:pPr>
      <w:r>
        <w:rPr>
          <w:rFonts w:hint="eastAsia" w:hAnsi="宋体"/>
          <w:color w:val="auto"/>
          <w:szCs w:val="21"/>
        </w:rPr>
        <w:t>（二）采购数量及计量单位：</w:t>
      </w:r>
      <w:r>
        <w:rPr>
          <w:rFonts w:hAnsi="宋体"/>
          <w:color w:val="auto"/>
          <w:szCs w:val="21"/>
          <w:u w:val="single"/>
        </w:rPr>
        <w:t xml:space="preserve">   </w:t>
      </w:r>
      <w:r>
        <w:rPr>
          <w:rFonts w:ascii="宋体" w:hAnsi="宋体"/>
          <w:color w:val="auto"/>
          <w:szCs w:val="21"/>
          <w:u w:val="single"/>
        </w:rPr>
        <w:t>1</w:t>
      </w:r>
      <w:r>
        <w:rPr>
          <w:rFonts w:hint="eastAsia" w:ascii="宋体" w:hAnsi="宋体"/>
          <w:color w:val="auto"/>
          <w:szCs w:val="21"/>
          <w:u w:val="single"/>
        </w:rPr>
        <w:t>套</w:t>
      </w:r>
      <w:r>
        <w:rPr>
          <w:rFonts w:hAnsi="宋体"/>
          <w:color w:val="auto"/>
          <w:szCs w:val="21"/>
          <w:u w:val="single"/>
        </w:rPr>
        <w:t xml:space="preserve">     </w:t>
      </w:r>
      <w:r>
        <w:rPr>
          <w:rFonts w:hint="eastAsia" w:hAnsi="宋体"/>
          <w:color w:val="auto"/>
          <w:szCs w:val="21"/>
          <w:u w:val="single"/>
          <w:lang w:eastAsia="zh-CN"/>
        </w:rPr>
        <w:t>。</w:t>
      </w:r>
    </w:p>
    <w:p>
      <w:pPr>
        <w:spacing w:before="156" w:beforeLines="50" w:line="360" w:lineRule="auto"/>
        <w:rPr>
          <w:rFonts w:hAnsi="宋体"/>
          <w:color w:val="auto"/>
          <w:szCs w:val="21"/>
        </w:rPr>
      </w:pPr>
      <w:r>
        <w:rPr>
          <w:rFonts w:hint="eastAsia" w:hAnsi="宋体"/>
          <w:color w:val="auto"/>
          <w:szCs w:val="21"/>
        </w:rPr>
        <w:t>（三）最高限价：人民币</w:t>
      </w:r>
      <w:r>
        <w:rPr>
          <w:rFonts w:hint="eastAsia" w:hAnsi="宋体"/>
          <w:color w:val="auto"/>
          <w:szCs w:val="21"/>
          <w:u w:val="single"/>
        </w:rPr>
        <w:t xml:space="preserve"> </w:t>
      </w:r>
      <w:r>
        <w:rPr>
          <w:rFonts w:hAnsi="宋体"/>
          <w:color w:val="auto"/>
          <w:szCs w:val="21"/>
          <w:u w:val="single"/>
        </w:rPr>
        <w:t xml:space="preserve">   85</w:t>
      </w:r>
      <w:r>
        <w:rPr>
          <w:rFonts w:hint="eastAsia" w:hAnsi="宋体"/>
          <w:color w:val="auto"/>
          <w:szCs w:val="21"/>
          <w:u w:val="single"/>
        </w:rPr>
        <w:t>万</w:t>
      </w:r>
      <w:r>
        <w:rPr>
          <w:rFonts w:hAnsi="宋体"/>
          <w:color w:val="auto"/>
          <w:szCs w:val="21"/>
          <w:u w:val="single"/>
        </w:rPr>
        <w:t xml:space="preserve">    </w:t>
      </w:r>
      <w:r>
        <w:rPr>
          <w:rFonts w:hAnsi="宋体"/>
          <w:color w:val="auto"/>
          <w:szCs w:val="21"/>
        </w:rPr>
        <w:t xml:space="preserve"> </w:t>
      </w:r>
      <w:r>
        <w:rPr>
          <w:rFonts w:hint="eastAsia" w:hAnsi="宋体"/>
          <w:color w:val="auto"/>
          <w:szCs w:val="21"/>
        </w:rPr>
        <w:t>元。</w:t>
      </w:r>
    </w:p>
    <w:p>
      <w:pPr>
        <w:spacing w:before="156" w:beforeLines="50" w:line="360" w:lineRule="auto"/>
        <w:rPr>
          <w:color w:val="auto"/>
          <w:szCs w:val="21"/>
        </w:rPr>
      </w:pPr>
      <w:r>
        <w:rPr>
          <w:rFonts w:hint="eastAsia" w:hAnsi="宋体"/>
          <w:color w:val="auto"/>
          <w:szCs w:val="21"/>
        </w:rPr>
        <w:t>（四）</w:t>
      </w:r>
      <w:r>
        <w:rPr>
          <w:rFonts w:hAnsi="宋体"/>
          <w:color w:val="auto"/>
          <w:szCs w:val="21"/>
        </w:rPr>
        <w:t>交付时间：</w:t>
      </w:r>
      <w:r>
        <w:rPr>
          <w:rFonts w:hAnsi="宋体"/>
          <w:color w:val="auto"/>
        </w:rPr>
        <w:t>合同签订后</w:t>
      </w:r>
      <w:r>
        <w:rPr>
          <w:rFonts w:hAnsi="宋体"/>
          <w:color w:val="auto"/>
          <w:u w:val="single"/>
        </w:rPr>
        <w:t xml:space="preserve">   </w:t>
      </w:r>
      <w:r>
        <w:rPr>
          <w:rFonts w:ascii="宋体" w:hAnsi="宋体"/>
          <w:color w:val="auto"/>
          <w:szCs w:val="21"/>
          <w:u w:val="single"/>
        </w:rPr>
        <w:t>90</w:t>
      </w:r>
      <w:r>
        <w:rPr>
          <w:rFonts w:hAnsi="宋体"/>
          <w:color w:val="auto"/>
          <w:u w:val="single"/>
        </w:rPr>
        <w:t xml:space="preserve">   </w:t>
      </w:r>
      <w:r>
        <w:rPr>
          <w:rFonts w:hint="eastAsia" w:hAnsi="宋体"/>
          <w:color w:val="auto"/>
        </w:rPr>
        <w:t>天内。</w:t>
      </w:r>
    </w:p>
    <w:p>
      <w:pPr>
        <w:tabs>
          <w:tab w:val="left" w:pos="900"/>
        </w:tabs>
        <w:spacing w:before="156" w:beforeLines="50" w:line="360" w:lineRule="auto"/>
        <w:rPr>
          <w:rFonts w:hAnsi="宋体"/>
          <w:color w:val="auto"/>
          <w:szCs w:val="21"/>
        </w:rPr>
      </w:pPr>
      <w:r>
        <w:rPr>
          <w:rFonts w:hint="eastAsia" w:hAnsi="宋体"/>
          <w:color w:val="auto"/>
          <w:szCs w:val="21"/>
        </w:rPr>
        <w:t>（五）</w:t>
      </w:r>
      <w:r>
        <w:rPr>
          <w:rFonts w:hAnsi="宋体"/>
          <w:color w:val="auto"/>
          <w:szCs w:val="21"/>
        </w:rPr>
        <w:t>交付地点：</w:t>
      </w:r>
      <w:r>
        <w:rPr>
          <w:rFonts w:hint="eastAsia" w:hAnsi="宋体"/>
          <w:color w:val="auto"/>
          <w:szCs w:val="21"/>
          <w:u w:val="single"/>
        </w:rPr>
        <w:t xml:space="preserve">  西安交通大学创新港校区2</w:t>
      </w:r>
      <w:r>
        <w:rPr>
          <w:rFonts w:hAnsi="宋体"/>
          <w:color w:val="auto"/>
          <w:szCs w:val="21"/>
          <w:u w:val="single"/>
        </w:rPr>
        <w:t>1</w:t>
      </w:r>
      <w:r>
        <w:rPr>
          <w:rFonts w:hint="eastAsia" w:hAnsi="宋体"/>
          <w:color w:val="auto"/>
          <w:szCs w:val="21"/>
          <w:u w:val="single"/>
        </w:rPr>
        <w:t>号楼2</w:t>
      </w:r>
      <w:r>
        <w:rPr>
          <w:rFonts w:hAnsi="宋体"/>
          <w:color w:val="auto"/>
          <w:szCs w:val="21"/>
          <w:u w:val="single"/>
        </w:rPr>
        <w:t xml:space="preserve">113    </w:t>
      </w:r>
      <w:r>
        <w:rPr>
          <w:rFonts w:hint="eastAsia" w:hAnsi="宋体"/>
          <w:color w:val="auto"/>
          <w:szCs w:val="21"/>
        </w:rPr>
        <w:t>。</w:t>
      </w:r>
    </w:p>
    <w:p>
      <w:pPr>
        <w:tabs>
          <w:tab w:val="left" w:pos="900"/>
        </w:tabs>
        <w:spacing w:before="156" w:beforeLines="50" w:line="360" w:lineRule="auto"/>
        <w:rPr>
          <w:rFonts w:hAnsi="宋体"/>
          <w:color w:val="auto"/>
          <w:szCs w:val="21"/>
        </w:rPr>
      </w:pPr>
      <w:r>
        <w:rPr>
          <w:rFonts w:hint="eastAsia" w:hAnsi="宋体"/>
          <w:color w:val="auto"/>
          <w:szCs w:val="21"/>
        </w:rPr>
        <w:t>（六）付款进度安排：</w:t>
      </w:r>
      <w:r>
        <w:rPr>
          <w:rFonts w:hint="eastAsia" w:hAnsi="宋体"/>
          <w:color w:val="auto"/>
          <w:szCs w:val="21"/>
          <w:u w:val="single"/>
        </w:rPr>
        <w:t xml:space="preserve">  合同签订后开具100%信用证</w:t>
      </w:r>
      <w:r>
        <w:rPr>
          <w:rFonts w:hAnsi="宋体"/>
          <w:color w:val="auto"/>
          <w:szCs w:val="21"/>
          <w:u w:val="single"/>
        </w:rPr>
        <w:t xml:space="preserve">        </w:t>
      </w:r>
      <w:r>
        <w:rPr>
          <w:rFonts w:hint="eastAsia" w:hAnsi="宋体"/>
          <w:color w:val="auto"/>
          <w:szCs w:val="21"/>
        </w:rPr>
        <w:t>。</w:t>
      </w:r>
    </w:p>
    <w:p>
      <w:pPr>
        <w:tabs>
          <w:tab w:val="left" w:pos="900"/>
        </w:tabs>
        <w:spacing w:before="156" w:beforeLines="50" w:line="360" w:lineRule="auto"/>
        <w:rPr>
          <w:rFonts w:hAnsi="宋体"/>
          <w:b/>
          <w:color w:val="auto"/>
          <w:szCs w:val="21"/>
        </w:rPr>
      </w:pPr>
      <w:r>
        <w:rPr>
          <w:rFonts w:hint="eastAsia" w:hAnsi="宋体"/>
          <w:b/>
          <w:color w:val="auto"/>
          <w:szCs w:val="21"/>
        </w:rPr>
        <w:t>四、采购标的需满足的质量、安全、技术规格、物理特性等要求：</w:t>
      </w:r>
    </w:p>
    <w:p>
      <w:pPr>
        <w:tabs>
          <w:tab w:val="left" w:pos="900"/>
        </w:tabs>
        <w:spacing w:before="156" w:beforeLines="50" w:line="360" w:lineRule="auto"/>
        <w:rPr>
          <w:rFonts w:hint="eastAsia" w:hAnsi="宋体" w:eastAsia="宋体"/>
          <w:b/>
          <w:color w:val="auto"/>
          <w:szCs w:val="21"/>
          <w:lang w:eastAsia="zh-CN"/>
        </w:rPr>
      </w:pPr>
      <w:r>
        <w:rPr>
          <w:rFonts w:hint="eastAsia" w:hAnsi="宋体"/>
          <w:b/>
          <w:color w:val="auto"/>
          <w:szCs w:val="21"/>
        </w:rPr>
        <w:t>（一）技术和性能参数：★为必须达到指标</w:t>
      </w:r>
      <w:r>
        <w:rPr>
          <w:rFonts w:hint="eastAsia" w:hAnsi="宋体"/>
          <w:b/>
          <w:color w:val="auto"/>
          <w:szCs w:val="21"/>
          <w:lang w:eastAsia="zh-CN"/>
        </w:rPr>
        <w:t>，</w:t>
      </w:r>
      <w:r>
        <w:rPr>
          <w:rFonts w:hint="eastAsia" w:hAnsi="宋体"/>
          <w:b/>
          <w:color w:val="auto"/>
          <w:szCs w:val="21"/>
        </w:rPr>
        <w:t>否则视为无效</w:t>
      </w:r>
      <w:r>
        <w:rPr>
          <w:rFonts w:hint="eastAsia" w:hAnsi="宋体"/>
          <w:b/>
          <w:color w:val="auto"/>
          <w:szCs w:val="21"/>
          <w:lang w:val="en-US" w:eastAsia="zh-CN"/>
        </w:rPr>
        <w:t>投标</w:t>
      </w:r>
      <w:r>
        <w:rPr>
          <w:rFonts w:hint="eastAsia" w:hAnsi="宋体"/>
          <w:b/>
          <w:color w:val="auto"/>
          <w:szCs w:val="21"/>
        </w:rPr>
        <w:t xml:space="preserve">。 </w:t>
      </w:r>
    </w:p>
    <w:p>
      <w:pPr>
        <w:pStyle w:val="19"/>
        <w:keepNext w:val="0"/>
        <w:keepLines w:val="0"/>
        <w:pageBreakBefore w:val="0"/>
        <w:widowControl w:val="0"/>
        <w:numPr>
          <w:ilvl w:val="0"/>
          <w:numId w:val="1"/>
        </w:numPr>
        <w:tabs>
          <w:tab w:val="left" w:pos="709"/>
        </w:tabs>
        <w:kinsoku/>
        <w:wordWrap/>
        <w:overflowPunct/>
        <w:topLinePunct w:val="0"/>
        <w:autoSpaceDE/>
        <w:autoSpaceDN/>
        <w:bidi w:val="0"/>
        <w:adjustRightInd/>
        <w:snapToGrid/>
        <w:spacing w:line="400" w:lineRule="exact"/>
        <w:ind w:left="420" w:hanging="420" w:firstLineChars="0"/>
        <w:textAlignment w:val="auto"/>
        <w:rPr>
          <w:rFonts w:hint="eastAsia" w:ascii="宋体" w:hAnsi="宋体" w:cs="宋体"/>
          <w:color w:val="auto"/>
        </w:rPr>
      </w:pPr>
      <w:bookmarkStart w:id="6" w:name="OLE_LINK1"/>
      <w:bookmarkStart w:id="7" w:name="OLE_LINK2"/>
      <w:r>
        <w:rPr>
          <w:rFonts w:hint="eastAsia" w:ascii="宋体" w:hAnsi="宋体" w:cs="宋体"/>
          <w:color w:val="auto"/>
        </w:rPr>
        <w:t>★</w:t>
      </w:r>
      <w:bookmarkEnd w:id="6"/>
      <w:bookmarkEnd w:id="7"/>
      <w:r>
        <w:rPr>
          <w:rFonts w:hint="eastAsia" w:ascii="宋体" w:hAnsi="宋体" w:cs="宋体"/>
          <w:color w:val="auto"/>
        </w:rPr>
        <w:t>最高转速 ≥ 100,000 rpm，最大离心力≥ 800,000</w:t>
      </w:r>
      <w:r>
        <w:rPr>
          <w:rFonts w:hint="eastAsia" w:ascii="宋体" w:hAnsi="宋体" w:cs="宋体"/>
          <w:color w:val="auto"/>
          <w:lang w:val="en-US" w:eastAsia="zh-CN"/>
        </w:rPr>
        <w:t xml:space="preserve"> </w:t>
      </w:r>
      <w:r>
        <w:rPr>
          <w:rFonts w:hint="eastAsia" w:ascii="宋体" w:hAnsi="宋体" w:cs="宋体"/>
          <w:color w:val="auto"/>
        </w:rPr>
        <w:t>g。</w:t>
      </w:r>
    </w:p>
    <w:p>
      <w:pPr>
        <w:pStyle w:val="19"/>
        <w:keepNext w:val="0"/>
        <w:keepLines w:val="0"/>
        <w:pageBreakBefore w:val="0"/>
        <w:widowControl w:val="0"/>
        <w:numPr>
          <w:ilvl w:val="0"/>
          <w:numId w:val="1"/>
        </w:numPr>
        <w:tabs>
          <w:tab w:val="left" w:pos="709"/>
        </w:tabs>
        <w:kinsoku/>
        <w:wordWrap/>
        <w:overflowPunct/>
        <w:topLinePunct w:val="0"/>
        <w:autoSpaceDE/>
        <w:autoSpaceDN/>
        <w:bidi w:val="0"/>
        <w:adjustRightInd/>
        <w:snapToGrid/>
        <w:spacing w:line="400" w:lineRule="exact"/>
        <w:ind w:left="420" w:hanging="420" w:firstLineChars="0"/>
        <w:textAlignment w:val="auto"/>
        <w:rPr>
          <w:rFonts w:hint="eastAsia" w:ascii="宋体" w:hAnsi="宋体" w:cs="宋体"/>
          <w:color w:val="auto"/>
        </w:rPr>
      </w:pPr>
      <w:r>
        <w:rPr>
          <w:rFonts w:hint="eastAsia" w:ascii="宋体" w:hAnsi="宋体" w:cs="宋体"/>
          <w:color w:val="auto"/>
        </w:rPr>
        <w:t>转速控制精度：≤±2 rpm（1,000-100,000 rpm）。</w:t>
      </w:r>
    </w:p>
    <w:p>
      <w:pPr>
        <w:pStyle w:val="19"/>
        <w:keepNext w:val="0"/>
        <w:keepLines w:val="0"/>
        <w:pageBreakBefore w:val="0"/>
        <w:widowControl w:val="0"/>
        <w:numPr>
          <w:ilvl w:val="0"/>
          <w:numId w:val="1"/>
        </w:numPr>
        <w:tabs>
          <w:tab w:val="left" w:pos="709"/>
        </w:tabs>
        <w:kinsoku/>
        <w:wordWrap/>
        <w:overflowPunct/>
        <w:topLinePunct w:val="0"/>
        <w:autoSpaceDE/>
        <w:autoSpaceDN/>
        <w:bidi w:val="0"/>
        <w:adjustRightInd/>
        <w:snapToGrid/>
        <w:spacing w:line="400" w:lineRule="exact"/>
        <w:ind w:left="420" w:hanging="420" w:firstLineChars="0"/>
        <w:textAlignment w:val="auto"/>
        <w:rPr>
          <w:rFonts w:hint="eastAsia" w:ascii="宋体" w:hAnsi="宋体" w:cs="宋体"/>
          <w:color w:val="auto"/>
        </w:rPr>
      </w:pPr>
      <w:r>
        <w:rPr>
          <w:rFonts w:hint="eastAsia" w:ascii="宋体" w:hAnsi="宋体" w:cs="宋体"/>
          <w:color w:val="auto"/>
        </w:rPr>
        <w:t>配备转头数量：≥ 3个，</w:t>
      </w:r>
      <w:r>
        <w:rPr>
          <w:rFonts w:hint="eastAsia" w:ascii="宋体" w:hAnsi="宋体" w:cs="宋体"/>
          <w:color w:val="auto"/>
          <w:lang w:val="en-US" w:eastAsia="zh-CN"/>
        </w:rPr>
        <w:t>其中必须配备小型固定</w:t>
      </w:r>
      <w:r>
        <w:rPr>
          <w:rFonts w:hint="eastAsia" w:ascii="宋体" w:hAnsi="宋体" w:cs="宋体"/>
          <w:color w:val="auto"/>
        </w:rPr>
        <w:t>角转子</w:t>
      </w:r>
      <w:r>
        <w:rPr>
          <w:rFonts w:hint="eastAsia" w:ascii="宋体" w:hAnsi="宋体" w:cs="宋体"/>
          <w:color w:val="auto"/>
          <w:lang w:val="en-US" w:eastAsia="zh-CN"/>
        </w:rPr>
        <w:t>1</w:t>
      </w:r>
      <w:r>
        <w:rPr>
          <w:rFonts w:hint="eastAsia" w:ascii="宋体" w:hAnsi="宋体" w:cs="宋体"/>
          <w:color w:val="auto"/>
        </w:rPr>
        <w:t>个</w:t>
      </w:r>
      <w:r>
        <w:rPr>
          <w:rFonts w:hint="eastAsia" w:ascii="宋体" w:hAnsi="宋体" w:cs="宋体"/>
          <w:color w:val="auto"/>
          <w:lang w:eastAsia="zh-CN"/>
        </w:rPr>
        <w:t>（</w:t>
      </w:r>
      <w:r>
        <w:rPr>
          <w:rFonts w:hint="eastAsia" w:ascii="宋体" w:hAnsi="宋体" w:cs="宋体"/>
          <w:color w:val="auto"/>
        </w:rPr>
        <w:t xml:space="preserve">离心力≥ </w:t>
      </w:r>
      <w:r>
        <w:rPr>
          <w:rFonts w:hint="eastAsia" w:ascii="宋体" w:hAnsi="宋体" w:cs="宋体"/>
          <w:color w:val="auto"/>
          <w:lang w:val="en-US" w:eastAsia="zh-CN"/>
        </w:rPr>
        <w:t>65</w:t>
      </w:r>
      <w:r>
        <w:rPr>
          <w:rFonts w:hint="eastAsia" w:ascii="宋体" w:hAnsi="宋体" w:cs="宋体"/>
          <w:color w:val="auto"/>
        </w:rPr>
        <w:t>0，000 g</w:t>
      </w:r>
      <w:r>
        <w:rPr>
          <w:rFonts w:hint="eastAsia" w:ascii="宋体" w:hAnsi="宋体" w:cs="宋体"/>
          <w:color w:val="auto"/>
          <w:lang w:eastAsia="zh-CN"/>
        </w:rPr>
        <w:t>，</w:t>
      </w:r>
      <w:r>
        <w:rPr>
          <w:rFonts w:hint="eastAsia" w:ascii="宋体" w:hAnsi="宋体" w:cs="宋体"/>
          <w:color w:val="auto"/>
        </w:rPr>
        <w:t>每管体积5-15 ml）</w:t>
      </w:r>
      <w:r>
        <w:rPr>
          <w:rFonts w:hint="eastAsia" w:ascii="宋体" w:hAnsi="宋体" w:cs="宋体"/>
          <w:color w:val="auto"/>
          <w:lang w:eastAsia="zh-CN"/>
        </w:rPr>
        <w:t>、</w:t>
      </w:r>
      <w:r>
        <w:rPr>
          <w:rFonts w:hint="eastAsia" w:ascii="宋体" w:hAnsi="宋体" w:cs="宋体"/>
          <w:color w:val="auto"/>
          <w:lang w:val="en-US" w:eastAsia="zh-CN"/>
        </w:rPr>
        <w:t>中型固定</w:t>
      </w:r>
      <w:r>
        <w:rPr>
          <w:rFonts w:hint="eastAsia" w:ascii="宋体" w:hAnsi="宋体" w:cs="宋体"/>
          <w:color w:val="auto"/>
        </w:rPr>
        <w:t>角转子</w:t>
      </w:r>
      <w:r>
        <w:rPr>
          <w:rFonts w:hint="eastAsia" w:ascii="宋体" w:hAnsi="宋体" w:cs="宋体"/>
          <w:color w:val="auto"/>
          <w:lang w:val="en-US" w:eastAsia="zh-CN"/>
        </w:rPr>
        <w:t>1</w:t>
      </w:r>
      <w:r>
        <w:rPr>
          <w:rFonts w:hint="eastAsia" w:ascii="宋体" w:hAnsi="宋体" w:cs="宋体"/>
          <w:color w:val="auto"/>
        </w:rPr>
        <w:t>个（离心力≥ 400，000 g每管体积20-</w:t>
      </w:r>
      <w:r>
        <w:rPr>
          <w:rFonts w:hint="eastAsia" w:ascii="宋体" w:hAnsi="宋体" w:cs="宋体"/>
          <w:color w:val="auto"/>
          <w:lang w:val="en-US" w:eastAsia="zh-CN"/>
        </w:rPr>
        <w:t>40</w:t>
      </w:r>
      <w:r>
        <w:rPr>
          <w:rFonts w:hint="eastAsia" w:ascii="宋体" w:hAnsi="宋体" w:cs="宋体"/>
          <w:color w:val="auto"/>
        </w:rPr>
        <w:t xml:space="preserve"> ml</w:t>
      </w:r>
      <w:r>
        <w:rPr>
          <w:rFonts w:hint="eastAsia" w:ascii="宋体" w:hAnsi="宋体" w:cs="宋体"/>
          <w:color w:val="auto"/>
          <w:lang w:eastAsia="zh-CN"/>
        </w:rPr>
        <w:t>）、</w:t>
      </w:r>
      <w:r>
        <w:rPr>
          <w:rFonts w:hint="eastAsia" w:ascii="宋体" w:hAnsi="宋体" w:cs="宋体"/>
          <w:color w:val="auto"/>
          <w:lang w:val="en-US" w:eastAsia="zh-CN"/>
        </w:rPr>
        <w:t>以及中型</w:t>
      </w:r>
      <w:r>
        <w:rPr>
          <w:rFonts w:hint="eastAsia" w:ascii="宋体" w:hAnsi="宋体" w:cs="宋体"/>
          <w:color w:val="auto"/>
        </w:rPr>
        <w:t>水平转子1个（离心力≥</w:t>
      </w:r>
      <w:r>
        <w:rPr>
          <w:rFonts w:hint="eastAsia" w:ascii="宋体" w:hAnsi="宋体" w:cs="宋体"/>
          <w:color w:val="auto"/>
          <w:lang w:val="en-US" w:eastAsia="zh-CN"/>
        </w:rPr>
        <w:t>17</w:t>
      </w:r>
      <w:r>
        <w:rPr>
          <w:rFonts w:hint="eastAsia" w:ascii="宋体" w:hAnsi="宋体" w:cs="宋体"/>
          <w:color w:val="auto"/>
        </w:rPr>
        <w:t>0，000 g</w:t>
      </w:r>
      <w:r>
        <w:rPr>
          <w:rFonts w:hint="eastAsia" w:ascii="宋体" w:hAnsi="宋体" w:cs="宋体"/>
          <w:color w:val="auto"/>
          <w:lang w:eastAsia="zh-CN"/>
        </w:rPr>
        <w:t>，</w:t>
      </w:r>
      <w:r>
        <w:rPr>
          <w:rFonts w:hint="eastAsia" w:ascii="宋体" w:hAnsi="宋体" w:cs="宋体"/>
          <w:color w:val="auto"/>
        </w:rPr>
        <w:t>每管体积20-</w:t>
      </w:r>
      <w:r>
        <w:rPr>
          <w:rFonts w:hint="eastAsia" w:ascii="宋体" w:hAnsi="宋体" w:cs="宋体"/>
          <w:color w:val="auto"/>
          <w:lang w:val="en-US" w:eastAsia="zh-CN"/>
        </w:rPr>
        <w:t>40</w:t>
      </w:r>
      <w:r>
        <w:rPr>
          <w:rFonts w:hint="eastAsia" w:ascii="宋体" w:hAnsi="宋体" w:cs="宋体"/>
          <w:color w:val="auto"/>
        </w:rPr>
        <w:t xml:space="preserve"> ml）。 </w:t>
      </w:r>
    </w:p>
    <w:p>
      <w:pPr>
        <w:pStyle w:val="19"/>
        <w:keepNext w:val="0"/>
        <w:keepLines w:val="0"/>
        <w:pageBreakBefore w:val="0"/>
        <w:widowControl w:val="0"/>
        <w:numPr>
          <w:ilvl w:val="0"/>
          <w:numId w:val="1"/>
        </w:numPr>
        <w:tabs>
          <w:tab w:val="left" w:pos="709"/>
        </w:tabs>
        <w:kinsoku/>
        <w:wordWrap/>
        <w:overflowPunct/>
        <w:topLinePunct w:val="0"/>
        <w:autoSpaceDE/>
        <w:autoSpaceDN/>
        <w:bidi w:val="0"/>
        <w:adjustRightInd/>
        <w:snapToGrid/>
        <w:spacing w:line="400" w:lineRule="exact"/>
        <w:ind w:left="420" w:hanging="420" w:firstLineChars="0"/>
        <w:textAlignment w:val="auto"/>
        <w:rPr>
          <w:rFonts w:hint="eastAsia" w:ascii="宋体" w:hAnsi="宋体" w:cs="宋体"/>
          <w:color w:val="auto"/>
        </w:rPr>
      </w:pPr>
      <w:r>
        <w:rPr>
          <w:rFonts w:hint="eastAsia" w:ascii="宋体" w:hAnsi="宋体" w:cs="宋体"/>
          <w:color w:val="auto"/>
        </w:rPr>
        <w:t xml:space="preserve">温度设定范围：0-40 ℃，步进不小于1 ℃。 </w:t>
      </w:r>
    </w:p>
    <w:p>
      <w:pPr>
        <w:pStyle w:val="19"/>
        <w:keepNext w:val="0"/>
        <w:keepLines w:val="0"/>
        <w:pageBreakBefore w:val="0"/>
        <w:widowControl w:val="0"/>
        <w:numPr>
          <w:ilvl w:val="0"/>
          <w:numId w:val="1"/>
        </w:numPr>
        <w:tabs>
          <w:tab w:val="left" w:pos="709"/>
        </w:tabs>
        <w:kinsoku/>
        <w:wordWrap/>
        <w:overflowPunct/>
        <w:topLinePunct w:val="0"/>
        <w:autoSpaceDE/>
        <w:autoSpaceDN/>
        <w:bidi w:val="0"/>
        <w:adjustRightInd/>
        <w:snapToGrid/>
        <w:spacing w:line="400" w:lineRule="exact"/>
        <w:ind w:left="420" w:hanging="420" w:firstLineChars="0"/>
        <w:textAlignment w:val="auto"/>
        <w:rPr>
          <w:rFonts w:hint="eastAsia" w:ascii="宋体" w:hAnsi="宋体" w:cs="宋体"/>
          <w:color w:val="auto"/>
        </w:rPr>
      </w:pPr>
      <w:r>
        <w:rPr>
          <w:rFonts w:hint="eastAsia" w:ascii="宋体" w:hAnsi="宋体" w:cs="宋体"/>
          <w:color w:val="auto"/>
        </w:rPr>
        <w:t>温度控制精度：≤</w:t>
      </w:r>
      <w:r>
        <w:rPr>
          <w:rFonts w:hint="eastAsia" w:ascii="宋体" w:hAnsi="宋体" w:cs="宋体"/>
          <w:color w:val="auto"/>
          <w:lang w:val="en-US" w:eastAsia="zh-CN"/>
        </w:rPr>
        <w:t xml:space="preserve"> </w:t>
      </w:r>
      <w:r>
        <w:rPr>
          <w:rFonts w:hint="eastAsia" w:ascii="宋体" w:hAnsi="宋体" w:cs="宋体"/>
          <w:color w:val="auto"/>
        </w:rPr>
        <w:t>±</w:t>
      </w:r>
      <w:r>
        <w:rPr>
          <w:rFonts w:hint="eastAsia" w:ascii="宋体" w:hAnsi="宋体" w:cs="宋体"/>
          <w:color w:val="auto"/>
          <w:lang w:val="en-US" w:eastAsia="zh-CN"/>
        </w:rPr>
        <w:t>0.5</w:t>
      </w:r>
      <w:r>
        <w:rPr>
          <w:rFonts w:hint="eastAsia" w:ascii="宋体" w:hAnsi="宋体" w:cs="宋体"/>
          <w:color w:val="auto"/>
        </w:rPr>
        <w:t xml:space="preserve"> ℃。</w:t>
      </w:r>
    </w:p>
    <w:p>
      <w:pPr>
        <w:pStyle w:val="19"/>
        <w:keepNext w:val="0"/>
        <w:keepLines w:val="0"/>
        <w:pageBreakBefore w:val="0"/>
        <w:widowControl w:val="0"/>
        <w:numPr>
          <w:ilvl w:val="0"/>
          <w:numId w:val="1"/>
        </w:numPr>
        <w:tabs>
          <w:tab w:val="left" w:pos="709"/>
        </w:tabs>
        <w:kinsoku/>
        <w:wordWrap/>
        <w:overflowPunct/>
        <w:topLinePunct w:val="0"/>
        <w:autoSpaceDE/>
        <w:autoSpaceDN/>
        <w:bidi w:val="0"/>
        <w:adjustRightInd/>
        <w:snapToGrid/>
        <w:spacing w:line="400" w:lineRule="exact"/>
        <w:ind w:left="420" w:hanging="420" w:firstLineChars="0"/>
        <w:textAlignment w:val="auto"/>
        <w:rPr>
          <w:rFonts w:hint="eastAsia" w:ascii="宋体" w:hAnsi="宋体" w:cs="宋体"/>
          <w:color w:val="auto"/>
        </w:rPr>
      </w:pPr>
      <w:r>
        <w:rPr>
          <w:rFonts w:hint="eastAsia" w:ascii="宋体" w:hAnsi="宋体" w:cs="宋体"/>
          <w:color w:val="auto"/>
        </w:rPr>
        <w:t>连续运行时间范围</w:t>
      </w:r>
      <w:r>
        <w:rPr>
          <w:rFonts w:hint="eastAsia" w:ascii="宋体" w:hAnsi="宋体" w:cs="宋体"/>
          <w:color w:val="auto"/>
          <w:lang w:val="en-US" w:eastAsia="zh-CN"/>
        </w:rPr>
        <w:t xml:space="preserve"> </w:t>
      </w:r>
      <w:r>
        <w:rPr>
          <w:rFonts w:hint="eastAsia" w:ascii="宋体" w:hAnsi="宋体" w:cs="宋体"/>
          <w:color w:val="auto"/>
        </w:rPr>
        <w:t>≥ 90</w:t>
      </w:r>
      <w:r>
        <w:rPr>
          <w:rFonts w:hint="eastAsia" w:ascii="宋体" w:hAnsi="宋体" w:cs="宋体"/>
          <w:color w:val="auto"/>
          <w:lang w:val="en-US" w:eastAsia="zh-CN"/>
        </w:rPr>
        <w:t>0</w:t>
      </w:r>
      <w:r>
        <w:rPr>
          <w:rFonts w:hint="eastAsia" w:ascii="宋体" w:hAnsi="宋体" w:cs="宋体"/>
          <w:color w:val="auto"/>
        </w:rPr>
        <w:t>小时。</w:t>
      </w:r>
    </w:p>
    <w:p>
      <w:pPr>
        <w:pStyle w:val="19"/>
        <w:keepNext w:val="0"/>
        <w:keepLines w:val="0"/>
        <w:pageBreakBefore w:val="0"/>
        <w:widowControl w:val="0"/>
        <w:numPr>
          <w:ilvl w:val="0"/>
          <w:numId w:val="1"/>
        </w:numPr>
        <w:tabs>
          <w:tab w:val="left" w:pos="709"/>
        </w:tabs>
        <w:kinsoku/>
        <w:wordWrap/>
        <w:overflowPunct/>
        <w:topLinePunct w:val="0"/>
        <w:autoSpaceDE/>
        <w:autoSpaceDN/>
        <w:bidi w:val="0"/>
        <w:adjustRightInd/>
        <w:snapToGrid/>
        <w:spacing w:line="400" w:lineRule="exact"/>
        <w:ind w:left="420" w:hanging="420" w:firstLineChars="0"/>
        <w:textAlignment w:val="auto"/>
        <w:rPr>
          <w:rFonts w:hint="eastAsia" w:ascii="宋体" w:hAnsi="宋体" w:cs="宋体"/>
          <w:color w:val="auto"/>
        </w:rPr>
      </w:pPr>
      <w:r>
        <w:rPr>
          <w:rFonts w:hint="eastAsia" w:ascii="宋体" w:hAnsi="宋体" w:cs="宋体"/>
          <w:color w:val="auto"/>
        </w:rPr>
        <w:t>加速/减速程序控制：≥ 10级可变加速或减速。</w:t>
      </w:r>
    </w:p>
    <w:p>
      <w:pPr>
        <w:pStyle w:val="19"/>
        <w:keepNext w:val="0"/>
        <w:keepLines w:val="0"/>
        <w:pageBreakBefore w:val="0"/>
        <w:widowControl w:val="0"/>
        <w:numPr>
          <w:ilvl w:val="0"/>
          <w:numId w:val="1"/>
        </w:numPr>
        <w:tabs>
          <w:tab w:val="left" w:pos="709"/>
        </w:tabs>
        <w:kinsoku/>
        <w:wordWrap/>
        <w:overflowPunct/>
        <w:topLinePunct w:val="0"/>
        <w:autoSpaceDE/>
        <w:autoSpaceDN/>
        <w:bidi w:val="0"/>
        <w:adjustRightInd/>
        <w:snapToGrid/>
        <w:spacing w:line="400" w:lineRule="exact"/>
        <w:ind w:left="420" w:hanging="420" w:firstLineChars="0"/>
        <w:textAlignment w:val="auto"/>
        <w:rPr>
          <w:rFonts w:hint="eastAsia" w:ascii="宋体" w:hAnsi="宋体" w:cs="宋体"/>
          <w:color w:val="auto"/>
        </w:rPr>
      </w:pPr>
      <w:r>
        <w:rPr>
          <w:rFonts w:hint="eastAsia" w:ascii="宋体" w:hAnsi="宋体" w:cs="宋体"/>
          <w:color w:val="auto"/>
        </w:rPr>
        <w:t xml:space="preserve">真空度：真空度≤ </w:t>
      </w:r>
      <w:r>
        <w:rPr>
          <w:rFonts w:hint="eastAsia" w:ascii="宋体" w:hAnsi="宋体" w:cs="宋体"/>
          <w:color w:val="auto"/>
          <w:lang w:val="en-US" w:eastAsia="zh-CN"/>
        </w:rPr>
        <w:t>1.5</w:t>
      </w:r>
      <w:r>
        <w:rPr>
          <w:rFonts w:hint="eastAsia" w:ascii="宋体" w:hAnsi="宋体" w:cs="宋体"/>
          <w:color w:val="auto"/>
        </w:rPr>
        <w:t xml:space="preserve"> pa,可显示低、中、高三个级别的真空度,亦可显示真实的真空度数值。</w:t>
      </w:r>
    </w:p>
    <w:p>
      <w:pPr>
        <w:pStyle w:val="19"/>
        <w:keepNext w:val="0"/>
        <w:keepLines w:val="0"/>
        <w:pageBreakBefore w:val="0"/>
        <w:widowControl w:val="0"/>
        <w:numPr>
          <w:ilvl w:val="0"/>
          <w:numId w:val="1"/>
        </w:numPr>
        <w:tabs>
          <w:tab w:val="left" w:pos="709"/>
        </w:tabs>
        <w:kinsoku/>
        <w:wordWrap/>
        <w:overflowPunct/>
        <w:topLinePunct w:val="0"/>
        <w:autoSpaceDE/>
        <w:autoSpaceDN/>
        <w:bidi w:val="0"/>
        <w:adjustRightInd/>
        <w:snapToGrid/>
        <w:spacing w:line="400" w:lineRule="exact"/>
        <w:ind w:left="420" w:hanging="420" w:firstLineChars="0"/>
        <w:textAlignment w:val="auto"/>
        <w:rPr>
          <w:rFonts w:hint="eastAsia" w:ascii="宋体" w:hAnsi="宋体" w:cs="宋体"/>
          <w:color w:val="auto"/>
        </w:rPr>
      </w:pPr>
      <w:r>
        <w:rPr>
          <w:rFonts w:hint="eastAsia" w:ascii="宋体" w:hAnsi="宋体" w:cs="宋体"/>
          <w:color w:val="auto"/>
        </w:rPr>
        <w:t>制冷系统：具备半导体制冷或热模块冷却系统。</w:t>
      </w:r>
    </w:p>
    <w:p>
      <w:pPr>
        <w:pStyle w:val="19"/>
        <w:keepNext w:val="0"/>
        <w:keepLines w:val="0"/>
        <w:pageBreakBefore w:val="0"/>
        <w:widowControl w:val="0"/>
        <w:numPr>
          <w:ilvl w:val="0"/>
          <w:numId w:val="1"/>
        </w:numPr>
        <w:tabs>
          <w:tab w:val="left" w:pos="709"/>
        </w:tabs>
        <w:kinsoku/>
        <w:wordWrap/>
        <w:overflowPunct/>
        <w:topLinePunct w:val="0"/>
        <w:autoSpaceDE/>
        <w:autoSpaceDN/>
        <w:bidi w:val="0"/>
        <w:adjustRightInd/>
        <w:snapToGrid/>
        <w:spacing w:line="400" w:lineRule="exact"/>
        <w:ind w:left="420" w:hanging="420" w:firstLineChars="0"/>
        <w:textAlignment w:val="auto"/>
        <w:rPr>
          <w:rFonts w:hint="eastAsia" w:ascii="宋体" w:hAnsi="宋体" w:cs="宋体"/>
          <w:color w:val="auto"/>
        </w:rPr>
      </w:pPr>
      <w:r>
        <w:rPr>
          <w:rFonts w:hint="eastAsia" w:ascii="宋体" w:hAnsi="宋体" w:cs="宋体"/>
          <w:color w:val="auto"/>
        </w:rPr>
        <w:t>驱动系统：驱动部分十年无比例免费保用。</w:t>
      </w:r>
    </w:p>
    <w:p>
      <w:pPr>
        <w:pStyle w:val="19"/>
        <w:keepNext w:val="0"/>
        <w:keepLines w:val="0"/>
        <w:pageBreakBefore w:val="0"/>
        <w:widowControl w:val="0"/>
        <w:numPr>
          <w:ilvl w:val="0"/>
          <w:numId w:val="1"/>
        </w:numPr>
        <w:tabs>
          <w:tab w:val="left" w:pos="709"/>
        </w:tabs>
        <w:kinsoku/>
        <w:wordWrap/>
        <w:overflowPunct/>
        <w:topLinePunct w:val="0"/>
        <w:autoSpaceDE/>
        <w:autoSpaceDN/>
        <w:bidi w:val="0"/>
        <w:adjustRightInd/>
        <w:snapToGrid/>
        <w:spacing w:line="400" w:lineRule="exact"/>
        <w:ind w:left="420" w:hanging="420" w:firstLineChars="0"/>
        <w:textAlignment w:val="auto"/>
        <w:rPr>
          <w:rFonts w:hint="eastAsia" w:ascii="宋体" w:hAnsi="宋体" w:cs="宋体"/>
          <w:color w:val="auto"/>
        </w:rPr>
      </w:pPr>
      <w:r>
        <w:rPr>
          <w:rFonts w:hint="eastAsia" w:ascii="宋体" w:hAnsi="宋体" w:cs="宋体"/>
          <w:color w:val="auto"/>
        </w:rPr>
        <w:t>软件部分：具备软件模拟功能（包括网格沉降运行、网格最佳分离运行、替代转头运行等）、本机计算功能（包括转头减速、沉降系数、浓度等计算公式）、安全管理功能以及远程监控功能。</w:t>
      </w:r>
    </w:p>
    <w:p>
      <w:pPr>
        <w:tabs>
          <w:tab w:val="left" w:pos="900"/>
        </w:tabs>
        <w:spacing w:before="156" w:beforeLines="50" w:line="360" w:lineRule="auto"/>
        <w:rPr>
          <w:rFonts w:hAnsi="宋体"/>
          <w:b/>
          <w:color w:val="auto"/>
          <w:szCs w:val="21"/>
        </w:rPr>
      </w:pPr>
      <w:r>
        <w:rPr>
          <w:rFonts w:hint="eastAsia" w:hAnsi="宋体"/>
          <w:b/>
          <w:color w:val="auto"/>
          <w:szCs w:val="21"/>
        </w:rPr>
        <w:t>（二）配置要求：</w:t>
      </w:r>
    </w:p>
    <w:p>
      <w:pPr>
        <w:pStyle w:val="19"/>
        <w:keepNext w:val="0"/>
        <w:keepLines w:val="0"/>
        <w:pageBreakBefore w:val="0"/>
        <w:widowControl w:val="0"/>
        <w:numPr>
          <w:ilvl w:val="0"/>
          <w:numId w:val="1"/>
        </w:numPr>
        <w:tabs>
          <w:tab w:val="left" w:pos="709"/>
        </w:tabs>
        <w:kinsoku/>
        <w:wordWrap/>
        <w:overflowPunct/>
        <w:topLinePunct w:val="0"/>
        <w:autoSpaceDE/>
        <w:autoSpaceDN/>
        <w:bidi w:val="0"/>
        <w:adjustRightInd/>
        <w:snapToGrid/>
        <w:spacing w:line="400" w:lineRule="exact"/>
        <w:ind w:left="420" w:hanging="420" w:firstLineChars="0"/>
        <w:textAlignment w:val="auto"/>
        <w:rPr>
          <w:rFonts w:hint="eastAsia" w:ascii="宋体" w:hAnsi="宋体" w:cs="宋体"/>
          <w:color w:val="auto"/>
        </w:rPr>
      </w:pPr>
      <w:r>
        <w:rPr>
          <w:rFonts w:hint="eastAsia" w:ascii="宋体" w:hAnsi="宋体" w:cs="宋体"/>
          <w:color w:val="auto"/>
        </w:rPr>
        <w:t>超速离心机主机1台。</w:t>
      </w:r>
    </w:p>
    <w:p>
      <w:pPr>
        <w:pStyle w:val="19"/>
        <w:keepNext w:val="0"/>
        <w:keepLines w:val="0"/>
        <w:pageBreakBefore w:val="0"/>
        <w:widowControl w:val="0"/>
        <w:numPr>
          <w:ilvl w:val="0"/>
          <w:numId w:val="1"/>
        </w:numPr>
        <w:tabs>
          <w:tab w:val="left" w:pos="709"/>
        </w:tabs>
        <w:kinsoku/>
        <w:wordWrap/>
        <w:overflowPunct/>
        <w:topLinePunct w:val="0"/>
        <w:autoSpaceDE/>
        <w:autoSpaceDN/>
        <w:bidi w:val="0"/>
        <w:adjustRightInd/>
        <w:snapToGrid/>
        <w:spacing w:line="400" w:lineRule="exact"/>
        <w:ind w:left="420" w:hanging="420" w:firstLineChars="0"/>
        <w:textAlignment w:val="auto"/>
        <w:rPr>
          <w:rFonts w:hint="eastAsia" w:ascii="宋体" w:hAnsi="宋体" w:cs="宋体"/>
          <w:color w:val="auto"/>
        </w:rPr>
      </w:pPr>
      <w:r>
        <w:rPr>
          <w:rFonts w:hint="eastAsia" w:ascii="宋体" w:hAnsi="宋体" w:cs="宋体"/>
          <w:color w:val="auto"/>
        </w:rPr>
        <w:t>配套</w:t>
      </w:r>
      <w:r>
        <w:rPr>
          <w:rFonts w:hint="eastAsia" w:ascii="宋体" w:hAnsi="宋体" w:cs="宋体"/>
          <w:color w:val="auto"/>
          <w:lang w:val="en-US" w:eastAsia="zh-CN"/>
        </w:rPr>
        <w:t>电脑和</w:t>
      </w:r>
      <w:r>
        <w:rPr>
          <w:rFonts w:hint="eastAsia" w:ascii="宋体" w:hAnsi="宋体" w:cs="宋体"/>
          <w:color w:val="auto"/>
        </w:rPr>
        <w:t>软件1套。</w:t>
      </w:r>
      <w:r>
        <w:rPr>
          <w:rFonts w:hint="eastAsia" w:ascii="宋体" w:hAnsi="宋体" w:cs="宋体"/>
          <w:color w:val="auto"/>
          <w:lang w:val="en-US" w:eastAsia="zh-CN"/>
        </w:rPr>
        <w:t>电脑要求配置I</w:t>
      </w:r>
      <w:r>
        <w:rPr>
          <w:rFonts w:hint="eastAsia" w:ascii="宋体" w:hAnsi="宋体" w:cs="宋体"/>
          <w:color w:val="auto"/>
        </w:rPr>
        <w:t>ntel i7-13代及以上台式机处理器</w:t>
      </w:r>
      <w:r>
        <w:rPr>
          <w:rFonts w:hint="eastAsia" w:ascii="宋体" w:hAnsi="宋体" w:cs="宋体"/>
          <w:color w:val="auto"/>
          <w:lang w:eastAsia="zh-CN"/>
        </w:rPr>
        <w:t>；</w:t>
      </w:r>
      <w:r>
        <w:rPr>
          <w:rFonts w:hint="eastAsia" w:ascii="宋体" w:hAnsi="宋体" w:cs="宋体"/>
          <w:color w:val="auto"/>
          <w:lang w:val="en-US" w:eastAsia="zh-CN"/>
        </w:rPr>
        <w:t xml:space="preserve">16 </w:t>
      </w:r>
      <w:r>
        <w:rPr>
          <w:rFonts w:hint="eastAsia" w:ascii="宋体" w:hAnsi="宋体" w:cs="宋体"/>
          <w:color w:val="auto"/>
        </w:rPr>
        <w:t>GB</w:t>
      </w:r>
      <w:r>
        <w:rPr>
          <w:rFonts w:hint="eastAsia" w:ascii="宋体" w:hAnsi="宋体" w:cs="宋体"/>
          <w:color w:val="auto"/>
          <w:lang w:val="en-US" w:eastAsia="zh-CN"/>
        </w:rPr>
        <w:t>及以上内存；</w:t>
      </w:r>
      <w:r>
        <w:rPr>
          <w:rFonts w:hint="eastAsia" w:ascii="宋体" w:hAnsi="宋体" w:cs="宋体"/>
          <w:color w:val="auto"/>
        </w:rPr>
        <w:t>不低于512</w:t>
      </w:r>
      <w:r>
        <w:rPr>
          <w:rFonts w:hint="eastAsia" w:ascii="宋体" w:hAnsi="宋体" w:cs="宋体"/>
          <w:color w:val="auto"/>
          <w:lang w:val="en-US" w:eastAsia="zh-CN"/>
        </w:rPr>
        <w:t xml:space="preserve"> </w:t>
      </w:r>
      <w:r>
        <w:rPr>
          <w:rFonts w:hint="eastAsia" w:ascii="宋体" w:hAnsi="宋体" w:cs="宋体"/>
          <w:color w:val="auto"/>
        </w:rPr>
        <w:t xml:space="preserve">GB </w:t>
      </w:r>
      <w:r>
        <w:rPr>
          <w:rFonts w:hint="eastAsia" w:ascii="宋体" w:hAnsi="宋体" w:cs="宋体"/>
          <w:color w:val="auto"/>
          <w:lang w:val="en-US" w:eastAsia="zh-CN"/>
        </w:rPr>
        <w:t>的</w:t>
      </w:r>
      <w:r>
        <w:rPr>
          <w:rFonts w:hint="eastAsia" w:ascii="宋体" w:hAnsi="宋体" w:cs="宋体"/>
          <w:color w:val="auto"/>
        </w:rPr>
        <w:t xml:space="preserve"> 固态硬盘</w:t>
      </w:r>
      <w:r>
        <w:rPr>
          <w:rFonts w:hint="eastAsia" w:ascii="宋体" w:hAnsi="宋体" w:cs="宋体"/>
          <w:color w:val="auto"/>
          <w:lang w:val="en-US" w:eastAsia="zh-CN"/>
        </w:rPr>
        <w:t xml:space="preserve"> </w:t>
      </w:r>
      <w:r>
        <w:rPr>
          <w:rFonts w:hint="eastAsia" w:ascii="宋体" w:hAnsi="宋体" w:cs="宋体"/>
          <w:color w:val="auto"/>
        </w:rPr>
        <w:t xml:space="preserve">+ </w:t>
      </w:r>
      <w:r>
        <w:rPr>
          <w:rFonts w:hint="eastAsia" w:ascii="宋体" w:hAnsi="宋体" w:cs="宋体"/>
          <w:color w:val="auto"/>
          <w:lang w:val="en-US" w:eastAsia="zh-CN"/>
        </w:rPr>
        <w:t xml:space="preserve">2 </w:t>
      </w:r>
      <w:r>
        <w:rPr>
          <w:rFonts w:hint="eastAsia" w:ascii="宋体" w:hAnsi="宋体" w:cs="宋体"/>
          <w:color w:val="auto"/>
        </w:rPr>
        <w:t xml:space="preserve">TB </w:t>
      </w:r>
      <w:r>
        <w:rPr>
          <w:rFonts w:hint="eastAsia" w:ascii="宋体" w:hAnsi="宋体" w:cs="宋体"/>
          <w:color w:val="auto"/>
          <w:lang w:val="en-US" w:eastAsia="zh-CN"/>
        </w:rPr>
        <w:t>的</w:t>
      </w:r>
      <w:r>
        <w:rPr>
          <w:rFonts w:hint="eastAsia" w:ascii="宋体" w:hAnsi="宋体" w:cs="宋体"/>
          <w:color w:val="auto"/>
        </w:rPr>
        <w:t>机械硬盘</w:t>
      </w:r>
      <w:r>
        <w:rPr>
          <w:rFonts w:hint="eastAsia" w:ascii="宋体" w:hAnsi="宋体" w:cs="宋体"/>
          <w:color w:val="auto"/>
          <w:lang w:eastAsia="zh-CN"/>
        </w:rPr>
        <w:t xml:space="preserve">；显卡要求GeForce RTX </w:t>
      </w:r>
      <w:r>
        <w:rPr>
          <w:rFonts w:hint="eastAsia" w:ascii="宋体" w:hAnsi="宋体" w:cs="宋体"/>
          <w:color w:val="auto"/>
          <w:lang w:val="en-US" w:eastAsia="zh-CN"/>
        </w:rPr>
        <w:t>4</w:t>
      </w:r>
      <w:r>
        <w:rPr>
          <w:rFonts w:hint="eastAsia" w:ascii="宋体" w:hAnsi="宋体" w:cs="宋体"/>
          <w:color w:val="auto"/>
          <w:lang w:eastAsia="zh-CN"/>
        </w:rPr>
        <w:t>060及以上；</w:t>
      </w:r>
      <w:r>
        <w:rPr>
          <w:rFonts w:hint="eastAsia" w:ascii="宋体" w:hAnsi="宋体" w:cs="宋体"/>
          <w:color w:val="auto"/>
        </w:rPr>
        <w:t>主板芯片品牌为华硕、技嘉、微星之一</w:t>
      </w:r>
      <w:r>
        <w:rPr>
          <w:rFonts w:hint="eastAsia" w:ascii="宋体" w:hAnsi="宋体" w:cs="宋体"/>
          <w:color w:val="auto"/>
          <w:lang w:eastAsia="zh-CN"/>
        </w:rPr>
        <w:t>；</w:t>
      </w:r>
      <w:r>
        <w:rPr>
          <w:rFonts w:hint="eastAsia" w:ascii="宋体" w:hAnsi="宋体" w:cs="宋体"/>
          <w:color w:val="auto"/>
          <w:lang w:val="en-US" w:eastAsia="zh-CN"/>
        </w:rPr>
        <w:t>操作</w:t>
      </w:r>
      <w:r>
        <w:rPr>
          <w:rFonts w:hint="eastAsia" w:ascii="宋体" w:hAnsi="宋体" w:cs="宋体"/>
          <w:color w:val="auto"/>
        </w:rPr>
        <w:t>系统</w:t>
      </w:r>
      <w:r>
        <w:rPr>
          <w:rFonts w:hint="eastAsia" w:ascii="宋体" w:hAnsi="宋体" w:cs="宋体"/>
          <w:color w:val="auto"/>
          <w:lang w:val="en-US" w:eastAsia="zh-CN"/>
        </w:rPr>
        <w:t>要求</w:t>
      </w:r>
      <w:r>
        <w:rPr>
          <w:rFonts w:hint="eastAsia" w:ascii="宋体" w:hAnsi="宋体" w:cs="宋体"/>
          <w:color w:val="auto"/>
        </w:rPr>
        <w:t>WINDOWS 11 专业版</w:t>
      </w:r>
      <w:r>
        <w:rPr>
          <w:rFonts w:hint="eastAsia" w:ascii="宋体" w:hAnsi="宋体" w:cs="宋体"/>
          <w:color w:val="auto"/>
          <w:lang w:eastAsia="zh-CN"/>
        </w:rPr>
        <w:t>、</w:t>
      </w:r>
      <w:r>
        <w:rPr>
          <w:rFonts w:hint="eastAsia" w:ascii="宋体" w:hAnsi="宋体" w:cs="宋体"/>
          <w:color w:val="auto"/>
        </w:rPr>
        <w:t xml:space="preserve"> 64位</w:t>
      </w:r>
      <w:r>
        <w:rPr>
          <w:rFonts w:hint="eastAsia" w:ascii="宋体" w:hAnsi="宋体" w:cs="宋体"/>
          <w:color w:val="auto"/>
          <w:lang w:eastAsia="zh-CN"/>
        </w:rPr>
        <w:t>、</w:t>
      </w:r>
      <w:r>
        <w:rPr>
          <w:rFonts w:hint="eastAsia" w:ascii="宋体" w:hAnsi="宋体" w:cs="宋体"/>
          <w:color w:val="auto"/>
        </w:rPr>
        <w:t xml:space="preserve"> 简体中文</w:t>
      </w:r>
      <w:r>
        <w:rPr>
          <w:rFonts w:hint="eastAsia" w:ascii="宋体" w:hAnsi="宋体" w:cs="宋体"/>
          <w:color w:val="auto"/>
          <w:lang w:eastAsia="zh-CN"/>
        </w:rPr>
        <w:t>；</w:t>
      </w:r>
      <w:r>
        <w:rPr>
          <w:rFonts w:hint="eastAsia" w:ascii="宋体" w:hAnsi="宋体" w:cs="宋体"/>
          <w:color w:val="auto"/>
        </w:rPr>
        <w:t>显示器</w:t>
      </w:r>
      <w:r>
        <w:rPr>
          <w:rFonts w:hint="eastAsia" w:ascii="宋体" w:hAnsi="宋体" w:cs="宋体"/>
          <w:color w:val="auto"/>
          <w:lang w:val="en-US" w:eastAsia="zh-CN"/>
        </w:rPr>
        <w:t>要求</w:t>
      </w:r>
      <w:r>
        <w:rPr>
          <w:rFonts w:hint="eastAsia" w:ascii="宋体" w:hAnsi="宋体" w:cs="宋体"/>
          <w:color w:val="auto"/>
        </w:rPr>
        <w:t>27寸及以上高分辨显示器，显示分辨率不低于2560×1440</w:t>
      </w:r>
      <w:r>
        <w:rPr>
          <w:rFonts w:hint="eastAsia" w:ascii="宋体" w:hAnsi="宋体" w:cs="宋体"/>
          <w:color w:val="auto"/>
          <w:lang w:val="en-US" w:eastAsia="zh-CN"/>
        </w:rPr>
        <w:t>。</w:t>
      </w:r>
    </w:p>
    <w:p>
      <w:pPr>
        <w:pStyle w:val="19"/>
        <w:keepNext w:val="0"/>
        <w:keepLines w:val="0"/>
        <w:pageBreakBefore w:val="0"/>
        <w:widowControl w:val="0"/>
        <w:numPr>
          <w:ilvl w:val="0"/>
          <w:numId w:val="1"/>
        </w:numPr>
        <w:tabs>
          <w:tab w:val="left" w:pos="709"/>
        </w:tabs>
        <w:kinsoku/>
        <w:wordWrap/>
        <w:overflowPunct/>
        <w:topLinePunct w:val="0"/>
        <w:autoSpaceDE/>
        <w:autoSpaceDN/>
        <w:bidi w:val="0"/>
        <w:adjustRightInd/>
        <w:snapToGrid/>
        <w:spacing w:line="400" w:lineRule="exact"/>
        <w:ind w:left="420" w:hanging="420" w:firstLineChars="0"/>
        <w:textAlignment w:val="auto"/>
        <w:rPr>
          <w:rFonts w:hint="eastAsia" w:ascii="宋体" w:hAnsi="宋体" w:cs="宋体"/>
          <w:color w:val="auto"/>
        </w:rPr>
      </w:pPr>
      <w:r>
        <w:rPr>
          <w:rFonts w:hint="eastAsia" w:ascii="宋体" w:hAnsi="宋体" w:cs="宋体"/>
          <w:color w:val="auto"/>
        </w:rPr>
        <w:t>要求配备转子数量</w:t>
      </w:r>
      <w:r>
        <w:rPr>
          <w:rFonts w:hint="eastAsia" w:ascii="宋体" w:hAnsi="宋体" w:cs="宋体"/>
          <w:color w:val="auto"/>
          <w:lang w:val="en-US" w:eastAsia="zh-CN"/>
        </w:rPr>
        <w:t>≥</w:t>
      </w:r>
      <w:r>
        <w:rPr>
          <w:rFonts w:hint="eastAsia" w:ascii="宋体" w:hAnsi="宋体" w:cs="宋体"/>
          <w:color w:val="auto"/>
        </w:rPr>
        <w:t>3个，每个转头配套工具包1套、耗材1套。</w:t>
      </w:r>
    </w:p>
    <w:p>
      <w:pPr>
        <w:pStyle w:val="19"/>
        <w:keepNext w:val="0"/>
        <w:keepLines w:val="0"/>
        <w:pageBreakBefore w:val="0"/>
        <w:widowControl w:val="0"/>
        <w:numPr>
          <w:ilvl w:val="0"/>
          <w:numId w:val="1"/>
        </w:numPr>
        <w:tabs>
          <w:tab w:val="left" w:pos="709"/>
        </w:tabs>
        <w:kinsoku/>
        <w:wordWrap/>
        <w:overflowPunct/>
        <w:topLinePunct w:val="0"/>
        <w:autoSpaceDE/>
        <w:autoSpaceDN/>
        <w:bidi w:val="0"/>
        <w:adjustRightInd/>
        <w:snapToGrid/>
        <w:spacing w:line="400" w:lineRule="exact"/>
        <w:ind w:left="420" w:hanging="420" w:firstLineChars="0"/>
        <w:textAlignment w:val="auto"/>
        <w:rPr>
          <w:rFonts w:hint="eastAsia" w:ascii="宋体" w:hAnsi="宋体" w:cs="宋体"/>
          <w:color w:val="auto"/>
        </w:rPr>
      </w:pPr>
      <w:r>
        <w:rPr>
          <w:rFonts w:hint="eastAsia" w:ascii="宋体" w:hAnsi="宋体" w:cs="宋体"/>
          <w:color w:val="auto"/>
        </w:rPr>
        <w:t>配备封口器</w:t>
      </w:r>
      <w:r>
        <w:rPr>
          <w:rFonts w:hint="eastAsia" w:ascii="宋体" w:hAnsi="宋体" w:cs="宋体"/>
          <w:color w:val="auto"/>
          <w:lang w:val="en-US" w:eastAsia="zh-CN"/>
        </w:rPr>
        <w:t>1</w:t>
      </w:r>
      <w:r>
        <w:rPr>
          <w:rFonts w:hint="eastAsia" w:ascii="宋体" w:hAnsi="宋体" w:cs="宋体"/>
          <w:color w:val="auto"/>
        </w:rPr>
        <w:t>个。</w:t>
      </w:r>
    </w:p>
    <w:p>
      <w:pPr>
        <w:pStyle w:val="19"/>
        <w:keepNext w:val="0"/>
        <w:keepLines w:val="0"/>
        <w:pageBreakBefore w:val="0"/>
        <w:widowControl w:val="0"/>
        <w:numPr>
          <w:ilvl w:val="0"/>
          <w:numId w:val="1"/>
        </w:numPr>
        <w:tabs>
          <w:tab w:val="left" w:pos="709"/>
        </w:tabs>
        <w:kinsoku/>
        <w:wordWrap/>
        <w:overflowPunct/>
        <w:topLinePunct w:val="0"/>
        <w:autoSpaceDE/>
        <w:autoSpaceDN/>
        <w:bidi w:val="0"/>
        <w:adjustRightInd/>
        <w:snapToGrid/>
        <w:spacing w:line="400" w:lineRule="exact"/>
        <w:ind w:left="420" w:hanging="420" w:firstLineChars="0"/>
        <w:textAlignment w:val="auto"/>
        <w:rPr>
          <w:rFonts w:hint="eastAsia" w:ascii="宋体" w:hAnsi="宋体" w:cs="宋体"/>
          <w:color w:val="auto"/>
        </w:rPr>
      </w:pPr>
      <w:r>
        <w:rPr>
          <w:rFonts w:hint="eastAsia" w:ascii="宋体" w:hAnsi="宋体" w:cs="宋体"/>
          <w:color w:val="auto"/>
        </w:rPr>
        <w:t>配备惠普 LaserJet Tank MFP 2606sdw打印机1</w:t>
      </w:r>
      <w:r>
        <w:rPr>
          <w:rFonts w:hint="eastAsia" w:ascii="宋体" w:hAnsi="宋体" w:cs="宋体"/>
          <w:color w:val="auto"/>
          <w:lang w:val="en-US" w:eastAsia="zh-CN"/>
        </w:rPr>
        <w:t>台</w:t>
      </w:r>
      <w:r>
        <w:rPr>
          <w:rFonts w:hint="eastAsia" w:ascii="宋体" w:hAnsi="宋体" w:cs="宋体"/>
          <w:color w:val="auto"/>
        </w:rPr>
        <w:t>。</w:t>
      </w:r>
      <w:bookmarkStart w:id="8" w:name="_GoBack"/>
      <w:bookmarkEnd w:id="8"/>
    </w:p>
    <w:p>
      <w:pPr>
        <w:tabs>
          <w:tab w:val="left" w:pos="900"/>
        </w:tabs>
        <w:spacing w:before="156" w:beforeLines="50" w:line="360" w:lineRule="auto"/>
        <w:rPr>
          <w:rFonts w:hAnsi="宋体"/>
          <w:b/>
          <w:color w:val="auto"/>
          <w:szCs w:val="21"/>
        </w:rPr>
      </w:pPr>
      <w:r>
        <w:rPr>
          <w:rFonts w:hint="eastAsia" w:hAnsi="宋体"/>
          <w:b/>
          <w:color w:val="auto"/>
          <w:szCs w:val="21"/>
        </w:rPr>
        <w:t>五、采购标的需满足的服务标准、期限、效率等要求</w:t>
      </w:r>
    </w:p>
    <w:p>
      <w:pPr>
        <w:numPr>
          <w:ilvl w:val="0"/>
          <w:numId w:val="1"/>
        </w:numPr>
        <w:tabs>
          <w:tab w:val="left" w:pos="900"/>
        </w:tabs>
        <w:spacing w:before="156" w:beforeLines="50" w:line="360" w:lineRule="auto"/>
        <w:rPr>
          <w:rFonts w:ascii="宋体" w:hAnsi="宋体"/>
          <w:color w:val="auto"/>
          <w:szCs w:val="21"/>
        </w:rPr>
      </w:pPr>
      <w:r>
        <w:rPr>
          <w:rFonts w:hint="eastAsia" w:ascii="宋体" w:hAnsi="宋体"/>
          <w:color w:val="auto"/>
          <w:szCs w:val="21"/>
        </w:rPr>
        <w:t xml:space="preserve">质保期： </w:t>
      </w:r>
      <w:r>
        <w:rPr>
          <w:rFonts w:ascii="宋体" w:hAnsi="宋体"/>
          <w:color w:val="auto"/>
          <w:szCs w:val="21"/>
          <w:u w:val="single"/>
        </w:rPr>
        <w:t xml:space="preserve">  </w:t>
      </w:r>
      <w:r>
        <w:rPr>
          <w:rFonts w:ascii="宋体" w:hAnsi="宋体" w:cs="宋体"/>
          <w:color w:val="auto"/>
          <w:u w:val="single"/>
        </w:rPr>
        <w:t>≥</w:t>
      </w:r>
      <w:r>
        <w:rPr>
          <w:rFonts w:ascii="宋体" w:hAnsi="宋体"/>
          <w:color w:val="auto"/>
          <w:szCs w:val="21"/>
          <w:u w:val="single"/>
        </w:rPr>
        <w:t xml:space="preserve"> 3   </w:t>
      </w:r>
      <w:r>
        <w:rPr>
          <w:rFonts w:hint="eastAsia" w:ascii="宋体" w:hAnsi="宋体"/>
          <w:color w:val="auto"/>
          <w:szCs w:val="21"/>
        </w:rPr>
        <w:t>年，</w:t>
      </w:r>
      <w:r>
        <w:rPr>
          <w:rFonts w:ascii="宋体" w:hAnsi="宋体" w:cs="宋体"/>
          <w:color w:val="auto"/>
        </w:rPr>
        <w:t>质保期内免费维保≥2次/年，免人工服务费。</w:t>
      </w:r>
      <w:r>
        <w:rPr>
          <w:rFonts w:hint="eastAsia" w:ascii="宋体" w:hAnsi="宋体"/>
          <w:color w:val="auto"/>
          <w:szCs w:val="21"/>
        </w:rPr>
        <w:t>质保期满后，仍需提供专业维修服务，投标人在投标文件中需注明维修服务单项报价。</w:t>
      </w:r>
    </w:p>
    <w:p>
      <w:pPr>
        <w:numPr>
          <w:ilvl w:val="0"/>
          <w:numId w:val="1"/>
        </w:numPr>
        <w:tabs>
          <w:tab w:val="left" w:pos="900"/>
        </w:tabs>
        <w:spacing w:before="156" w:beforeLines="50" w:line="360" w:lineRule="auto"/>
        <w:rPr>
          <w:rFonts w:ascii="宋体" w:hAnsi="宋体"/>
          <w:color w:val="auto"/>
          <w:szCs w:val="21"/>
        </w:rPr>
      </w:pPr>
      <w:r>
        <w:rPr>
          <w:rFonts w:hint="eastAsia" w:ascii="宋体" w:hAnsi="宋体"/>
          <w:color w:val="auto"/>
          <w:szCs w:val="21"/>
        </w:rPr>
        <w:t>服务响应时间：接到维修电话后4小时内给予明确答复，8小时内到达现场维修。维修人员到现场后若问题特殊无法现场修复的，供货方需在24小时内给出合理解决方案。</w:t>
      </w:r>
    </w:p>
    <w:p>
      <w:pPr>
        <w:pStyle w:val="19"/>
        <w:numPr>
          <w:ilvl w:val="0"/>
          <w:numId w:val="1"/>
        </w:numPr>
        <w:tabs>
          <w:tab w:val="left" w:pos="709"/>
        </w:tabs>
        <w:spacing w:before="156" w:line="360" w:lineRule="auto"/>
        <w:ind w:firstLineChars="0"/>
        <w:rPr>
          <w:rFonts w:ascii="宋体" w:hAnsi="宋体" w:cs="宋体"/>
          <w:color w:val="auto"/>
        </w:rPr>
      </w:pPr>
      <w:r>
        <w:rPr>
          <w:rFonts w:ascii="宋体" w:hAnsi="宋体"/>
          <w:color w:val="auto"/>
          <w:szCs w:val="21"/>
        </w:rPr>
        <w:t>培训</w:t>
      </w:r>
      <w:r>
        <w:rPr>
          <w:rFonts w:hint="eastAsia" w:ascii="宋体" w:hAnsi="宋体"/>
          <w:color w:val="auto"/>
          <w:szCs w:val="21"/>
        </w:rPr>
        <w:t>要求：</w:t>
      </w:r>
      <w:r>
        <w:rPr>
          <w:rFonts w:ascii="宋体" w:hAnsi="宋体" w:cs="宋体"/>
          <w:color w:val="auto"/>
        </w:rPr>
        <w:t>提供培训电子资料及视频；供方免费为用户培训至少</w:t>
      </w:r>
      <w:r>
        <w:rPr>
          <w:rFonts w:ascii="宋体" w:hAnsi="宋体" w:cs="宋体"/>
          <w:color w:val="auto"/>
          <w:u w:val="single"/>
        </w:rPr>
        <w:t xml:space="preserve"> </w:t>
      </w:r>
      <w:r>
        <w:rPr>
          <w:rFonts w:hint="eastAsia" w:ascii="宋体" w:hAnsi="宋体" w:cs="宋体"/>
          <w:color w:val="auto"/>
          <w:u w:val="single"/>
        </w:rPr>
        <w:t>1</w:t>
      </w:r>
      <w:r>
        <w:rPr>
          <w:rFonts w:ascii="宋体" w:hAnsi="宋体" w:cs="宋体"/>
          <w:color w:val="auto"/>
          <w:u w:val="single"/>
        </w:rPr>
        <w:t xml:space="preserve"> </w:t>
      </w:r>
      <w:r>
        <w:rPr>
          <w:rFonts w:ascii="宋体" w:hAnsi="宋体" w:cs="宋体"/>
          <w:color w:val="auto"/>
        </w:rPr>
        <w:t>名操作人员进行为期至少</w:t>
      </w:r>
      <w:r>
        <w:rPr>
          <w:rFonts w:ascii="宋体" w:hAnsi="宋体" w:cs="宋体"/>
          <w:color w:val="auto"/>
          <w:u w:val="single"/>
        </w:rPr>
        <w:t xml:space="preserve">  </w:t>
      </w:r>
      <w:r>
        <w:rPr>
          <w:rFonts w:hint="eastAsia" w:ascii="宋体" w:hAnsi="宋体" w:cs="宋体"/>
          <w:color w:val="auto"/>
          <w:u w:val="single"/>
        </w:rPr>
        <w:t>1</w:t>
      </w:r>
      <w:r>
        <w:rPr>
          <w:rFonts w:ascii="宋体" w:hAnsi="宋体" w:cs="宋体"/>
          <w:color w:val="auto"/>
          <w:u w:val="single"/>
        </w:rPr>
        <w:t xml:space="preserve"> </w:t>
      </w:r>
      <w:r>
        <w:rPr>
          <w:rFonts w:ascii="宋体" w:hAnsi="宋体" w:cs="宋体"/>
          <w:color w:val="auto"/>
        </w:rPr>
        <w:t xml:space="preserve">天的现场操作培训以及应用培训，保证用户掌握有关设备的使用、维护、管理和应用等工作要求。不定期的免费提供相关设备应用方面的技术咨询等。 </w:t>
      </w:r>
    </w:p>
    <w:p>
      <w:pPr>
        <w:tabs>
          <w:tab w:val="left" w:pos="420"/>
          <w:tab w:val="left" w:pos="900"/>
        </w:tabs>
        <w:spacing w:before="156" w:beforeLines="50" w:line="360" w:lineRule="auto"/>
        <w:rPr>
          <w:rFonts w:ascii="宋体" w:hAnsi="宋体"/>
          <w:b/>
          <w:color w:val="auto"/>
          <w:szCs w:val="21"/>
        </w:rPr>
      </w:pPr>
      <w:r>
        <w:rPr>
          <w:rFonts w:hint="eastAsia" w:ascii="宋体" w:hAnsi="宋体"/>
          <w:b/>
          <w:color w:val="auto"/>
          <w:szCs w:val="21"/>
        </w:rPr>
        <w:t>六、</w:t>
      </w:r>
      <w:r>
        <w:rPr>
          <w:rFonts w:ascii="宋体" w:hAnsi="宋体"/>
          <w:b/>
          <w:color w:val="auto"/>
          <w:szCs w:val="21"/>
        </w:rPr>
        <w:t>采购标的的</w:t>
      </w:r>
      <w:r>
        <w:rPr>
          <w:rFonts w:hint="eastAsia" w:ascii="宋体" w:hAnsi="宋体"/>
          <w:b/>
          <w:color w:val="auto"/>
          <w:szCs w:val="21"/>
        </w:rPr>
        <w:t>履约验收标准</w:t>
      </w:r>
    </w:p>
    <w:bookmarkEnd w:id="1"/>
    <w:bookmarkEnd w:id="2"/>
    <w:bookmarkEnd w:id="3"/>
    <w:tbl>
      <w:tblPr>
        <w:tblStyle w:val="10"/>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507"/>
        <w:gridCol w:w="2254"/>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601" w:type="dxa"/>
            <w:gridSpan w:val="4"/>
            <w:vAlign w:val="center"/>
          </w:tcPr>
          <w:p>
            <w:pPr>
              <w:widowControl/>
              <w:jc w:val="center"/>
              <w:textAlignment w:val="baseline"/>
              <w:rPr>
                <w:color w:val="auto"/>
                <w:kern w:val="0"/>
                <w:sz w:val="20"/>
                <w:szCs w:val="21"/>
              </w:rPr>
            </w:pPr>
            <w:r>
              <w:rPr>
                <w:color w:val="auto"/>
                <w:kern w:val="0"/>
                <w:sz w:val="20"/>
                <w:szCs w:val="21"/>
              </w:rPr>
              <w:t>现场的检验指标及方法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pPr>
              <w:widowControl/>
              <w:jc w:val="center"/>
              <w:textAlignment w:val="baseline"/>
              <w:rPr>
                <w:color w:val="auto"/>
                <w:kern w:val="0"/>
                <w:sz w:val="20"/>
                <w:szCs w:val="21"/>
              </w:rPr>
            </w:pPr>
            <w:r>
              <w:rPr>
                <w:color w:val="auto"/>
                <w:kern w:val="0"/>
                <w:sz w:val="20"/>
                <w:szCs w:val="21"/>
              </w:rPr>
              <w:t>序号</w:t>
            </w:r>
          </w:p>
        </w:tc>
        <w:tc>
          <w:tcPr>
            <w:tcW w:w="3507" w:type="dxa"/>
            <w:vAlign w:val="center"/>
          </w:tcPr>
          <w:p>
            <w:pPr>
              <w:widowControl/>
              <w:jc w:val="center"/>
              <w:textAlignment w:val="baseline"/>
              <w:rPr>
                <w:color w:val="auto"/>
                <w:kern w:val="0"/>
                <w:sz w:val="20"/>
                <w:szCs w:val="21"/>
              </w:rPr>
            </w:pPr>
            <w:r>
              <w:rPr>
                <w:color w:val="auto"/>
                <w:kern w:val="0"/>
                <w:sz w:val="20"/>
                <w:szCs w:val="21"/>
              </w:rPr>
              <w:t>功能或指标</w:t>
            </w:r>
          </w:p>
        </w:tc>
        <w:tc>
          <w:tcPr>
            <w:tcW w:w="4368" w:type="dxa"/>
            <w:gridSpan w:val="2"/>
            <w:vAlign w:val="center"/>
          </w:tcPr>
          <w:p>
            <w:pPr>
              <w:widowControl/>
              <w:jc w:val="center"/>
              <w:textAlignment w:val="baseline"/>
              <w:rPr>
                <w:color w:val="auto"/>
                <w:kern w:val="0"/>
                <w:sz w:val="20"/>
                <w:szCs w:val="21"/>
              </w:rPr>
            </w:pPr>
            <w:r>
              <w:rPr>
                <w:color w:val="auto"/>
                <w:kern w:val="0"/>
                <w:sz w:val="20"/>
                <w:szCs w:val="21"/>
              </w:rPr>
              <w:t>验收或测试方法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pPr>
              <w:widowControl/>
              <w:jc w:val="left"/>
              <w:textAlignment w:val="baseline"/>
              <w:rPr>
                <w:rFonts w:ascii="黑体" w:hAnsi="黑体" w:eastAsia="黑体"/>
                <w:b/>
                <w:color w:val="auto"/>
                <w:kern w:val="0"/>
                <w:sz w:val="18"/>
                <w:szCs w:val="18"/>
              </w:rPr>
            </w:pPr>
            <w:r>
              <w:rPr>
                <w:rFonts w:hint="eastAsia" w:ascii="黑体" w:hAnsi="黑体" w:eastAsia="黑体"/>
                <w:b/>
                <w:color w:val="auto"/>
                <w:kern w:val="0"/>
                <w:sz w:val="18"/>
                <w:szCs w:val="18"/>
              </w:rPr>
              <w:t>项目建设单位验收要求：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pPr>
              <w:widowControl/>
              <w:spacing w:line="450" w:lineRule="atLeast"/>
              <w:jc w:val="center"/>
              <w:textAlignment w:val="baseline"/>
              <w:rPr>
                <w:color w:val="auto"/>
                <w:kern w:val="0"/>
                <w:sz w:val="20"/>
                <w:szCs w:val="21"/>
              </w:rPr>
            </w:pPr>
            <w:r>
              <w:rPr>
                <w:color w:val="auto"/>
                <w:kern w:val="0"/>
                <w:sz w:val="20"/>
                <w:szCs w:val="21"/>
              </w:rPr>
              <w:t>1</w:t>
            </w:r>
          </w:p>
        </w:tc>
        <w:tc>
          <w:tcPr>
            <w:tcW w:w="3507" w:type="dxa"/>
            <w:vAlign w:val="center"/>
          </w:tcPr>
          <w:p>
            <w:pPr>
              <w:widowControl/>
              <w:textAlignment w:val="baseline"/>
              <w:rPr>
                <w:color w:val="auto"/>
                <w:kern w:val="0"/>
                <w:sz w:val="18"/>
                <w:szCs w:val="18"/>
              </w:rPr>
            </w:pPr>
            <w:r>
              <w:rPr>
                <w:rFonts w:hint="eastAsia"/>
                <w:color w:val="auto"/>
                <w:kern w:val="0"/>
                <w:sz w:val="18"/>
                <w:szCs w:val="18"/>
              </w:rPr>
              <w:t>货物外包装与外观无损伤</w:t>
            </w:r>
          </w:p>
        </w:tc>
        <w:tc>
          <w:tcPr>
            <w:tcW w:w="4368" w:type="dxa"/>
            <w:gridSpan w:val="2"/>
            <w:vAlign w:val="center"/>
          </w:tcPr>
          <w:p>
            <w:pPr>
              <w:widowControl/>
              <w:jc w:val="left"/>
              <w:textAlignment w:val="baseline"/>
              <w:rPr>
                <w:color w:val="auto"/>
                <w:kern w:val="0"/>
                <w:sz w:val="18"/>
                <w:szCs w:val="18"/>
              </w:rPr>
            </w:pPr>
            <w:r>
              <w:rPr>
                <w:color w:val="auto"/>
                <w:kern w:val="0"/>
                <w:sz w:val="18"/>
                <w:szCs w:val="18"/>
              </w:rPr>
              <w:t>现场核查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pPr>
              <w:widowControl/>
              <w:spacing w:line="450" w:lineRule="atLeast"/>
              <w:jc w:val="center"/>
              <w:textAlignment w:val="baseline"/>
              <w:rPr>
                <w:color w:val="auto"/>
                <w:kern w:val="0"/>
                <w:sz w:val="20"/>
                <w:szCs w:val="21"/>
              </w:rPr>
            </w:pPr>
            <w:r>
              <w:rPr>
                <w:color w:val="auto"/>
                <w:kern w:val="0"/>
                <w:sz w:val="20"/>
                <w:szCs w:val="21"/>
              </w:rPr>
              <w:t>2</w:t>
            </w:r>
          </w:p>
        </w:tc>
        <w:tc>
          <w:tcPr>
            <w:tcW w:w="3507" w:type="dxa"/>
            <w:vAlign w:val="center"/>
          </w:tcPr>
          <w:p>
            <w:pPr>
              <w:widowControl/>
              <w:textAlignment w:val="baseline"/>
              <w:rPr>
                <w:color w:val="auto"/>
                <w:kern w:val="0"/>
                <w:sz w:val="18"/>
                <w:szCs w:val="18"/>
              </w:rPr>
            </w:pPr>
            <w:r>
              <w:rPr>
                <w:rFonts w:hint="eastAsia"/>
                <w:color w:val="auto"/>
                <w:kern w:val="0"/>
                <w:sz w:val="18"/>
                <w:szCs w:val="18"/>
              </w:rPr>
              <w:t>货物</w:t>
            </w:r>
            <w:r>
              <w:rPr>
                <w:color w:val="auto"/>
                <w:kern w:val="0"/>
                <w:sz w:val="18"/>
                <w:szCs w:val="18"/>
              </w:rPr>
              <w:t>配置、包括备品备件、耗</w:t>
            </w:r>
            <w:r>
              <w:rPr>
                <w:rFonts w:hint="eastAsia"/>
                <w:color w:val="auto"/>
                <w:kern w:val="0"/>
                <w:sz w:val="18"/>
                <w:szCs w:val="18"/>
              </w:rPr>
              <w:t>品耗</w:t>
            </w:r>
            <w:r>
              <w:rPr>
                <w:color w:val="auto"/>
                <w:kern w:val="0"/>
                <w:sz w:val="18"/>
                <w:szCs w:val="18"/>
              </w:rPr>
              <w:t>材等提供齐全，</w:t>
            </w:r>
            <w:r>
              <w:rPr>
                <w:rFonts w:hint="eastAsia"/>
                <w:color w:val="auto"/>
                <w:kern w:val="0"/>
                <w:sz w:val="18"/>
                <w:szCs w:val="18"/>
              </w:rPr>
              <w:t>货物实物品牌、规格、型号、配置数量与采购结果、合同约定相符。</w:t>
            </w:r>
          </w:p>
        </w:tc>
        <w:tc>
          <w:tcPr>
            <w:tcW w:w="4368" w:type="dxa"/>
            <w:gridSpan w:val="2"/>
            <w:vAlign w:val="center"/>
          </w:tcPr>
          <w:p>
            <w:pPr>
              <w:widowControl/>
              <w:textAlignment w:val="baseline"/>
              <w:rPr>
                <w:color w:val="auto"/>
                <w:kern w:val="0"/>
                <w:sz w:val="18"/>
                <w:szCs w:val="18"/>
              </w:rPr>
            </w:pPr>
            <w:r>
              <w:rPr>
                <w:rFonts w:hint="eastAsia"/>
                <w:color w:val="auto"/>
                <w:kern w:val="0"/>
                <w:sz w:val="18"/>
                <w:szCs w:val="18"/>
              </w:rPr>
              <w:t>依据《合同》及其附件（包括但不限于《采购需求》《供应商投标（响应）文件》《投标澄清函》《技术协议》等）约定，</w:t>
            </w:r>
            <w:r>
              <w:rPr>
                <w:color w:val="auto"/>
                <w:kern w:val="0"/>
                <w:sz w:val="18"/>
                <w:szCs w:val="18"/>
              </w:rPr>
              <w:t>现场核查</w:t>
            </w:r>
            <w:r>
              <w:rPr>
                <w:rFonts w:hint="eastAsia"/>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pPr>
              <w:widowControl/>
              <w:spacing w:line="450" w:lineRule="atLeast"/>
              <w:jc w:val="center"/>
              <w:textAlignment w:val="baseline"/>
              <w:rPr>
                <w:color w:val="auto"/>
                <w:kern w:val="0"/>
                <w:sz w:val="20"/>
                <w:szCs w:val="21"/>
              </w:rPr>
            </w:pPr>
            <w:r>
              <w:rPr>
                <w:color w:val="auto"/>
                <w:kern w:val="0"/>
                <w:sz w:val="20"/>
                <w:szCs w:val="21"/>
              </w:rPr>
              <w:t>3</w:t>
            </w:r>
          </w:p>
        </w:tc>
        <w:tc>
          <w:tcPr>
            <w:tcW w:w="3507" w:type="dxa"/>
            <w:vAlign w:val="center"/>
          </w:tcPr>
          <w:p>
            <w:pPr>
              <w:widowControl/>
              <w:textAlignment w:val="baseline"/>
              <w:rPr>
                <w:color w:val="auto"/>
                <w:kern w:val="0"/>
                <w:sz w:val="18"/>
                <w:szCs w:val="18"/>
              </w:rPr>
            </w:pPr>
            <w:r>
              <w:rPr>
                <w:color w:val="auto"/>
                <w:kern w:val="0"/>
                <w:sz w:val="18"/>
                <w:szCs w:val="18"/>
              </w:rPr>
              <w:t>所有功能和指标参数</w:t>
            </w:r>
            <w:r>
              <w:rPr>
                <w:rFonts w:hint="eastAsia"/>
                <w:color w:val="auto"/>
                <w:kern w:val="0"/>
                <w:sz w:val="18"/>
                <w:szCs w:val="18"/>
              </w:rPr>
              <w:t>（</w:t>
            </w:r>
            <w:r>
              <w:rPr>
                <w:color w:val="auto"/>
                <w:kern w:val="0"/>
                <w:sz w:val="18"/>
                <w:szCs w:val="18"/>
              </w:rPr>
              <w:t>包括边界极限值</w:t>
            </w:r>
            <w:r>
              <w:rPr>
                <w:rFonts w:hint="eastAsia"/>
                <w:color w:val="auto"/>
                <w:kern w:val="0"/>
                <w:sz w:val="18"/>
                <w:szCs w:val="18"/>
              </w:rPr>
              <w:t>）</w:t>
            </w:r>
            <w:r>
              <w:rPr>
                <w:color w:val="auto"/>
                <w:kern w:val="0"/>
                <w:sz w:val="18"/>
                <w:szCs w:val="18"/>
              </w:rPr>
              <w:t>达到采购</w:t>
            </w:r>
            <w:r>
              <w:rPr>
                <w:rFonts w:hint="eastAsia"/>
                <w:color w:val="auto"/>
                <w:kern w:val="0"/>
                <w:sz w:val="18"/>
                <w:szCs w:val="18"/>
              </w:rPr>
              <w:t>结果合同约定</w:t>
            </w:r>
            <w:r>
              <w:rPr>
                <w:color w:val="auto"/>
                <w:kern w:val="0"/>
                <w:sz w:val="18"/>
                <w:szCs w:val="18"/>
              </w:rPr>
              <w:t>要求</w:t>
            </w:r>
            <w:r>
              <w:rPr>
                <w:rFonts w:hint="eastAsia"/>
                <w:color w:val="auto"/>
                <w:kern w:val="0"/>
                <w:sz w:val="18"/>
                <w:szCs w:val="18"/>
              </w:rPr>
              <w:t>。</w:t>
            </w:r>
          </w:p>
        </w:tc>
        <w:tc>
          <w:tcPr>
            <w:tcW w:w="4368" w:type="dxa"/>
            <w:gridSpan w:val="2"/>
            <w:vAlign w:val="center"/>
          </w:tcPr>
          <w:p>
            <w:pPr>
              <w:rPr>
                <w:rFonts w:hAnsi="宋体"/>
                <w:color w:val="auto"/>
                <w:kern w:val="0"/>
                <w:sz w:val="20"/>
                <w:szCs w:val="21"/>
              </w:rPr>
            </w:pPr>
            <w:r>
              <w:rPr>
                <w:rFonts w:hint="eastAsia"/>
                <w:color w:val="auto"/>
                <w:kern w:val="0"/>
                <w:sz w:val="18"/>
                <w:szCs w:val="18"/>
              </w:rPr>
              <w:t>依据《合同》及其附件（包括但不限于《采购需求》《供应商投标（响应）文件》《投标澄清函》《技术协议》等）约定，</w:t>
            </w:r>
            <w:r>
              <w:rPr>
                <w:color w:val="auto"/>
                <w:kern w:val="0"/>
                <w:sz w:val="18"/>
                <w:szCs w:val="18"/>
              </w:rPr>
              <w:t>现场测试</w:t>
            </w:r>
            <w:r>
              <w:rPr>
                <w:rFonts w:hint="eastAsia"/>
                <w:color w:val="auto"/>
                <w:kern w:val="0"/>
                <w:sz w:val="18"/>
                <w:szCs w:val="18"/>
              </w:rPr>
              <w:t>，供应商应</w:t>
            </w:r>
            <w:r>
              <w:rPr>
                <w:color w:val="auto"/>
                <w:kern w:val="0"/>
                <w:sz w:val="18"/>
                <w:szCs w:val="18"/>
              </w:rPr>
              <w:t>提供</w:t>
            </w:r>
            <w:r>
              <w:rPr>
                <w:rFonts w:hint="eastAsia"/>
                <w:color w:val="auto"/>
                <w:kern w:val="0"/>
                <w:sz w:val="18"/>
                <w:szCs w:val="18"/>
              </w:rPr>
              <w:t>《产品出厂检测报告》《产品合格证书》和根据合同约定提供《第三方检测报告》。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pPr>
              <w:widowControl/>
              <w:spacing w:line="450" w:lineRule="atLeast"/>
              <w:jc w:val="center"/>
              <w:textAlignment w:val="baseline"/>
              <w:rPr>
                <w:color w:val="auto"/>
                <w:kern w:val="0"/>
                <w:sz w:val="20"/>
                <w:szCs w:val="21"/>
              </w:rPr>
            </w:pPr>
            <w:r>
              <w:rPr>
                <w:color w:val="auto"/>
                <w:kern w:val="0"/>
                <w:sz w:val="20"/>
                <w:szCs w:val="21"/>
              </w:rPr>
              <w:t>4</w:t>
            </w:r>
          </w:p>
        </w:tc>
        <w:tc>
          <w:tcPr>
            <w:tcW w:w="3507" w:type="dxa"/>
            <w:vAlign w:val="center"/>
          </w:tcPr>
          <w:p>
            <w:pPr>
              <w:widowControl/>
              <w:textAlignment w:val="baseline"/>
              <w:rPr>
                <w:color w:val="auto"/>
                <w:kern w:val="0"/>
                <w:sz w:val="18"/>
                <w:szCs w:val="18"/>
              </w:rPr>
            </w:pPr>
            <w:r>
              <w:rPr>
                <w:color w:val="auto"/>
                <w:kern w:val="0"/>
                <w:sz w:val="18"/>
                <w:szCs w:val="18"/>
              </w:rPr>
              <w:t>提供</w:t>
            </w:r>
            <w:r>
              <w:rPr>
                <w:rFonts w:hint="eastAsia"/>
                <w:color w:val="auto"/>
                <w:kern w:val="0"/>
                <w:sz w:val="18"/>
                <w:szCs w:val="18"/>
              </w:rPr>
              <w:t>《培训视频》影像资料</w:t>
            </w:r>
          </w:p>
        </w:tc>
        <w:tc>
          <w:tcPr>
            <w:tcW w:w="4368" w:type="dxa"/>
            <w:gridSpan w:val="2"/>
            <w:vAlign w:val="center"/>
          </w:tcPr>
          <w:p>
            <w:pPr>
              <w:widowControl/>
              <w:textAlignment w:val="baseline"/>
              <w:rPr>
                <w:color w:val="auto"/>
                <w:kern w:val="0"/>
                <w:sz w:val="18"/>
                <w:szCs w:val="18"/>
              </w:rPr>
            </w:pPr>
            <w:r>
              <w:rPr>
                <w:color w:val="auto"/>
                <w:kern w:val="0"/>
                <w:sz w:val="18"/>
                <w:szCs w:val="18"/>
              </w:rPr>
              <w:t>现场核查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pPr>
              <w:widowControl/>
              <w:spacing w:line="450" w:lineRule="atLeast"/>
              <w:jc w:val="center"/>
              <w:textAlignment w:val="baseline"/>
              <w:rPr>
                <w:color w:val="auto"/>
                <w:kern w:val="0"/>
                <w:sz w:val="20"/>
                <w:szCs w:val="21"/>
              </w:rPr>
            </w:pPr>
            <w:r>
              <w:rPr>
                <w:rFonts w:hint="eastAsia"/>
                <w:color w:val="auto"/>
                <w:kern w:val="0"/>
                <w:sz w:val="20"/>
                <w:szCs w:val="21"/>
              </w:rPr>
              <w:t>5</w:t>
            </w:r>
          </w:p>
        </w:tc>
        <w:tc>
          <w:tcPr>
            <w:tcW w:w="3507" w:type="dxa"/>
            <w:vAlign w:val="center"/>
          </w:tcPr>
          <w:p>
            <w:pPr>
              <w:widowControl/>
              <w:textAlignment w:val="baseline"/>
              <w:rPr>
                <w:color w:val="auto"/>
                <w:kern w:val="0"/>
                <w:sz w:val="18"/>
                <w:szCs w:val="18"/>
              </w:rPr>
            </w:pPr>
            <w:r>
              <w:rPr>
                <w:color w:val="auto"/>
                <w:kern w:val="0"/>
                <w:sz w:val="18"/>
                <w:szCs w:val="18"/>
              </w:rPr>
              <w:t>验证</w:t>
            </w:r>
            <w:r>
              <w:rPr>
                <w:rFonts w:hint="eastAsia"/>
                <w:color w:val="auto"/>
                <w:kern w:val="0"/>
                <w:sz w:val="18"/>
                <w:szCs w:val="18"/>
              </w:rPr>
              <w:t>测试设备的运行稳定性</w:t>
            </w:r>
          </w:p>
        </w:tc>
        <w:tc>
          <w:tcPr>
            <w:tcW w:w="4368" w:type="dxa"/>
            <w:gridSpan w:val="2"/>
            <w:vAlign w:val="center"/>
          </w:tcPr>
          <w:p>
            <w:pPr>
              <w:widowControl/>
              <w:textAlignment w:val="baseline"/>
              <w:rPr>
                <w:color w:val="auto"/>
                <w:kern w:val="0"/>
                <w:sz w:val="18"/>
                <w:szCs w:val="18"/>
              </w:rPr>
            </w:pPr>
            <w:r>
              <w:rPr>
                <w:rFonts w:hint="eastAsia"/>
                <w:color w:val="auto"/>
                <w:kern w:val="0"/>
                <w:sz w:val="18"/>
                <w:szCs w:val="18"/>
              </w:rPr>
              <w:t>试运行</w:t>
            </w:r>
            <w:r>
              <w:rPr>
                <w:color w:val="auto"/>
                <w:kern w:val="0"/>
                <w:sz w:val="18"/>
                <w:szCs w:val="18"/>
              </w:rPr>
              <w:t>验证</w:t>
            </w:r>
            <w:r>
              <w:rPr>
                <w:rFonts w:hint="eastAsia"/>
                <w:color w:val="auto"/>
                <w:kern w:val="0"/>
                <w:sz w:val="18"/>
                <w:szCs w:val="18"/>
              </w:rPr>
              <w:t>测试设备运行稳定达标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pPr>
              <w:widowControl/>
              <w:spacing w:line="450" w:lineRule="atLeast"/>
              <w:jc w:val="center"/>
              <w:textAlignment w:val="baseline"/>
              <w:rPr>
                <w:color w:val="auto"/>
                <w:kern w:val="0"/>
                <w:sz w:val="20"/>
                <w:szCs w:val="21"/>
              </w:rPr>
            </w:pPr>
            <w:r>
              <w:rPr>
                <w:rFonts w:hint="eastAsia"/>
                <w:color w:val="auto"/>
                <w:kern w:val="0"/>
                <w:sz w:val="20"/>
                <w:szCs w:val="21"/>
              </w:rPr>
              <w:t>6</w:t>
            </w:r>
          </w:p>
        </w:tc>
        <w:tc>
          <w:tcPr>
            <w:tcW w:w="7875" w:type="dxa"/>
            <w:gridSpan w:val="3"/>
            <w:vAlign w:val="center"/>
          </w:tcPr>
          <w:p>
            <w:pPr>
              <w:widowControl/>
              <w:textAlignment w:val="baseline"/>
              <w:rPr>
                <w:color w:val="auto"/>
                <w:kern w:val="0"/>
                <w:sz w:val="18"/>
                <w:szCs w:val="18"/>
              </w:rPr>
            </w:pPr>
            <w:r>
              <w:rPr>
                <w:rFonts w:hint="eastAsia"/>
                <w:color w:val="auto"/>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pPr>
              <w:widowControl/>
              <w:jc w:val="left"/>
              <w:textAlignment w:val="baseline"/>
              <w:rPr>
                <w:color w:val="auto"/>
                <w:kern w:val="0"/>
                <w:sz w:val="18"/>
                <w:szCs w:val="18"/>
              </w:rPr>
            </w:pPr>
            <w:r>
              <w:rPr>
                <w:rFonts w:hint="eastAsia" w:ascii="黑体" w:hAnsi="黑体" w:eastAsia="黑体"/>
                <w:b/>
                <w:color w:val="auto"/>
                <w:kern w:val="0"/>
                <w:sz w:val="18"/>
                <w:szCs w:val="18"/>
              </w:rPr>
              <w:t>学校验收复核要求：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pPr>
              <w:widowControl/>
              <w:spacing w:line="450" w:lineRule="atLeast"/>
              <w:jc w:val="center"/>
              <w:textAlignment w:val="baseline"/>
              <w:rPr>
                <w:color w:val="auto"/>
                <w:kern w:val="0"/>
                <w:sz w:val="20"/>
                <w:szCs w:val="21"/>
              </w:rPr>
            </w:pPr>
            <w:r>
              <w:rPr>
                <w:rFonts w:hint="eastAsia"/>
                <w:color w:val="auto"/>
                <w:kern w:val="0"/>
                <w:sz w:val="20"/>
                <w:szCs w:val="21"/>
              </w:rPr>
              <w:t>1</w:t>
            </w:r>
          </w:p>
        </w:tc>
        <w:tc>
          <w:tcPr>
            <w:tcW w:w="7875" w:type="dxa"/>
            <w:gridSpan w:val="3"/>
            <w:vAlign w:val="center"/>
          </w:tcPr>
          <w:p>
            <w:pPr>
              <w:widowControl/>
              <w:textAlignment w:val="baseline"/>
              <w:rPr>
                <w:color w:val="auto"/>
                <w:kern w:val="0"/>
                <w:sz w:val="18"/>
                <w:szCs w:val="18"/>
              </w:rPr>
            </w:pPr>
            <w:r>
              <w:rPr>
                <w:rFonts w:hint="eastAsia"/>
                <w:color w:val="auto"/>
                <w:kern w:val="0"/>
                <w:sz w:val="18"/>
                <w:szCs w:val="18"/>
              </w:rPr>
              <w:t>项目建设单位填写《学校采购货物类项目验收复核申请表》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pPr>
              <w:widowControl/>
              <w:spacing w:line="450" w:lineRule="atLeast"/>
              <w:jc w:val="center"/>
              <w:textAlignment w:val="baseline"/>
              <w:rPr>
                <w:color w:val="auto"/>
                <w:kern w:val="0"/>
                <w:sz w:val="20"/>
                <w:szCs w:val="21"/>
              </w:rPr>
            </w:pPr>
            <w:r>
              <w:rPr>
                <w:rFonts w:hint="eastAsia"/>
                <w:color w:val="auto"/>
                <w:kern w:val="0"/>
                <w:sz w:val="20"/>
                <w:szCs w:val="21"/>
              </w:rPr>
              <w:t>2</w:t>
            </w:r>
          </w:p>
        </w:tc>
        <w:tc>
          <w:tcPr>
            <w:tcW w:w="7875" w:type="dxa"/>
            <w:gridSpan w:val="3"/>
            <w:vAlign w:val="center"/>
          </w:tcPr>
          <w:p>
            <w:pPr>
              <w:widowControl/>
              <w:textAlignment w:val="baseline"/>
              <w:rPr>
                <w:color w:val="auto"/>
                <w:kern w:val="0"/>
                <w:sz w:val="18"/>
                <w:szCs w:val="18"/>
              </w:rPr>
            </w:pPr>
            <w:r>
              <w:rPr>
                <w:rFonts w:hint="eastAsia"/>
                <w:color w:val="auto"/>
                <w:kern w:val="0"/>
                <w:sz w:val="18"/>
                <w:szCs w:val="18"/>
              </w:rPr>
              <w:t>提供《供应商货物类项目完工报告》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pPr>
              <w:widowControl/>
              <w:spacing w:line="450" w:lineRule="atLeast"/>
              <w:jc w:val="center"/>
              <w:textAlignment w:val="baseline"/>
              <w:rPr>
                <w:color w:val="auto"/>
                <w:kern w:val="0"/>
                <w:sz w:val="20"/>
                <w:szCs w:val="21"/>
              </w:rPr>
            </w:pPr>
            <w:r>
              <w:rPr>
                <w:rFonts w:hint="eastAsia"/>
                <w:color w:val="auto"/>
                <w:kern w:val="0"/>
                <w:sz w:val="20"/>
                <w:szCs w:val="21"/>
              </w:rPr>
              <w:t>3</w:t>
            </w:r>
          </w:p>
        </w:tc>
        <w:tc>
          <w:tcPr>
            <w:tcW w:w="7875" w:type="dxa"/>
            <w:gridSpan w:val="3"/>
            <w:vAlign w:val="center"/>
          </w:tcPr>
          <w:p>
            <w:pPr>
              <w:widowControl/>
              <w:textAlignment w:val="baseline"/>
              <w:rPr>
                <w:color w:val="auto"/>
                <w:kern w:val="0"/>
                <w:sz w:val="18"/>
                <w:szCs w:val="18"/>
              </w:rPr>
            </w:pPr>
            <w:r>
              <w:rPr>
                <w:rFonts w:hint="eastAsia"/>
                <w:color w:val="auto"/>
                <w:kern w:val="0"/>
                <w:sz w:val="18"/>
                <w:szCs w:val="18"/>
              </w:rPr>
              <w:t>提供《项目建设单位货物类项目完工自验收报告》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pPr>
              <w:widowControl/>
              <w:spacing w:line="450" w:lineRule="atLeast"/>
              <w:jc w:val="center"/>
              <w:textAlignment w:val="baseline"/>
              <w:rPr>
                <w:color w:val="auto"/>
                <w:kern w:val="0"/>
                <w:sz w:val="20"/>
                <w:szCs w:val="21"/>
              </w:rPr>
            </w:pPr>
            <w:r>
              <w:rPr>
                <w:rFonts w:hint="eastAsia"/>
                <w:color w:val="auto"/>
                <w:kern w:val="0"/>
                <w:sz w:val="20"/>
                <w:szCs w:val="21"/>
              </w:rPr>
              <w:t>4</w:t>
            </w:r>
          </w:p>
        </w:tc>
        <w:tc>
          <w:tcPr>
            <w:tcW w:w="7875" w:type="dxa"/>
            <w:gridSpan w:val="3"/>
            <w:vAlign w:val="center"/>
          </w:tcPr>
          <w:p>
            <w:pPr>
              <w:widowControl/>
              <w:textAlignment w:val="baseline"/>
              <w:rPr>
                <w:color w:val="auto"/>
                <w:kern w:val="0"/>
                <w:sz w:val="18"/>
                <w:szCs w:val="18"/>
              </w:rPr>
            </w:pPr>
            <w:r>
              <w:rPr>
                <w:rFonts w:hint="eastAsia"/>
                <w:color w:val="auto"/>
                <w:kern w:val="0"/>
                <w:sz w:val="18"/>
                <w:szCs w:val="18"/>
              </w:rPr>
              <w:t>学校组织验收专家组现场复核供应商与项目建设单位货物到货完工验收完成情况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pPr>
              <w:widowControl/>
              <w:textAlignment w:val="baseline"/>
              <w:rPr>
                <w:color w:val="auto"/>
                <w:kern w:val="0"/>
                <w:sz w:val="20"/>
                <w:szCs w:val="21"/>
              </w:rPr>
            </w:pPr>
            <w:r>
              <w:rPr>
                <w:color w:val="auto"/>
                <w:kern w:val="0"/>
                <w:sz w:val="20"/>
                <w:szCs w:val="21"/>
              </w:rPr>
              <w:t>验收时是否需要供应商提供样品</w:t>
            </w:r>
          </w:p>
        </w:tc>
        <w:tc>
          <w:tcPr>
            <w:tcW w:w="2254" w:type="dxa"/>
            <w:vAlign w:val="center"/>
          </w:tcPr>
          <w:p>
            <w:pPr>
              <w:widowControl/>
              <w:textAlignment w:val="baseline"/>
              <w:rPr>
                <w:color w:val="auto"/>
                <w:kern w:val="0"/>
                <w:sz w:val="20"/>
                <w:szCs w:val="21"/>
              </w:rPr>
            </w:pPr>
            <w:r>
              <w:rPr>
                <w:color w:val="auto"/>
                <w:kern w:val="0"/>
                <w:sz w:val="20"/>
                <w:szCs w:val="21"/>
              </w:rPr>
              <w:t>是</w:t>
            </w:r>
            <w:r>
              <w:rPr>
                <w:rFonts w:hint="eastAsia" w:cs="宋体" w:asciiTheme="minorEastAsia" w:hAnsiTheme="minorEastAsia"/>
                <w:color w:val="auto"/>
                <w:kern w:val="0"/>
                <w:sz w:val="20"/>
                <w:szCs w:val="21"/>
              </w:rPr>
              <w:t>□</w:t>
            </w:r>
          </w:p>
        </w:tc>
        <w:tc>
          <w:tcPr>
            <w:tcW w:w="2114" w:type="dxa"/>
            <w:vAlign w:val="center"/>
          </w:tcPr>
          <w:p>
            <w:pPr>
              <w:widowControl/>
              <w:textAlignment w:val="baseline"/>
              <w:rPr>
                <w:color w:val="auto"/>
                <w:kern w:val="0"/>
                <w:sz w:val="20"/>
                <w:szCs w:val="21"/>
              </w:rPr>
            </w:pPr>
            <w:r>
              <w:rPr>
                <w:color w:val="auto"/>
                <w:kern w:val="0"/>
                <w:sz w:val="20"/>
                <w:szCs w:val="21"/>
              </w:rPr>
              <w:t>否</w:t>
            </w:r>
            <w:r>
              <w:rPr>
                <w:rFonts w:hint="eastAsia" w:cs="宋体" w:asciiTheme="minorEastAsia" w:hAnsiTheme="minorEastAsia"/>
                <w:color w:val="auto"/>
                <w:kern w:val="0"/>
                <w:sz w:val="20"/>
                <w:szCs w:val="21"/>
              </w:rPr>
              <w:sym w:font="Wingdings 2" w:char="F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pPr>
              <w:widowControl/>
              <w:textAlignment w:val="baseline"/>
              <w:rPr>
                <w:color w:val="auto"/>
                <w:kern w:val="0"/>
                <w:sz w:val="20"/>
                <w:szCs w:val="21"/>
              </w:rPr>
            </w:pPr>
            <w:r>
              <w:rPr>
                <w:color w:val="auto"/>
                <w:kern w:val="0"/>
                <w:sz w:val="20"/>
                <w:szCs w:val="21"/>
              </w:rPr>
              <w:t>验收时是否需供应商提供必要的其他设备</w:t>
            </w:r>
          </w:p>
        </w:tc>
        <w:tc>
          <w:tcPr>
            <w:tcW w:w="2254" w:type="dxa"/>
            <w:vAlign w:val="center"/>
          </w:tcPr>
          <w:p>
            <w:pPr>
              <w:widowControl/>
              <w:textAlignment w:val="baseline"/>
              <w:rPr>
                <w:color w:val="auto"/>
                <w:kern w:val="0"/>
                <w:sz w:val="20"/>
                <w:szCs w:val="21"/>
              </w:rPr>
            </w:pPr>
            <w:r>
              <w:rPr>
                <w:color w:val="auto"/>
                <w:kern w:val="0"/>
                <w:sz w:val="20"/>
                <w:szCs w:val="21"/>
              </w:rPr>
              <w:t>是</w:t>
            </w:r>
            <w:r>
              <w:rPr>
                <w:rFonts w:hint="eastAsia" w:cs="宋体" w:asciiTheme="minorEastAsia" w:hAnsiTheme="minorEastAsia"/>
                <w:color w:val="auto"/>
                <w:kern w:val="0"/>
                <w:sz w:val="20"/>
                <w:szCs w:val="21"/>
              </w:rPr>
              <w:t>□</w:t>
            </w:r>
          </w:p>
        </w:tc>
        <w:tc>
          <w:tcPr>
            <w:tcW w:w="2114" w:type="dxa"/>
            <w:vAlign w:val="center"/>
          </w:tcPr>
          <w:p>
            <w:pPr>
              <w:widowControl/>
              <w:textAlignment w:val="baseline"/>
              <w:rPr>
                <w:color w:val="auto"/>
                <w:kern w:val="0"/>
                <w:sz w:val="20"/>
                <w:szCs w:val="21"/>
              </w:rPr>
            </w:pPr>
            <w:r>
              <w:rPr>
                <w:color w:val="auto"/>
                <w:kern w:val="0"/>
                <w:sz w:val="20"/>
                <w:szCs w:val="21"/>
              </w:rPr>
              <w:t>否</w:t>
            </w:r>
            <w:r>
              <w:rPr>
                <w:rFonts w:hint="eastAsia" w:cs="宋体" w:asciiTheme="minorEastAsia" w:hAnsiTheme="minorEastAsia"/>
                <w:color w:val="auto"/>
                <w:kern w:val="0"/>
                <w:sz w:val="20"/>
                <w:szCs w:val="21"/>
              </w:rPr>
              <w:sym w:font="Wingdings 2" w:char="F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1" w:type="dxa"/>
            <w:gridSpan w:val="4"/>
            <w:vAlign w:val="center"/>
          </w:tcPr>
          <w:p>
            <w:pPr>
              <w:widowControl/>
              <w:textAlignment w:val="baseline"/>
              <w:rPr>
                <w:color w:val="auto"/>
                <w:kern w:val="0"/>
                <w:sz w:val="20"/>
                <w:szCs w:val="21"/>
              </w:rPr>
            </w:pPr>
            <w:r>
              <w:rPr>
                <w:color w:val="auto"/>
                <w:kern w:val="0"/>
                <w:sz w:val="20"/>
                <w:szCs w:val="21"/>
              </w:rPr>
              <w:t>除现场验收外，需提供的其他验收要求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233" w:type="dxa"/>
            <w:gridSpan w:val="2"/>
            <w:vAlign w:val="center"/>
          </w:tcPr>
          <w:p>
            <w:pPr>
              <w:widowControl/>
              <w:spacing w:line="450" w:lineRule="atLeast"/>
              <w:textAlignment w:val="baseline"/>
              <w:rPr>
                <w:color w:val="auto"/>
                <w:kern w:val="0"/>
                <w:sz w:val="20"/>
                <w:szCs w:val="21"/>
              </w:rPr>
            </w:pPr>
            <w:r>
              <w:rPr>
                <w:color w:val="auto"/>
                <w:kern w:val="0"/>
                <w:sz w:val="20"/>
                <w:szCs w:val="21"/>
              </w:rPr>
              <w:t>除现场验收外，是</w:t>
            </w:r>
            <w:r>
              <w:rPr>
                <w:rFonts w:hint="eastAsia" w:cs="宋体" w:asciiTheme="minorEastAsia" w:hAnsiTheme="minorEastAsia"/>
                <w:color w:val="auto"/>
                <w:kern w:val="0"/>
                <w:sz w:val="20"/>
                <w:szCs w:val="21"/>
              </w:rPr>
              <w:t>□</w:t>
            </w:r>
            <w:r>
              <w:rPr>
                <w:color w:val="auto"/>
                <w:kern w:val="0"/>
                <w:sz w:val="20"/>
                <w:szCs w:val="21"/>
              </w:rPr>
              <w:t>否</w:t>
            </w:r>
            <w:r>
              <w:rPr>
                <w:rFonts w:hint="eastAsia" w:cs="宋体" w:asciiTheme="minorEastAsia" w:hAnsiTheme="minorEastAsia"/>
                <w:color w:val="auto"/>
                <w:kern w:val="0"/>
                <w:sz w:val="20"/>
                <w:szCs w:val="21"/>
              </w:rPr>
              <w:sym w:font="Wingdings 2" w:char="F052"/>
            </w:r>
            <w:r>
              <w:rPr>
                <w:color w:val="auto"/>
                <w:kern w:val="0"/>
                <w:sz w:val="20"/>
                <w:szCs w:val="21"/>
              </w:rPr>
              <w:t>需提供第三方检测报告</w:t>
            </w:r>
          </w:p>
          <w:p>
            <w:pPr>
              <w:widowControl/>
              <w:spacing w:line="450" w:lineRule="atLeast"/>
              <w:textAlignment w:val="baseline"/>
              <w:rPr>
                <w:color w:val="auto"/>
                <w:kern w:val="0"/>
                <w:sz w:val="20"/>
                <w:szCs w:val="21"/>
              </w:rPr>
            </w:pPr>
          </w:p>
        </w:tc>
        <w:tc>
          <w:tcPr>
            <w:tcW w:w="4368" w:type="dxa"/>
            <w:gridSpan w:val="2"/>
            <w:vAlign w:val="center"/>
          </w:tcPr>
          <w:p>
            <w:pPr>
              <w:widowControl/>
              <w:spacing w:line="450" w:lineRule="atLeast"/>
              <w:textAlignment w:val="baseline"/>
              <w:rPr>
                <w:color w:val="auto"/>
                <w:kern w:val="0"/>
                <w:sz w:val="20"/>
                <w:szCs w:val="21"/>
              </w:rPr>
            </w:pPr>
            <w:r>
              <w:rPr>
                <w:color w:val="auto"/>
                <w:kern w:val="0"/>
                <w:sz w:val="20"/>
                <w:szCs w:val="21"/>
              </w:rPr>
              <w:t>对于检测机构的要求：国家正规检测机构，出具的检测报告由验收复核专家认可之后作为验收复核通过的主要依据。</w:t>
            </w:r>
          </w:p>
          <w:p>
            <w:pPr>
              <w:widowControl/>
              <w:spacing w:line="450" w:lineRule="atLeast"/>
              <w:textAlignment w:val="baseline"/>
              <w:rPr>
                <w:color w:val="auto"/>
                <w:kern w:val="0"/>
                <w:sz w:val="20"/>
                <w:szCs w:val="21"/>
              </w:rPr>
            </w:pPr>
            <w:r>
              <w:rPr>
                <w:color w:val="auto"/>
                <w:kern w:val="0"/>
                <w:sz w:val="20"/>
                <w:szCs w:val="21"/>
              </w:rPr>
              <w:t>对于检测执行标准的要求：各项检测项目标准以检测机构按照行业相关要求最新适用并执行的标准为准。</w:t>
            </w:r>
          </w:p>
        </w:tc>
      </w:tr>
    </w:tbl>
    <w:p>
      <w:pPr>
        <w:rPr>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3</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475B4"/>
    <w:multiLevelType w:val="multilevel"/>
    <w:tmpl w:val="1AD475B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45B7"/>
    <w:rsid w:val="000170BA"/>
    <w:rsid w:val="00017C9A"/>
    <w:rsid w:val="00090056"/>
    <w:rsid w:val="000A209A"/>
    <w:rsid w:val="000A6F81"/>
    <w:rsid w:val="000C588B"/>
    <w:rsid w:val="00105428"/>
    <w:rsid w:val="0012727F"/>
    <w:rsid w:val="00140AF0"/>
    <w:rsid w:val="001507CE"/>
    <w:rsid w:val="00157667"/>
    <w:rsid w:val="001609FC"/>
    <w:rsid w:val="00162A76"/>
    <w:rsid w:val="001763B1"/>
    <w:rsid w:val="00176534"/>
    <w:rsid w:val="0018461B"/>
    <w:rsid w:val="00192B6A"/>
    <w:rsid w:val="001B03C0"/>
    <w:rsid w:val="001B712C"/>
    <w:rsid w:val="001B7E84"/>
    <w:rsid w:val="001C0880"/>
    <w:rsid w:val="001C41C3"/>
    <w:rsid w:val="001C7C84"/>
    <w:rsid w:val="002204EA"/>
    <w:rsid w:val="00237253"/>
    <w:rsid w:val="00275BF8"/>
    <w:rsid w:val="002815C8"/>
    <w:rsid w:val="002A4902"/>
    <w:rsid w:val="002A6571"/>
    <w:rsid w:val="002B3A1B"/>
    <w:rsid w:val="002C47E9"/>
    <w:rsid w:val="002D68DE"/>
    <w:rsid w:val="003027D7"/>
    <w:rsid w:val="00306BFA"/>
    <w:rsid w:val="00310E17"/>
    <w:rsid w:val="003113D4"/>
    <w:rsid w:val="003458D7"/>
    <w:rsid w:val="00345D8D"/>
    <w:rsid w:val="00353EC3"/>
    <w:rsid w:val="0036352F"/>
    <w:rsid w:val="003649AF"/>
    <w:rsid w:val="003B1B61"/>
    <w:rsid w:val="003B4AB9"/>
    <w:rsid w:val="003D06DB"/>
    <w:rsid w:val="003E4113"/>
    <w:rsid w:val="003E4FDA"/>
    <w:rsid w:val="004217EB"/>
    <w:rsid w:val="00426CB3"/>
    <w:rsid w:val="00453832"/>
    <w:rsid w:val="004951D7"/>
    <w:rsid w:val="004A3F40"/>
    <w:rsid w:val="004A43F0"/>
    <w:rsid w:val="004B3DFE"/>
    <w:rsid w:val="004C179C"/>
    <w:rsid w:val="004E36C2"/>
    <w:rsid w:val="004E4B14"/>
    <w:rsid w:val="004F6CC2"/>
    <w:rsid w:val="00501176"/>
    <w:rsid w:val="0051081D"/>
    <w:rsid w:val="00510891"/>
    <w:rsid w:val="0052535A"/>
    <w:rsid w:val="0053111A"/>
    <w:rsid w:val="00543607"/>
    <w:rsid w:val="00562C62"/>
    <w:rsid w:val="005633CE"/>
    <w:rsid w:val="00571ADE"/>
    <w:rsid w:val="005853E9"/>
    <w:rsid w:val="00586B26"/>
    <w:rsid w:val="0059304A"/>
    <w:rsid w:val="005951EF"/>
    <w:rsid w:val="005B62C9"/>
    <w:rsid w:val="005C3DA0"/>
    <w:rsid w:val="005C47EF"/>
    <w:rsid w:val="005E66C3"/>
    <w:rsid w:val="005E6A0A"/>
    <w:rsid w:val="005F1571"/>
    <w:rsid w:val="005F401F"/>
    <w:rsid w:val="00611202"/>
    <w:rsid w:val="0061566C"/>
    <w:rsid w:val="006237BE"/>
    <w:rsid w:val="00636F27"/>
    <w:rsid w:val="00640733"/>
    <w:rsid w:val="006878E9"/>
    <w:rsid w:val="006C2918"/>
    <w:rsid w:val="006C782C"/>
    <w:rsid w:val="006D095D"/>
    <w:rsid w:val="00703AC6"/>
    <w:rsid w:val="00710AA5"/>
    <w:rsid w:val="00715B3F"/>
    <w:rsid w:val="0072224A"/>
    <w:rsid w:val="007554BB"/>
    <w:rsid w:val="0076501A"/>
    <w:rsid w:val="007839AE"/>
    <w:rsid w:val="00785146"/>
    <w:rsid w:val="007A1D63"/>
    <w:rsid w:val="007A5DE1"/>
    <w:rsid w:val="007B63C3"/>
    <w:rsid w:val="007F4BD9"/>
    <w:rsid w:val="00800E12"/>
    <w:rsid w:val="00801053"/>
    <w:rsid w:val="0080610F"/>
    <w:rsid w:val="008153D5"/>
    <w:rsid w:val="00823CA9"/>
    <w:rsid w:val="00826350"/>
    <w:rsid w:val="008403A0"/>
    <w:rsid w:val="0084652E"/>
    <w:rsid w:val="00860346"/>
    <w:rsid w:val="00870113"/>
    <w:rsid w:val="00873F09"/>
    <w:rsid w:val="0089621F"/>
    <w:rsid w:val="008A02D6"/>
    <w:rsid w:val="008B15F7"/>
    <w:rsid w:val="008C0BE7"/>
    <w:rsid w:val="008D094B"/>
    <w:rsid w:val="008F2ED3"/>
    <w:rsid w:val="00902581"/>
    <w:rsid w:val="00912013"/>
    <w:rsid w:val="00925E61"/>
    <w:rsid w:val="00946EF5"/>
    <w:rsid w:val="0099177F"/>
    <w:rsid w:val="00995789"/>
    <w:rsid w:val="009B2EF0"/>
    <w:rsid w:val="009D3518"/>
    <w:rsid w:val="009F6CAB"/>
    <w:rsid w:val="009F7A2C"/>
    <w:rsid w:val="00A047F0"/>
    <w:rsid w:val="00A161FC"/>
    <w:rsid w:val="00A2234D"/>
    <w:rsid w:val="00A61746"/>
    <w:rsid w:val="00A662DF"/>
    <w:rsid w:val="00A765E9"/>
    <w:rsid w:val="00A865ED"/>
    <w:rsid w:val="00A901C0"/>
    <w:rsid w:val="00AB48E9"/>
    <w:rsid w:val="00AC005D"/>
    <w:rsid w:val="00AC6F95"/>
    <w:rsid w:val="00AD0209"/>
    <w:rsid w:val="00AD5325"/>
    <w:rsid w:val="00AE1AFA"/>
    <w:rsid w:val="00AE67A6"/>
    <w:rsid w:val="00AF7468"/>
    <w:rsid w:val="00B015CE"/>
    <w:rsid w:val="00B151BE"/>
    <w:rsid w:val="00B41E59"/>
    <w:rsid w:val="00B43698"/>
    <w:rsid w:val="00B4481B"/>
    <w:rsid w:val="00B47D50"/>
    <w:rsid w:val="00B55BAD"/>
    <w:rsid w:val="00B72BD6"/>
    <w:rsid w:val="00B80D35"/>
    <w:rsid w:val="00B91989"/>
    <w:rsid w:val="00B94A57"/>
    <w:rsid w:val="00BA26F5"/>
    <w:rsid w:val="00BA359E"/>
    <w:rsid w:val="00BB2053"/>
    <w:rsid w:val="00BB469B"/>
    <w:rsid w:val="00BB7A38"/>
    <w:rsid w:val="00BC3D86"/>
    <w:rsid w:val="00BC7870"/>
    <w:rsid w:val="00BD0727"/>
    <w:rsid w:val="00BE12E8"/>
    <w:rsid w:val="00BE26DA"/>
    <w:rsid w:val="00BE5444"/>
    <w:rsid w:val="00C1098B"/>
    <w:rsid w:val="00C13578"/>
    <w:rsid w:val="00C15054"/>
    <w:rsid w:val="00C30C74"/>
    <w:rsid w:val="00C36A51"/>
    <w:rsid w:val="00C5032C"/>
    <w:rsid w:val="00C63818"/>
    <w:rsid w:val="00C76267"/>
    <w:rsid w:val="00C82348"/>
    <w:rsid w:val="00CD153F"/>
    <w:rsid w:val="00CD2230"/>
    <w:rsid w:val="00CD50E0"/>
    <w:rsid w:val="00D04B4C"/>
    <w:rsid w:val="00D324D9"/>
    <w:rsid w:val="00D3537C"/>
    <w:rsid w:val="00D41788"/>
    <w:rsid w:val="00D45ED1"/>
    <w:rsid w:val="00D56E82"/>
    <w:rsid w:val="00D94396"/>
    <w:rsid w:val="00D94542"/>
    <w:rsid w:val="00D97FEA"/>
    <w:rsid w:val="00DB6ED1"/>
    <w:rsid w:val="00DC1928"/>
    <w:rsid w:val="00DC2C1A"/>
    <w:rsid w:val="00DF1EA0"/>
    <w:rsid w:val="00DF5062"/>
    <w:rsid w:val="00E02FC1"/>
    <w:rsid w:val="00E0581E"/>
    <w:rsid w:val="00E1130A"/>
    <w:rsid w:val="00E22081"/>
    <w:rsid w:val="00E4264C"/>
    <w:rsid w:val="00E73399"/>
    <w:rsid w:val="00E74CB1"/>
    <w:rsid w:val="00E7573D"/>
    <w:rsid w:val="00E77A53"/>
    <w:rsid w:val="00E821CF"/>
    <w:rsid w:val="00E85682"/>
    <w:rsid w:val="00E85911"/>
    <w:rsid w:val="00E931F1"/>
    <w:rsid w:val="00F072C1"/>
    <w:rsid w:val="00F07693"/>
    <w:rsid w:val="00F10369"/>
    <w:rsid w:val="00F17DEA"/>
    <w:rsid w:val="00F35137"/>
    <w:rsid w:val="00F43286"/>
    <w:rsid w:val="00F57DCD"/>
    <w:rsid w:val="00F631F1"/>
    <w:rsid w:val="00F9789E"/>
    <w:rsid w:val="00FB00E1"/>
    <w:rsid w:val="00FC1111"/>
    <w:rsid w:val="00FC3BB8"/>
    <w:rsid w:val="00FE1B41"/>
    <w:rsid w:val="00FF21F2"/>
    <w:rsid w:val="00FF339E"/>
    <w:rsid w:val="00FF47AD"/>
    <w:rsid w:val="00FF698C"/>
    <w:rsid w:val="043D234D"/>
    <w:rsid w:val="076F5347"/>
    <w:rsid w:val="0B136931"/>
    <w:rsid w:val="121D1E44"/>
    <w:rsid w:val="13C25122"/>
    <w:rsid w:val="149E4316"/>
    <w:rsid w:val="155E1F26"/>
    <w:rsid w:val="15A43986"/>
    <w:rsid w:val="16307EC6"/>
    <w:rsid w:val="17B42E42"/>
    <w:rsid w:val="1B612DA1"/>
    <w:rsid w:val="1BC72B84"/>
    <w:rsid w:val="1C2F00AD"/>
    <w:rsid w:val="1D295B40"/>
    <w:rsid w:val="21E5632B"/>
    <w:rsid w:val="23203542"/>
    <w:rsid w:val="235C2297"/>
    <w:rsid w:val="28405D26"/>
    <w:rsid w:val="2A73664D"/>
    <w:rsid w:val="2ADC41F2"/>
    <w:rsid w:val="2CCD6CB4"/>
    <w:rsid w:val="2E876B6B"/>
    <w:rsid w:val="313528AE"/>
    <w:rsid w:val="38020AB7"/>
    <w:rsid w:val="42F6139F"/>
    <w:rsid w:val="44C61D43"/>
    <w:rsid w:val="457479F1"/>
    <w:rsid w:val="46991BF9"/>
    <w:rsid w:val="48403BBB"/>
    <w:rsid w:val="4FAF6015"/>
    <w:rsid w:val="503A198A"/>
    <w:rsid w:val="511A58F1"/>
    <w:rsid w:val="513A3416"/>
    <w:rsid w:val="52F97788"/>
    <w:rsid w:val="53CA71D0"/>
    <w:rsid w:val="55D1679A"/>
    <w:rsid w:val="56C105BC"/>
    <w:rsid w:val="5A6C6A91"/>
    <w:rsid w:val="5AC01C3D"/>
    <w:rsid w:val="60E303C2"/>
    <w:rsid w:val="63D80CF3"/>
    <w:rsid w:val="6CF92406"/>
    <w:rsid w:val="6ED85841"/>
    <w:rsid w:val="704C4632"/>
    <w:rsid w:val="786848E4"/>
    <w:rsid w:val="78E66C01"/>
    <w:rsid w:val="7BA9149B"/>
    <w:rsid w:val="7C7C06ED"/>
    <w:rsid w:val="7DB33A33"/>
    <w:rsid w:val="7ECE5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22"/>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Plain Text"/>
    <w:basedOn w:val="1"/>
    <w:link w:val="12"/>
    <w:qFormat/>
    <w:uiPriority w:val="0"/>
    <w:rPr>
      <w:rFonts w:ascii="宋体" w:hAnsi="Courier New" w:cstheme="minorBidi"/>
      <w:szCs w:val="22"/>
    </w:rPr>
  </w:style>
  <w:style w:type="paragraph" w:styleId="4">
    <w:name w:val="Balloon Text"/>
    <w:basedOn w:val="1"/>
    <w:link w:val="20"/>
    <w:semiHidden/>
    <w:unhideWhenUsed/>
    <w:qFormat/>
    <w:uiPriority w:val="99"/>
    <w:rPr>
      <w:sz w:val="18"/>
      <w:szCs w:val="18"/>
    </w:rPr>
  </w:style>
  <w:style w:type="paragraph" w:styleId="5">
    <w:name w:val="footer"/>
    <w:basedOn w:val="1"/>
    <w:link w:val="13"/>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Title"/>
    <w:basedOn w:val="1"/>
    <w:link w:val="14"/>
    <w:qFormat/>
    <w:uiPriority w:val="0"/>
    <w:pPr>
      <w:spacing w:before="240" w:after="60"/>
      <w:jc w:val="center"/>
      <w:outlineLvl w:val="0"/>
    </w:pPr>
    <w:rPr>
      <w:rFonts w:ascii="Arial" w:hAnsi="Arial" w:cs="Arial"/>
      <w:b/>
      <w:bCs/>
      <w:sz w:val="32"/>
      <w:szCs w:val="3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纯文本 字符"/>
    <w:link w:val="3"/>
    <w:qFormat/>
    <w:uiPriority w:val="0"/>
    <w:rPr>
      <w:rFonts w:ascii="宋体" w:hAnsi="Courier New" w:eastAsia="宋体"/>
    </w:rPr>
  </w:style>
  <w:style w:type="character" w:customStyle="1" w:styleId="13">
    <w:name w:val="页脚 字符"/>
    <w:link w:val="5"/>
    <w:qFormat/>
    <w:uiPriority w:val="0"/>
    <w:rPr>
      <w:sz w:val="18"/>
    </w:rPr>
  </w:style>
  <w:style w:type="character" w:customStyle="1" w:styleId="14">
    <w:name w:val="标题 字符"/>
    <w:link w:val="8"/>
    <w:qFormat/>
    <w:uiPriority w:val="0"/>
    <w:rPr>
      <w:rFonts w:ascii="Arial" w:hAnsi="Arial" w:eastAsia="宋体" w:cs="Arial"/>
      <w:b/>
      <w:bCs/>
      <w:sz w:val="32"/>
      <w:szCs w:val="32"/>
    </w:rPr>
  </w:style>
  <w:style w:type="character" w:customStyle="1" w:styleId="15">
    <w:name w:val="页脚 Char"/>
    <w:basedOn w:val="11"/>
    <w:semiHidden/>
    <w:qFormat/>
    <w:uiPriority w:val="99"/>
    <w:rPr>
      <w:rFonts w:ascii="Times New Roman" w:hAnsi="Times New Roman" w:eastAsia="宋体" w:cs="Times New Roman"/>
      <w:sz w:val="18"/>
      <w:szCs w:val="18"/>
    </w:rPr>
  </w:style>
  <w:style w:type="character" w:customStyle="1" w:styleId="16">
    <w:name w:val="标题 Char"/>
    <w:basedOn w:val="11"/>
    <w:qFormat/>
    <w:uiPriority w:val="10"/>
    <w:rPr>
      <w:rFonts w:eastAsia="宋体" w:asciiTheme="majorHAnsi" w:hAnsiTheme="majorHAnsi" w:cstheme="majorBidi"/>
      <w:b/>
      <w:bCs/>
      <w:sz w:val="32"/>
      <w:szCs w:val="32"/>
    </w:rPr>
  </w:style>
  <w:style w:type="character" w:customStyle="1" w:styleId="17">
    <w:name w:val="纯文本 Char"/>
    <w:basedOn w:val="11"/>
    <w:semiHidden/>
    <w:qFormat/>
    <w:uiPriority w:val="99"/>
    <w:rPr>
      <w:rFonts w:ascii="宋体" w:hAnsi="Courier New" w:eastAsia="宋体" w:cs="Courier New"/>
      <w:szCs w:val="21"/>
    </w:rPr>
  </w:style>
  <w:style w:type="character" w:customStyle="1" w:styleId="18">
    <w:name w:val="页眉 字符"/>
    <w:basedOn w:val="11"/>
    <w:link w:val="6"/>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批注框文本 字符"/>
    <w:basedOn w:val="11"/>
    <w:link w:val="4"/>
    <w:semiHidden/>
    <w:qFormat/>
    <w:uiPriority w:val="99"/>
    <w:rPr>
      <w:rFonts w:ascii="Times New Roman" w:hAnsi="Times New Roman" w:eastAsia="宋体" w:cs="Times New Roman"/>
      <w:sz w:val="18"/>
      <w:szCs w:val="18"/>
    </w:rPr>
  </w:style>
  <w:style w:type="paragraph" w:customStyle="1" w:styleId="21">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character" w:customStyle="1" w:styleId="22">
    <w:name w:val="标题 3 字符"/>
    <w:basedOn w:val="11"/>
    <w:link w:val="2"/>
    <w:qFormat/>
    <w:uiPriority w:val="9"/>
    <w:rPr>
      <w:rFonts w:ascii="宋体" w:hAnsi="宋体" w:eastAsia="宋体" w:cs="宋体"/>
      <w:b/>
      <w:bCs/>
      <w:sz w:val="27"/>
      <w:szCs w:val="2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375</Words>
  <Characters>2139</Characters>
  <Lines>17</Lines>
  <Paragraphs>5</Paragraphs>
  <TotalTime>6</TotalTime>
  <ScaleCrop>false</ScaleCrop>
  <LinksUpToDate>false</LinksUpToDate>
  <CharactersWithSpaces>2509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2025-04-17T07:46:00Z</dcterms:created>
  <dc:creator>User</dc:creator>
  <cp:lastModifiedBy>韩林</cp:lastModifiedBy>
  <dcterms:modified xsi:type="dcterms:W3CDTF">2025-04-28T03:15:20Z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FD47254428C546C79753499200788EBF</vt:lpwstr>
  </property>
  <property fmtid="{D5CDD505-2E9C-101B-9397-08002B2CF9AE}" pid="4" name="KSOTemplateDocerSaveRecord">
    <vt:lpwstr>eyJoZGlkIjoiYWJmNTAxYTA0NTllZTU0OWY5NWY0MWNlMzBjNGU2OTYiLCJ1c2VySWQiOiIyODYyOTE4MjQifQ==</vt:lpwstr>
  </property>
</Properties>
</file>