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宋体"/>
          <w:color w:val="000000"/>
          <w:sz w:val="48"/>
          <w:szCs w:val="48"/>
        </w:rPr>
      </w:pPr>
      <w:bookmarkStart w:id="0" w:name="_Toc5022"/>
      <w:bookmarkStart w:id="1" w:name="_Toc2585"/>
      <w:bookmarkStart w:id="2" w:name="_Toc306283695"/>
      <w:bookmarkStart w:id="3" w:name="_Toc323897759"/>
    </w:p>
    <w:p>
      <w:pPr>
        <w:tabs>
          <w:tab w:val="left" w:pos="3150"/>
        </w:tabs>
        <w:spacing w:line="500" w:lineRule="exact"/>
        <w:rPr>
          <w:rFonts w:ascii="宋体"/>
          <w:color w:val="000000"/>
          <w:sz w:val="48"/>
          <w:szCs w:val="48"/>
        </w:rPr>
      </w:pPr>
      <w:r>
        <w:rPr>
          <w:rFonts w:hint="eastAsia" w:ascii="宋体"/>
          <w:color w:val="000000"/>
          <w:sz w:val="48"/>
          <w:szCs w:val="48"/>
        </w:rPr>
        <w:tab/>
      </w:r>
    </w:p>
    <w:p>
      <w:pPr>
        <w:spacing w:line="500" w:lineRule="exact"/>
        <w:jc w:val="center"/>
        <w:rPr>
          <w:rFonts w:ascii="宋体"/>
          <w:color w:val="000000"/>
          <w:sz w:val="48"/>
          <w:szCs w:val="48"/>
        </w:rPr>
      </w:pPr>
    </w:p>
    <w:p>
      <w:pPr>
        <w:jc w:val="center"/>
        <w:rPr>
          <w:rFonts w:ascii="宋体" w:hAnsi="宋体" w:cs="宋体"/>
          <w:b/>
          <w:bCs/>
          <w:color w:val="000000"/>
          <w:sz w:val="48"/>
          <w:szCs w:val="48"/>
        </w:rPr>
      </w:pPr>
      <w:r>
        <w:rPr>
          <w:rFonts w:hint="eastAsia" w:ascii="宋体" w:hAnsi="宋体" w:cs="宋体"/>
          <w:b/>
          <w:bCs/>
          <w:color w:val="000000"/>
          <w:sz w:val="48"/>
          <w:szCs w:val="48"/>
        </w:rPr>
        <w:t>西安交通大学创新港学生食堂</w:t>
      </w:r>
    </w:p>
    <w:p>
      <w:pPr>
        <w:jc w:val="center"/>
        <w:rPr>
          <w:rFonts w:ascii="宋体" w:hAnsi="宋体" w:cs="宋体"/>
          <w:b/>
          <w:bCs/>
          <w:color w:val="000000"/>
          <w:sz w:val="48"/>
          <w:szCs w:val="48"/>
        </w:rPr>
      </w:pPr>
      <w:r>
        <w:rPr>
          <w:rFonts w:hint="eastAsia" w:ascii="宋体" w:hAnsi="宋体" w:cs="宋体"/>
          <w:b/>
          <w:bCs/>
          <w:color w:val="000000"/>
          <w:sz w:val="48"/>
          <w:szCs w:val="48"/>
        </w:rPr>
        <w:t>委托经营项目</w:t>
      </w:r>
    </w:p>
    <w:p>
      <w:pPr>
        <w:tabs>
          <w:tab w:val="left" w:pos="3780"/>
        </w:tabs>
        <w:jc w:val="center"/>
        <w:rPr>
          <w:rFonts w:ascii="宋体"/>
          <w:b/>
          <w:color w:val="000000"/>
          <w:sz w:val="84"/>
          <w:szCs w:val="84"/>
        </w:rPr>
      </w:pPr>
    </w:p>
    <w:p>
      <w:pPr>
        <w:tabs>
          <w:tab w:val="left" w:pos="3780"/>
        </w:tabs>
        <w:jc w:val="center"/>
        <w:rPr>
          <w:rFonts w:ascii="宋体"/>
          <w:b/>
          <w:color w:val="000000"/>
          <w:sz w:val="84"/>
          <w:szCs w:val="84"/>
        </w:rPr>
      </w:pPr>
    </w:p>
    <w:p>
      <w:pPr>
        <w:tabs>
          <w:tab w:val="left" w:pos="3780"/>
        </w:tabs>
        <w:jc w:val="center"/>
        <w:rPr>
          <w:rFonts w:hint="eastAsia" w:ascii="宋体" w:hAnsi="宋体"/>
          <w:b/>
          <w:color w:val="000000"/>
          <w:sz w:val="48"/>
          <w:szCs w:val="48"/>
          <w:lang w:eastAsia="zh-CN"/>
        </w:rPr>
      </w:pPr>
      <w:r>
        <w:rPr>
          <w:rFonts w:hint="eastAsia" w:ascii="宋体" w:hAnsi="宋体"/>
          <w:b/>
          <w:color w:val="000000"/>
          <w:sz w:val="48"/>
          <w:szCs w:val="48"/>
          <w:lang w:eastAsia="zh-CN"/>
        </w:rPr>
        <w:t>采购需求</w:t>
      </w:r>
    </w:p>
    <w:p>
      <w:pPr>
        <w:tabs>
          <w:tab w:val="left" w:pos="3780"/>
        </w:tabs>
        <w:jc w:val="center"/>
        <w:rPr>
          <w:rFonts w:ascii="宋体"/>
          <w:b/>
          <w:color w:val="000000"/>
          <w:sz w:val="48"/>
          <w:szCs w:val="48"/>
        </w:rPr>
      </w:pPr>
      <w:r>
        <w:rPr>
          <w:rFonts w:hint="eastAsia" w:ascii="宋体" w:hAnsi="宋体"/>
          <w:b/>
          <w:color w:val="000000"/>
          <w:sz w:val="48"/>
          <w:szCs w:val="48"/>
        </w:rPr>
        <w:t>（第</w:t>
      </w:r>
      <w:r>
        <w:rPr>
          <w:rFonts w:hint="eastAsia" w:ascii="宋体" w:hAnsi="宋体"/>
          <w:b/>
          <w:color w:val="000000"/>
          <w:sz w:val="48"/>
          <w:szCs w:val="48"/>
          <w:lang w:val="en-US" w:eastAsia="zh-CN"/>
        </w:rPr>
        <w:t>五</w:t>
      </w:r>
      <w:r>
        <w:rPr>
          <w:rFonts w:hint="eastAsia" w:ascii="宋体" w:hAnsi="宋体"/>
          <w:b/>
          <w:color w:val="000000"/>
          <w:sz w:val="48"/>
          <w:szCs w:val="48"/>
        </w:rPr>
        <w:t>标段）</w:t>
      </w:r>
    </w:p>
    <w:p>
      <w:pPr>
        <w:spacing w:line="500" w:lineRule="exact"/>
        <w:ind w:firstLine="3344" w:firstLineChars="1045"/>
        <w:rPr>
          <w:rFonts w:ascii="宋体"/>
          <w:color w:val="000000"/>
          <w:sz w:val="32"/>
        </w:rPr>
      </w:pPr>
    </w:p>
    <w:p>
      <w:pPr>
        <w:spacing w:line="500" w:lineRule="exact"/>
        <w:ind w:firstLine="784" w:firstLineChars="245"/>
        <w:rPr>
          <w:rFonts w:ascii="宋体"/>
          <w:color w:val="000000"/>
          <w:sz w:val="32"/>
        </w:rPr>
      </w:pPr>
    </w:p>
    <w:p>
      <w:pPr>
        <w:spacing w:line="500" w:lineRule="exact"/>
        <w:ind w:firstLine="784" w:firstLineChars="245"/>
        <w:rPr>
          <w:rFonts w:ascii="宋体"/>
          <w:color w:val="000000"/>
          <w:sz w:val="32"/>
        </w:rPr>
      </w:pPr>
    </w:p>
    <w:p>
      <w:pPr>
        <w:spacing w:line="900" w:lineRule="exact"/>
        <w:ind w:firstLine="1928" w:firstLineChars="600"/>
        <w:rPr>
          <w:rFonts w:ascii="宋体"/>
          <w:b/>
          <w:color w:val="000000"/>
          <w:sz w:val="32"/>
        </w:rPr>
      </w:pPr>
      <w:r>
        <w:rPr>
          <w:rFonts w:hint="eastAsia" w:ascii="宋体" w:hAnsi="宋体"/>
          <w:b/>
          <w:color w:val="000000"/>
          <w:sz w:val="32"/>
          <w:lang w:eastAsia="zh-CN"/>
        </w:rPr>
        <w:t>采</w:t>
      </w:r>
      <w:r>
        <w:rPr>
          <w:rFonts w:hint="eastAsia" w:ascii="宋体" w:hAnsi="宋体"/>
          <w:b/>
          <w:color w:val="000000"/>
          <w:sz w:val="32"/>
          <w:lang w:val="en-US" w:eastAsia="zh-CN"/>
        </w:rPr>
        <w:t xml:space="preserve">   </w:t>
      </w:r>
      <w:r>
        <w:rPr>
          <w:rFonts w:hint="eastAsia" w:ascii="宋体" w:hAnsi="宋体"/>
          <w:b/>
          <w:color w:val="000000"/>
          <w:sz w:val="32"/>
          <w:lang w:eastAsia="zh-CN"/>
        </w:rPr>
        <w:t>购</w:t>
      </w:r>
      <w:r>
        <w:rPr>
          <w:rFonts w:hint="eastAsia" w:ascii="宋体" w:hAnsi="宋体"/>
          <w:b/>
          <w:color w:val="000000"/>
          <w:sz w:val="32"/>
        </w:rPr>
        <w:t xml:space="preserve">   人：西安交通大学</w:t>
      </w:r>
    </w:p>
    <w:p>
      <w:pPr>
        <w:tabs>
          <w:tab w:val="left" w:pos="7087"/>
        </w:tabs>
        <w:snapToGrid w:val="0"/>
        <w:rPr>
          <w:rFonts w:ascii="宋体"/>
          <w:b/>
          <w:color w:val="000000"/>
          <w:sz w:val="32"/>
        </w:rPr>
      </w:pPr>
    </w:p>
    <w:p>
      <w:pPr>
        <w:pStyle w:val="2"/>
        <w:rPr>
          <w:rFonts w:hint="default"/>
          <w:color w:val="000000"/>
        </w:rPr>
      </w:pPr>
    </w:p>
    <w:p>
      <w:pPr>
        <w:tabs>
          <w:tab w:val="left" w:pos="7087"/>
        </w:tabs>
        <w:snapToGrid w:val="0"/>
        <w:ind w:firstLine="1928" w:firstLineChars="600"/>
        <w:rPr>
          <w:rFonts w:ascii="宋体"/>
          <w:b/>
          <w:color w:val="000000"/>
          <w:sz w:val="32"/>
        </w:rPr>
      </w:pPr>
      <w:r>
        <w:rPr>
          <w:rFonts w:hint="eastAsia" w:ascii="宋体" w:hAnsi="宋体"/>
          <w:b/>
          <w:color w:val="000000"/>
          <w:sz w:val="32"/>
        </w:rPr>
        <w:t>日        期：二〇二二年</w:t>
      </w:r>
      <w:r>
        <w:rPr>
          <w:rFonts w:hint="eastAsia" w:ascii="宋体" w:hAnsi="宋体"/>
          <w:b/>
          <w:color w:val="000000"/>
          <w:sz w:val="32"/>
          <w:lang w:val="en-US" w:eastAsia="zh-CN"/>
        </w:rPr>
        <w:t>八</w:t>
      </w:r>
      <w:r>
        <w:rPr>
          <w:rFonts w:hint="eastAsia" w:ascii="宋体" w:hAnsi="宋体"/>
          <w:b/>
          <w:color w:val="000000"/>
          <w:sz w:val="32"/>
        </w:rPr>
        <w:t>月</w:t>
      </w:r>
    </w:p>
    <w:p>
      <w:pPr>
        <w:spacing w:before="240" w:after="60" w:line="360" w:lineRule="auto"/>
        <w:jc w:val="center"/>
        <w:outlineLvl w:val="0"/>
        <w:rPr>
          <w:rFonts w:ascii="宋体" w:hAnsi="宋体" w:cs="宋体"/>
          <w:b/>
          <w:bCs/>
          <w:color w:val="000000"/>
          <w:sz w:val="36"/>
          <w:szCs w:val="32"/>
        </w:rPr>
      </w:pPr>
    </w:p>
    <w:p>
      <w:pPr>
        <w:spacing w:before="240" w:after="60" w:line="360" w:lineRule="auto"/>
        <w:jc w:val="center"/>
        <w:outlineLvl w:val="0"/>
        <w:rPr>
          <w:rFonts w:ascii="宋体" w:hAnsi="宋体" w:cs="宋体"/>
          <w:b/>
          <w:bCs/>
          <w:color w:val="000000"/>
          <w:sz w:val="36"/>
          <w:szCs w:val="32"/>
        </w:rPr>
      </w:pPr>
    </w:p>
    <w:p>
      <w:pPr>
        <w:spacing w:before="240" w:after="60" w:line="360" w:lineRule="auto"/>
        <w:jc w:val="center"/>
        <w:outlineLvl w:val="0"/>
        <w:rPr>
          <w:rFonts w:ascii="宋体" w:hAnsi="宋体" w:cs="宋体"/>
          <w:b/>
          <w:bCs/>
          <w:color w:val="000000"/>
          <w:sz w:val="36"/>
          <w:szCs w:val="32"/>
        </w:rPr>
      </w:pPr>
    </w:p>
    <w:p>
      <w:pPr>
        <w:pStyle w:val="2"/>
        <w:rPr>
          <w:rFonts w:ascii="宋体" w:hAnsi="宋体" w:cs="宋体"/>
          <w:b/>
          <w:bCs/>
          <w:color w:val="000000"/>
          <w:sz w:val="36"/>
          <w:szCs w:val="32"/>
        </w:rPr>
      </w:pPr>
    </w:p>
    <w:p>
      <w:pPr>
        <w:spacing w:before="240" w:after="60" w:line="360" w:lineRule="auto"/>
        <w:jc w:val="center"/>
        <w:outlineLvl w:val="0"/>
        <w:rPr>
          <w:rFonts w:ascii="宋体" w:hAnsi="宋体" w:cs="宋体"/>
          <w:b/>
          <w:bCs/>
          <w:color w:val="000000"/>
          <w:sz w:val="36"/>
          <w:szCs w:val="32"/>
        </w:rPr>
      </w:pPr>
      <w:r>
        <w:rPr>
          <w:rFonts w:hint="eastAsia" w:ascii="宋体" w:hAnsi="宋体" w:cs="宋体"/>
          <w:b/>
          <w:bCs/>
          <w:color w:val="000000"/>
          <w:sz w:val="36"/>
          <w:szCs w:val="32"/>
        </w:rPr>
        <w:t xml:space="preserve">第一章 </w:t>
      </w:r>
      <w:r>
        <w:rPr>
          <w:rFonts w:hint="eastAsia" w:ascii="宋体" w:hAnsi="宋体" w:cs="宋体"/>
          <w:b/>
          <w:bCs/>
          <w:color w:val="000000"/>
          <w:sz w:val="36"/>
          <w:szCs w:val="32"/>
          <w:lang w:eastAsia="zh-CN"/>
        </w:rPr>
        <w:t>项目整体情况及合格投标人条件</w:t>
      </w:r>
    </w:p>
    <w:p>
      <w:pPr>
        <w:widowControl/>
        <w:spacing w:line="460" w:lineRule="exact"/>
        <w:ind w:firstLine="585"/>
        <w:jc w:val="left"/>
        <w:textAlignment w:val="baseline"/>
        <w:rPr>
          <w:rFonts w:hAnsi="宋体"/>
          <w:color w:val="000000"/>
          <w:szCs w:val="21"/>
        </w:rPr>
      </w:pPr>
      <w:bookmarkStart w:id="4" w:name="OLE_LINK1"/>
      <w:r>
        <w:rPr>
          <w:rFonts w:hint="eastAsia" w:hAnsi="宋体"/>
          <w:color w:val="000000"/>
          <w:szCs w:val="21"/>
        </w:rPr>
        <w:t>为进一步做好西安交通大学创新港学生食堂工作，提高服务质量，做好基本伙食保障的同时满足师生多元化饮食需求，现对创新港学生食堂进行公开招</w:t>
      </w:r>
      <w:r>
        <w:rPr>
          <w:rFonts w:hint="eastAsia" w:hAnsi="宋体"/>
          <w:color w:val="000000"/>
          <w:szCs w:val="21"/>
          <w:lang w:eastAsia="zh-CN"/>
        </w:rPr>
        <w:t>租</w:t>
      </w:r>
      <w:r>
        <w:rPr>
          <w:rFonts w:hint="eastAsia" w:hAnsi="宋体"/>
          <w:color w:val="000000"/>
          <w:szCs w:val="21"/>
        </w:rPr>
        <w:t>。</w:t>
      </w:r>
    </w:p>
    <w:bookmarkEnd w:id="4"/>
    <w:p>
      <w:pPr>
        <w:tabs>
          <w:tab w:val="left" w:pos="900"/>
        </w:tabs>
        <w:spacing w:line="460" w:lineRule="exact"/>
        <w:ind w:firstLine="422" w:firstLineChars="200"/>
        <w:rPr>
          <w:rFonts w:hAnsi="宋体"/>
          <w:b/>
          <w:color w:val="000000"/>
          <w:szCs w:val="21"/>
        </w:rPr>
      </w:pPr>
      <w:r>
        <w:rPr>
          <w:rFonts w:hint="eastAsia" w:hAnsi="宋体"/>
          <w:b/>
          <w:color w:val="000000"/>
          <w:szCs w:val="21"/>
        </w:rPr>
        <w:t>一、项目名称：西安交通大学创新港学生食堂委托经营项目</w:t>
      </w:r>
    </w:p>
    <w:p>
      <w:pPr>
        <w:tabs>
          <w:tab w:val="left" w:pos="900"/>
        </w:tabs>
        <w:spacing w:line="460" w:lineRule="exact"/>
        <w:ind w:firstLine="422" w:firstLineChars="200"/>
        <w:rPr>
          <w:rFonts w:hAnsi="宋体"/>
          <w:b/>
          <w:color w:val="000000"/>
          <w:szCs w:val="21"/>
        </w:rPr>
      </w:pPr>
      <w:r>
        <w:rPr>
          <w:rFonts w:hint="eastAsia" w:hAnsi="宋体"/>
          <w:b/>
          <w:color w:val="000000"/>
          <w:szCs w:val="21"/>
        </w:rPr>
        <w:t>二、项目概况和招标内容</w:t>
      </w:r>
    </w:p>
    <w:p>
      <w:pPr>
        <w:widowControl/>
        <w:spacing w:line="460" w:lineRule="exact"/>
        <w:ind w:firstLine="585"/>
        <w:jc w:val="left"/>
        <w:textAlignment w:val="baseline"/>
        <w:rPr>
          <w:rFonts w:hAnsi="宋体"/>
          <w:color w:val="000000"/>
          <w:szCs w:val="21"/>
        </w:rPr>
      </w:pPr>
      <w:r>
        <w:rPr>
          <w:rFonts w:hint="eastAsia" w:hAnsi="宋体"/>
          <w:color w:val="000000"/>
          <w:szCs w:val="21"/>
        </w:rPr>
        <w:t>1、项目概况：西安交大创新港占地5500亩，是集社区、园区、校区三区一体的智慧型学镇，区内一期在校研究生15700人，教职工3000人。此次引入品牌餐饮、风味小吃、专业化餐饮企业对创新港和鸣苑、惠风苑、朗清苑三个单体楼餐厅提供饮食服务及经营管理，为学生提供基本大伙，全国各地风味小吃、中餐、西餐、民族餐饮等美食。</w:t>
      </w:r>
    </w:p>
    <w:p>
      <w:pPr>
        <w:widowControl/>
        <w:spacing w:line="460" w:lineRule="exact"/>
        <w:ind w:firstLine="585"/>
        <w:jc w:val="left"/>
        <w:textAlignment w:val="baseline"/>
        <w:rPr>
          <w:rFonts w:hAnsi="宋体"/>
          <w:color w:val="000000"/>
          <w:szCs w:val="21"/>
        </w:rPr>
      </w:pPr>
      <w:r>
        <w:rPr>
          <w:rFonts w:hint="eastAsia" w:hAnsi="宋体"/>
          <w:color w:val="000000"/>
          <w:szCs w:val="21"/>
        </w:rPr>
        <w:t>2、运行模式：西安交通大学创新港学生食堂采用服务外包、全成本核算、专业监管、优胜劣汰的运行模式，委托餐饮公司自主经营管理。</w:t>
      </w:r>
    </w:p>
    <w:p>
      <w:pPr>
        <w:widowControl/>
        <w:spacing w:line="460" w:lineRule="exact"/>
        <w:ind w:firstLine="585"/>
        <w:jc w:val="left"/>
        <w:textAlignment w:val="baseline"/>
        <w:rPr>
          <w:rFonts w:hAnsi="宋体"/>
          <w:color w:val="000000"/>
          <w:szCs w:val="21"/>
        </w:rPr>
      </w:pPr>
      <w:r>
        <w:rPr>
          <w:rFonts w:hint="eastAsia" w:hAnsi="宋体"/>
          <w:color w:val="000000"/>
          <w:szCs w:val="21"/>
        </w:rPr>
        <w:t> 3、标段划分：本项目共分为5个标段</w:t>
      </w:r>
    </w:p>
    <w:tbl>
      <w:tblPr>
        <w:tblStyle w:val="19"/>
        <w:tblW w:w="84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791"/>
        <w:gridCol w:w="1166"/>
        <w:gridCol w:w="865"/>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376"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标段</w:t>
            </w:r>
          </w:p>
        </w:tc>
        <w:tc>
          <w:tcPr>
            <w:tcW w:w="1791"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食堂</w:t>
            </w:r>
          </w:p>
        </w:tc>
        <w:tc>
          <w:tcPr>
            <w:tcW w:w="1166"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面积</w:t>
            </w:r>
          </w:p>
          <w:p>
            <w:pPr>
              <w:widowControl/>
              <w:spacing w:line="460" w:lineRule="exact"/>
              <w:jc w:val="center"/>
              <w:textAlignment w:val="baseline"/>
              <w:rPr>
                <w:rFonts w:hAnsi="宋体"/>
                <w:color w:val="000000"/>
                <w:szCs w:val="21"/>
              </w:rPr>
            </w:pPr>
            <w:r>
              <w:rPr>
                <w:rFonts w:hint="eastAsia" w:hAnsi="宋体"/>
                <w:color w:val="000000"/>
                <w:szCs w:val="21"/>
              </w:rPr>
              <w:t>（平方米）</w:t>
            </w:r>
          </w:p>
        </w:tc>
        <w:tc>
          <w:tcPr>
            <w:tcW w:w="865"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座位数</w:t>
            </w:r>
          </w:p>
          <w:p>
            <w:pPr>
              <w:widowControl/>
              <w:spacing w:line="460" w:lineRule="exact"/>
              <w:jc w:val="center"/>
              <w:textAlignment w:val="baseline"/>
              <w:rPr>
                <w:rFonts w:hAnsi="宋体"/>
                <w:color w:val="000000"/>
                <w:szCs w:val="21"/>
              </w:rPr>
            </w:pPr>
            <w:r>
              <w:rPr>
                <w:rFonts w:hint="eastAsia" w:hAnsi="宋体"/>
                <w:color w:val="000000"/>
                <w:szCs w:val="21"/>
              </w:rPr>
              <w:t>（个）</w:t>
            </w:r>
          </w:p>
        </w:tc>
        <w:tc>
          <w:tcPr>
            <w:tcW w:w="3229"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内容描述</w:t>
            </w:r>
          </w:p>
          <w:p>
            <w:pPr>
              <w:widowControl/>
              <w:spacing w:line="460" w:lineRule="exact"/>
              <w:jc w:val="center"/>
              <w:textAlignment w:val="baseline"/>
              <w:rPr>
                <w:rFonts w:hAnsi="宋体"/>
                <w:color w:val="000000"/>
                <w:szCs w:val="21"/>
              </w:rPr>
            </w:pPr>
            <w:r>
              <w:rPr>
                <w:rFonts w:hint="eastAsia" w:hAnsi="宋体"/>
                <w:color w:val="000000"/>
                <w:szCs w:val="21"/>
              </w:rPr>
              <w:t>（具体详见招标文件服务需求）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376"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第一标段</w:t>
            </w:r>
          </w:p>
        </w:tc>
        <w:tc>
          <w:tcPr>
            <w:tcW w:w="1791"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朗清苑食堂</w:t>
            </w:r>
          </w:p>
        </w:tc>
        <w:tc>
          <w:tcPr>
            <w:tcW w:w="1166"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6363</w:t>
            </w:r>
          </w:p>
        </w:tc>
        <w:tc>
          <w:tcPr>
            <w:tcW w:w="865"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1034</w:t>
            </w:r>
          </w:p>
        </w:tc>
        <w:tc>
          <w:tcPr>
            <w:tcW w:w="3229"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30%以上窗口由餐饮公司自营</w:t>
            </w:r>
          </w:p>
          <w:p>
            <w:pPr>
              <w:widowControl/>
              <w:spacing w:line="460" w:lineRule="exact"/>
              <w:jc w:val="center"/>
              <w:textAlignment w:val="baseline"/>
              <w:rPr>
                <w:rFonts w:hAnsi="宋体"/>
                <w:color w:val="000000"/>
                <w:szCs w:val="21"/>
              </w:rPr>
            </w:pPr>
            <w:r>
              <w:rPr>
                <w:rFonts w:hint="eastAsia" w:hAnsi="宋体"/>
                <w:color w:val="000000"/>
                <w:szCs w:val="21"/>
              </w:rPr>
              <w:t>30%以上窗口为基本大伙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376"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第二标段</w:t>
            </w:r>
          </w:p>
        </w:tc>
        <w:tc>
          <w:tcPr>
            <w:tcW w:w="1791"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和鸣苑食堂二三层</w:t>
            </w:r>
          </w:p>
        </w:tc>
        <w:tc>
          <w:tcPr>
            <w:tcW w:w="1166"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4169</w:t>
            </w:r>
          </w:p>
        </w:tc>
        <w:tc>
          <w:tcPr>
            <w:tcW w:w="865"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974</w:t>
            </w:r>
          </w:p>
        </w:tc>
        <w:tc>
          <w:tcPr>
            <w:tcW w:w="3229"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30%以上窗口由餐饮公司自营</w:t>
            </w:r>
          </w:p>
          <w:p>
            <w:pPr>
              <w:widowControl/>
              <w:spacing w:line="460" w:lineRule="exact"/>
              <w:jc w:val="center"/>
              <w:textAlignment w:val="baseline"/>
              <w:rPr>
                <w:rFonts w:hAnsi="宋体"/>
                <w:color w:val="000000"/>
                <w:szCs w:val="21"/>
              </w:rPr>
            </w:pPr>
            <w:r>
              <w:rPr>
                <w:rFonts w:hint="eastAsia" w:hAnsi="宋体"/>
                <w:color w:val="000000"/>
                <w:szCs w:val="21"/>
              </w:rPr>
              <w:t>30%以上窗口为基本大伙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376"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第三标段</w:t>
            </w:r>
          </w:p>
        </w:tc>
        <w:tc>
          <w:tcPr>
            <w:tcW w:w="1791"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惠风苑食堂一三层</w:t>
            </w:r>
          </w:p>
        </w:tc>
        <w:tc>
          <w:tcPr>
            <w:tcW w:w="1166"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2571</w:t>
            </w:r>
          </w:p>
        </w:tc>
        <w:tc>
          <w:tcPr>
            <w:tcW w:w="865"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676</w:t>
            </w:r>
          </w:p>
        </w:tc>
        <w:tc>
          <w:tcPr>
            <w:tcW w:w="3229"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30%以上窗口由餐饮公司自营</w:t>
            </w:r>
          </w:p>
          <w:p>
            <w:pPr>
              <w:widowControl/>
              <w:spacing w:line="460" w:lineRule="exact"/>
              <w:jc w:val="center"/>
              <w:textAlignment w:val="baseline"/>
              <w:rPr>
                <w:rFonts w:hAnsi="宋体"/>
                <w:color w:val="000000"/>
                <w:szCs w:val="21"/>
              </w:rPr>
            </w:pPr>
            <w:r>
              <w:rPr>
                <w:rFonts w:hint="eastAsia" w:hAnsi="宋体"/>
                <w:color w:val="000000"/>
                <w:szCs w:val="21"/>
              </w:rPr>
              <w:t>30%以上窗口为基本大伙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376"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第四标段</w:t>
            </w:r>
          </w:p>
        </w:tc>
        <w:tc>
          <w:tcPr>
            <w:tcW w:w="1791"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和鸣苑食堂一层</w:t>
            </w:r>
          </w:p>
        </w:tc>
        <w:tc>
          <w:tcPr>
            <w:tcW w:w="1166"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2084</w:t>
            </w:r>
          </w:p>
        </w:tc>
        <w:tc>
          <w:tcPr>
            <w:tcW w:w="865"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324</w:t>
            </w:r>
          </w:p>
        </w:tc>
        <w:tc>
          <w:tcPr>
            <w:tcW w:w="3229"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30%以上窗口由餐饮公司自营</w:t>
            </w:r>
          </w:p>
          <w:p>
            <w:pPr>
              <w:widowControl/>
              <w:spacing w:line="460" w:lineRule="exact"/>
              <w:jc w:val="center"/>
              <w:textAlignment w:val="baseline"/>
              <w:rPr>
                <w:rFonts w:hAnsi="宋体"/>
                <w:color w:val="000000"/>
                <w:szCs w:val="21"/>
              </w:rPr>
            </w:pPr>
            <w:r>
              <w:rPr>
                <w:rFonts w:hint="eastAsia" w:hAnsi="宋体"/>
                <w:color w:val="000000"/>
                <w:szCs w:val="21"/>
              </w:rPr>
              <w:t>30%以上窗口为基本大伙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376" w:type="dxa"/>
            <w:vAlign w:val="center"/>
          </w:tcPr>
          <w:p>
            <w:pPr>
              <w:widowControl/>
              <w:spacing w:line="460" w:lineRule="exact"/>
              <w:jc w:val="center"/>
              <w:textAlignment w:val="baseline"/>
              <w:rPr>
                <w:color w:val="000000"/>
              </w:rPr>
            </w:pPr>
            <w:r>
              <w:rPr>
                <w:rFonts w:hint="eastAsia"/>
                <w:color w:val="000000"/>
              </w:rPr>
              <w:t>第五标段</w:t>
            </w:r>
          </w:p>
          <w:p>
            <w:pPr>
              <w:widowControl/>
              <w:spacing w:line="460" w:lineRule="exact"/>
              <w:jc w:val="center"/>
              <w:textAlignment w:val="baseline"/>
              <w:rPr>
                <w:rFonts w:eastAsia="黑体"/>
                <w:color w:val="000000"/>
              </w:rPr>
            </w:pPr>
            <w:r>
              <w:rPr>
                <w:rFonts w:hint="eastAsia"/>
                <w:color w:val="000000"/>
              </w:rPr>
              <w:t>（民族餐厅）</w:t>
            </w:r>
          </w:p>
        </w:tc>
        <w:tc>
          <w:tcPr>
            <w:tcW w:w="1791"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涵英楼餐厅</w:t>
            </w:r>
          </w:p>
          <w:p>
            <w:pPr>
              <w:widowControl/>
              <w:spacing w:line="460" w:lineRule="exact"/>
              <w:jc w:val="center"/>
              <w:textAlignment w:val="baseline"/>
              <w:rPr>
                <w:rFonts w:hAnsi="宋体"/>
                <w:color w:val="000000"/>
                <w:szCs w:val="21"/>
              </w:rPr>
            </w:pPr>
            <w:r>
              <w:rPr>
                <w:rFonts w:hint="eastAsia" w:hAnsi="宋体"/>
                <w:color w:val="000000"/>
                <w:szCs w:val="21"/>
              </w:rPr>
              <w:t>惠风苑食堂二层</w:t>
            </w:r>
          </w:p>
        </w:tc>
        <w:tc>
          <w:tcPr>
            <w:tcW w:w="1166" w:type="dxa"/>
            <w:vAlign w:val="center"/>
          </w:tcPr>
          <w:p>
            <w:pPr>
              <w:widowControl/>
              <w:spacing w:line="460" w:lineRule="exact"/>
              <w:jc w:val="center"/>
              <w:textAlignment w:val="baseline"/>
              <w:rPr>
                <w:rFonts w:hint="eastAsia" w:hAnsi="宋体"/>
                <w:color w:val="000000"/>
                <w:szCs w:val="21"/>
                <w:lang w:eastAsia="zh-CN"/>
              </w:rPr>
            </w:pPr>
            <w:r>
              <w:rPr>
                <w:rFonts w:hint="eastAsia" w:hAnsi="宋体"/>
                <w:color w:val="000000"/>
                <w:szCs w:val="21"/>
                <w:lang w:eastAsia="zh-CN"/>
              </w:rPr>
              <w:t>3785</w:t>
            </w:r>
          </w:p>
        </w:tc>
        <w:tc>
          <w:tcPr>
            <w:tcW w:w="865" w:type="dxa"/>
            <w:vAlign w:val="center"/>
          </w:tcPr>
          <w:p>
            <w:pPr>
              <w:widowControl/>
              <w:spacing w:line="460" w:lineRule="exact"/>
              <w:jc w:val="center"/>
              <w:textAlignment w:val="baseline"/>
              <w:rPr>
                <w:rFonts w:hint="eastAsia" w:hAnsi="宋体"/>
                <w:color w:val="000000"/>
                <w:szCs w:val="21"/>
                <w:lang w:eastAsia="zh-CN"/>
              </w:rPr>
            </w:pPr>
            <w:r>
              <w:rPr>
                <w:rFonts w:hint="eastAsia" w:hAnsi="宋体"/>
                <w:color w:val="000000"/>
                <w:szCs w:val="21"/>
                <w:lang w:eastAsia="zh-CN"/>
              </w:rPr>
              <w:t>1032</w:t>
            </w:r>
          </w:p>
        </w:tc>
        <w:tc>
          <w:tcPr>
            <w:tcW w:w="3229" w:type="dxa"/>
            <w:vAlign w:val="center"/>
          </w:tcPr>
          <w:p>
            <w:pPr>
              <w:widowControl/>
              <w:spacing w:line="460" w:lineRule="exact"/>
              <w:jc w:val="center"/>
              <w:textAlignment w:val="baseline"/>
              <w:rPr>
                <w:rFonts w:hAnsi="宋体"/>
                <w:color w:val="000000"/>
                <w:szCs w:val="21"/>
              </w:rPr>
            </w:pPr>
            <w:r>
              <w:rPr>
                <w:rFonts w:hint="eastAsia" w:hAnsi="宋体"/>
                <w:color w:val="000000"/>
                <w:szCs w:val="21"/>
              </w:rPr>
              <w:t>30%以上窗口由餐饮公司自营</w:t>
            </w:r>
          </w:p>
          <w:p>
            <w:pPr>
              <w:widowControl/>
              <w:spacing w:line="460" w:lineRule="exact"/>
              <w:jc w:val="center"/>
              <w:textAlignment w:val="baseline"/>
              <w:rPr>
                <w:rFonts w:hAnsi="宋体"/>
                <w:color w:val="000000"/>
                <w:szCs w:val="21"/>
              </w:rPr>
            </w:pPr>
            <w:r>
              <w:rPr>
                <w:rFonts w:hint="eastAsia" w:hAnsi="宋体"/>
                <w:color w:val="000000"/>
                <w:szCs w:val="21"/>
              </w:rPr>
              <w:t>30%以上窗口为基本大伙</w:t>
            </w:r>
          </w:p>
        </w:tc>
      </w:tr>
    </w:tbl>
    <w:p>
      <w:pPr>
        <w:widowControl/>
        <w:spacing w:line="460" w:lineRule="exact"/>
        <w:ind w:firstLine="585"/>
        <w:jc w:val="left"/>
        <w:textAlignment w:val="baseline"/>
        <w:rPr>
          <w:rFonts w:hAnsi="宋体"/>
          <w:color w:val="000000"/>
          <w:szCs w:val="21"/>
        </w:rPr>
      </w:pPr>
      <w:r>
        <w:rPr>
          <w:rFonts w:hint="eastAsia" w:hAnsi="宋体"/>
          <w:color w:val="000000"/>
          <w:szCs w:val="21"/>
        </w:rPr>
        <w:t>4、合作经营服务期限：委托经营期限为5年。5年招标期内，</w:t>
      </w:r>
      <w:r>
        <w:rPr>
          <w:rFonts w:hint="eastAsia" w:hAnsi="宋体"/>
          <w:color w:val="000000"/>
          <w:szCs w:val="21"/>
          <w:lang w:eastAsia="zh-CN"/>
        </w:rPr>
        <w:t>采购人</w:t>
      </w:r>
      <w:r>
        <w:rPr>
          <w:rFonts w:hint="eastAsia" w:hAnsi="宋体"/>
          <w:color w:val="000000"/>
          <w:szCs w:val="21"/>
        </w:rPr>
        <w:t>每年对</w:t>
      </w:r>
      <w:r>
        <w:rPr>
          <w:rFonts w:hint="eastAsia" w:hAnsi="宋体"/>
          <w:color w:val="000000"/>
          <w:szCs w:val="21"/>
          <w:lang w:eastAsia="zh-CN"/>
        </w:rPr>
        <w:t>投标人</w:t>
      </w:r>
      <w:r>
        <w:rPr>
          <w:rFonts w:hint="eastAsia" w:hAnsi="宋体"/>
          <w:color w:val="000000"/>
          <w:szCs w:val="21"/>
        </w:rPr>
        <w:t>进行考核，考核不合格或未履行投标文件的餐饮公司直接清退，年度考核合格的餐饮公司直接续签下一年度合同。</w:t>
      </w:r>
    </w:p>
    <w:p>
      <w:pPr>
        <w:widowControl/>
        <w:spacing w:line="460" w:lineRule="exact"/>
        <w:ind w:firstLine="585"/>
        <w:jc w:val="left"/>
        <w:textAlignment w:val="baseline"/>
        <w:rPr>
          <w:rFonts w:hAnsi="宋体"/>
          <w:color w:val="000000"/>
          <w:szCs w:val="21"/>
        </w:rPr>
      </w:pPr>
      <w:r>
        <w:rPr>
          <w:rFonts w:hint="eastAsia" w:hAnsi="宋体"/>
          <w:color w:val="000000"/>
          <w:szCs w:val="21"/>
        </w:rPr>
        <w:t>5、项目地点：西安交通大学创新港学生食堂（陕西省西咸新区沣西新城中国西部科技创新港）</w:t>
      </w:r>
      <w:bookmarkStart w:id="39" w:name="_GoBack"/>
      <w:bookmarkEnd w:id="39"/>
    </w:p>
    <w:p>
      <w:pPr>
        <w:widowControl/>
        <w:spacing w:line="460" w:lineRule="exact"/>
        <w:ind w:firstLine="585"/>
        <w:jc w:val="left"/>
        <w:textAlignment w:val="baseline"/>
        <w:rPr>
          <w:rFonts w:hAnsi="宋体"/>
          <w:color w:val="000000"/>
          <w:szCs w:val="21"/>
        </w:rPr>
      </w:pPr>
      <w:r>
        <w:rPr>
          <w:rFonts w:hint="eastAsia" w:hAnsi="宋体"/>
          <w:color w:val="000000"/>
          <w:szCs w:val="21"/>
        </w:rPr>
        <w:t>6、西安交通大学提供经营场所及基本设备设施。</w:t>
      </w:r>
      <w:r>
        <w:rPr>
          <w:rFonts w:hint="eastAsia" w:hAnsi="宋体"/>
          <w:color w:val="000000"/>
          <w:szCs w:val="21"/>
          <w:lang w:eastAsia="zh-CN"/>
        </w:rPr>
        <w:t>投标人</w:t>
      </w:r>
      <w:r>
        <w:rPr>
          <w:rFonts w:hint="eastAsia" w:hAnsi="宋体"/>
          <w:color w:val="000000"/>
          <w:szCs w:val="21"/>
        </w:rPr>
        <w:t>不得擅自对经营场所内基本设备设施进行改动或改造。 </w:t>
      </w:r>
    </w:p>
    <w:p>
      <w:pPr>
        <w:widowControl/>
        <w:spacing w:line="460" w:lineRule="exact"/>
        <w:ind w:firstLine="585"/>
        <w:jc w:val="left"/>
        <w:textAlignment w:val="baseline"/>
        <w:rPr>
          <w:rFonts w:hAnsi="宋体"/>
          <w:color w:val="000000"/>
          <w:szCs w:val="21"/>
        </w:rPr>
      </w:pPr>
      <w:r>
        <w:rPr>
          <w:rFonts w:hint="eastAsia" w:hAnsi="宋体"/>
          <w:color w:val="000000"/>
          <w:szCs w:val="21"/>
        </w:rPr>
        <w:t>7、所有食品原材料供货商须经学校审核备案通过，物资采购统一在采购平台操作。</w:t>
      </w:r>
    </w:p>
    <w:p>
      <w:pPr>
        <w:widowControl/>
        <w:spacing w:line="460" w:lineRule="exact"/>
        <w:ind w:firstLine="585"/>
        <w:jc w:val="left"/>
        <w:textAlignment w:val="baseline"/>
        <w:rPr>
          <w:rFonts w:hAnsi="宋体"/>
          <w:color w:val="000000"/>
          <w:szCs w:val="21"/>
        </w:rPr>
      </w:pPr>
      <w:r>
        <w:rPr>
          <w:rFonts w:hint="eastAsia" w:hAnsi="宋体"/>
          <w:color w:val="000000"/>
          <w:szCs w:val="21"/>
        </w:rPr>
        <w:t>8、本项目采用固定比例设备使用费招标，</w:t>
      </w:r>
      <w:r>
        <w:rPr>
          <w:rFonts w:hint="eastAsia" w:hAnsi="宋体"/>
          <w:color w:val="000000"/>
          <w:szCs w:val="21"/>
          <w:lang w:eastAsia="zh-CN"/>
        </w:rPr>
        <w:t>投标人</w:t>
      </w:r>
      <w:r>
        <w:rPr>
          <w:rFonts w:hint="eastAsia" w:hAnsi="宋体"/>
          <w:color w:val="000000"/>
          <w:szCs w:val="21"/>
        </w:rPr>
        <w:t>无须进行报价，其价格不列为评审因素。</w:t>
      </w:r>
      <w:r>
        <w:rPr>
          <w:rFonts w:hint="eastAsia" w:hAnsi="宋体"/>
          <w:color w:val="000000"/>
          <w:szCs w:val="21"/>
          <w:lang w:eastAsia="zh-CN"/>
        </w:rPr>
        <w:t>详见《用户需求书》</w:t>
      </w:r>
      <w:r>
        <w:rPr>
          <w:rFonts w:hint="eastAsia" w:hAnsi="宋体"/>
          <w:color w:val="000000"/>
          <w:szCs w:val="21"/>
        </w:rPr>
        <w:t>。</w:t>
      </w:r>
    </w:p>
    <w:p>
      <w:pPr>
        <w:tabs>
          <w:tab w:val="left" w:pos="900"/>
        </w:tabs>
        <w:spacing w:line="460" w:lineRule="exact"/>
        <w:ind w:firstLine="422" w:firstLineChars="200"/>
        <w:rPr>
          <w:rFonts w:hAnsi="宋体"/>
          <w:b/>
          <w:color w:val="000000"/>
          <w:szCs w:val="21"/>
        </w:rPr>
      </w:pPr>
      <w:r>
        <w:rPr>
          <w:rFonts w:hint="eastAsia" w:hAnsi="宋体"/>
          <w:b/>
          <w:color w:val="000000"/>
          <w:szCs w:val="21"/>
        </w:rPr>
        <w:t>三、</w:t>
      </w:r>
      <w:r>
        <w:rPr>
          <w:rFonts w:hint="eastAsia" w:hAnsi="宋体"/>
          <w:b/>
          <w:color w:val="000000"/>
          <w:szCs w:val="21"/>
          <w:lang w:eastAsia="zh-CN"/>
        </w:rPr>
        <w:t>合格投标人条件：</w:t>
      </w:r>
    </w:p>
    <w:p>
      <w:pPr>
        <w:widowControl/>
        <w:spacing w:line="460" w:lineRule="exact"/>
        <w:ind w:firstLine="585"/>
        <w:jc w:val="left"/>
        <w:textAlignment w:val="baseline"/>
        <w:rPr>
          <w:rFonts w:hAnsi="宋体"/>
          <w:color w:val="000000"/>
          <w:szCs w:val="21"/>
        </w:rPr>
      </w:pPr>
      <w:r>
        <w:rPr>
          <w:rFonts w:hint="eastAsia" w:hAnsi="宋体"/>
          <w:color w:val="000000"/>
          <w:szCs w:val="21"/>
        </w:rPr>
        <w:t>1、</w:t>
      </w:r>
      <w:r>
        <w:rPr>
          <w:rFonts w:hint="eastAsia" w:hAnsi="宋体"/>
          <w:color w:val="000000"/>
          <w:szCs w:val="21"/>
          <w:lang w:eastAsia="zh-CN"/>
        </w:rPr>
        <w:t>投标人</w:t>
      </w:r>
      <w:r>
        <w:rPr>
          <w:rFonts w:hint="eastAsia" w:hAnsi="宋体"/>
          <w:color w:val="000000"/>
          <w:szCs w:val="21"/>
        </w:rPr>
        <w:t>参加招标活动应当具备下列条件：</w:t>
      </w:r>
    </w:p>
    <w:p>
      <w:pPr>
        <w:widowControl/>
        <w:spacing w:line="460" w:lineRule="exact"/>
        <w:ind w:firstLine="585"/>
        <w:jc w:val="left"/>
        <w:textAlignment w:val="baseline"/>
        <w:rPr>
          <w:rFonts w:hAnsi="宋体"/>
          <w:color w:val="000000"/>
          <w:szCs w:val="21"/>
        </w:rPr>
      </w:pPr>
      <w:r>
        <w:rPr>
          <w:rFonts w:hint="eastAsia" w:hAnsi="宋体"/>
          <w:color w:val="000000"/>
          <w:szCs w:val="21"/>
        </w:rPr>
        <w:t>（一）具有独立承担民事责任的能力；</w:t>
      </w:r>
    </w:p>
    <w:p>
      <w:pPr>
        <w:widowControl/>
        <w:spacing w:line="460" w:lineRule="exact"/>
        <w:ind w:firstLine="585"/>
        <w:jc w:val="left"/>
        <w:textAlignment w:val="baseline"/>
        <w:rPr>
          <w:rFonts w:hAnsi="宋体"/>
          <w:color w:val="000000"/>
          <w:szCs w:val="21"/>
        </w:rPr>
      </w:pPr>
      <w:r>
        <w:rPr>
          <w:rFonts w:hint="eastAsia" w:hAnsi="宋体"/>
          <w:color w:val="000000"/>
          <w:szCs w:val="21"/>
        </w:rPr>
        <w:t>（二）具有良好的商业信誉和健全的财务会计制度；</w:t>
      </w:r>
    </w:p>
    <w:p>
      <w:pPr>
        <w:widowControl/>
        <w:spacing w:line="460" w:lineRule="exact"/>
        <w:ind w:firstLine="585"/>
        <w:jc w:val="left"/>
        <w:textAlignment w:val="baseline"/>
        <w:rPr>
          <w:rFonts w:hAnsi="宋体"/>
          <w:color w:val="000000"/>
          <w:szCs w:val="21"/>
        </w:rPr>
      </w:pPr>
      <w:r>
        <w:rPr>
          <w:rFonts w:hint="eastAsia" w:hAnsi="宋体"/>
          <w:color w:val="000000"/>
          <w:szCs w:val="21"/>
        </w:rPr>
        <w:t>（三）具有履行合同所必需的设备和专业技术能力；</w:t>
      </w:r>
    </w:p>
    <w:p>
      <w:pPr>
        <w:widowControl/>
        <w:spacing w:line="460" w:lineRule="exact"/>
        <w:ind w:firstLine="585"/>
        <w:jc w:val="left"/>
        <w:textAlignment w:val="baseline"/>
        <w:rPr>
          <w:rFonts w:hAnsi="宋体"/>
          <w:color w:val="000000"/>
          <w:szCs w:val="21"/>
        </w:rPr>
      </w:pPr>
      <w:r>
        <w:rPr>
          <w:rFonts w:hint="eastAsia" w:hAnsi="宋体"/>
          <w:color w:val="000000"/>
          <w:szCs w:val="21"/>
        </w:rPr>
        <w:t>（四）有依法缴纳税收和社会保障资金的良好记录；</w:t>
      </w:r>
    </w:p>
    <w:p>
      <w:pPr>
        <w:widowControl/>
        <w:spacing w:line="460" w:lineRule="exact"/>
        <w:ind w:firstLine="585"/>
        <w:jc w:val="left"/>
        <w:textAlignment w:val="baseline"/>
        <w:rPr>
          <w:rFonts w:hAnsi="宋体"/>
          <w:color w:val="000000"/>
          <w:szCs w:val="21"/>
        </w:rPr>
      </w:pPr>
      <w:r>
        <w:rPr>
          <w:rFonts w:hint="eastAsia" w:hAnsi="宋体"/>
          <w:color w:val="000000"/>
          <w:szCs w:val="21"/>
        </w:rPr>
        <w:t>（五）近三年内，在经营活动中没有重大违法记录；</w:t>
      </w:r>
    </w:p>
    <w:p>
      <w:pPr>
        <w:widowControl/>
        <w:spacing w:line="460" w:lineRule="exact"/>
        <w:ind w:firstLine="585"/>
        <w:jc w:val="left"/>
        <w:textAlignment w:val="baseline"/>
        <w:rPr>
          <w:rFonts w:hAnsi="宋体"/>
          <w:color w:val="000000"/>
          <w:szCs w:val="21"/>
        </w:rPr>
      </w:pPr>
      <w:r>
        <w:rPr>
          <w:rFonts w:hint="eastAsia" w:hAnsi="宋体"/>
          <w:color w:val="000000"/>
          <w:szCs w:val="21"/>
        </w:rPr>
        <w:t>（六）法律、行政法规规定的其他条件。</w:t>
      </w:r>
    </w:p>
    <w:p>
      <w:pPr>
        <w:widowControl/>
        <w:spacing w:line="460" w:lineRule="exact"/>
        <w:ind w:firstLine="0"/>
        <w:jc w:val="left"/>
        <w:textAlignment w:val="baseline"/>
        <w:rPr>
          <w:rFonts w:hAnsi="宋体"/>
          <w:color w:val="000000"/>
          <w:szCs w:val="21"/>
        </w:rPr>
      </w:pPr>
      <w:r>
        <w:rPr>
          <w:rFonts w:hint="eastAsia" w:hAnsi="宋体"/>
          <w:color w:val="000000"/>
          <w:szCs w:val="21"/>
          <w:lang w:val="en-US" w:eastAsia="zh-CN"/>
        </w:rPr>
        <w:t xml:space="preserve">     </w:t>
      </w:r>
      <w:r>
        <w:rPr>
          <w:rFonts w:hint="eastAsia" w:hAnsi="宋体"/>
          <w:color w:val="000000"/>
          <w:szCs w:val="21"/>
        </w:rPr>
        <w:t>2、在中华人民共和国境内注册且注册成立时间3年及以上，能够独立承担民事责任，有生产或供应能力的餐饮企业，包括法人、其他组织；</w:t>
      </w:r>
    </w:p>
    <w:p>
      <w:pPr>
        <w:widowControl/>
        <w:spacing w:line="460" w:lineRule="exact"/>
        <w:ind w:firstLine="585"/>
        <w:jc w:val="left"/>
        <w:textAlignment w:val="baseline"/>
        <w:rPr>
          <w:rFonts w:hAnsi="宋体"/>
          <w:color w:val="000000"/>
          <w:szCs w:val="21"/>
        </w:rPr>
      </w:pPr>
      <w:r>
        <w:rPr>
          <w:rFonts w:hint="eastAsia" w:hAnsi="宋体"/>
          <w:color w:val="000000"/>
          <w:szCs w:val="21"/>
        </w:rPr>
        <w:t>3、</w:t>
      </w:r>
      <w:r>
        <w:rPr>
          <w:rFonts w:hint="eastAsia" w:hAnsi="宋体"/>
          <w:color w:val="000000"/>
          <w:szCs w:val="21"/>
          <w:lang w:eastAsia="zh-CN"/>
        </w:rPr>
        <w:t>投标人</w:t>
      </w:r>
      <w:r>
        <w:rPr>
          <w:rFonts w:hint="eastAsia" w:hAnsi="宋体"/>
          <w:color w:val="000000"/>
          <w:szCs w:val="21"/>
        </w:rPr>
        <w:t>应具备独立法人资格，持有国家规定的从事餐饮服务的相关证照，具体应包括但不限于：</w:t>
      </w:r>
    </w:p>
    <w:p>
      <w:pPr>
        <w:widowControl/>
        <w:spacing w:line="460" w:lineRule="exact"/>
        <w:ind w:firstLine="585"/>
        <w:jc w:val="left"/>
        <w:textAlignment w:val="baseline"/>
        <w:rPr>
          <w:rFonts w:hAnsi="宋体"/>
          <w:color w:val="000000"/>
          <w:szCs w:val="21"/>
        </w:rPr>
      </w:pPr>
      <w:r>
        <w:rPr>
          <w:rFonts w:hint="eastAsia" w:hAnsi="宋体"/>
          <w:color w:val="000000"/>
          <w:szCs w:val="21"/>
        </w:rPr>
        <w:t>1）企业法人营业执照（经营范围包含餐饮服务或餐饮管理）；</w:t>
      </w:r>
    </w:p>
    <w:p>
      <w:pPr>
        <w:widowControl/>
        <w:spacing w:line="460" w:lineRule="exact"/>
        <w:ind w:firstLine="585"/>
        <w:jc w:val="left"/>
        <w:textAlignment w:val="baseline"/>
        <w:rPr>
          <w:rFonts w:hAnsi="宋体"/>
          <w:color w:val="000000"/>
          <w:szCs w:val="21"/>
        </w:rPr>
      </w:pPr>
      <w:r>
        <w:rPr>
          <w:rFonts w:hint="eastAsia" w:hAnsi="宋体"/>
          <w:color w:val="000000"/>
          <w:szCs w:val="21"/>
        </w:rPr>
        <w:t>2）有效的《食品经营许可证》或餐饮服务许可证；</w:t>
      </w:r>
    </w:p>
    <w:p>
      <w:pPr>
        <w:spacing w:line="460" w:lineRule="exact"/>
        <w:ind w:firstLine="585"/>
        <w:textAlignment w:val="baseline"/>
        <w:rPr>
          <w:rFonts w:hAnsi="宋体"/>
          <w:color w:val="000000"/>
          <w:szCs w:val="21"/>
        </w:rPr>
      </w:pPr>
      <w:r>
        <w:rPr>
          <w:rFonts w:hint="eastAsia" w:hAnsi="宋体"/>
          <w:color w:val="000000"/>
          <w:szCs w:val="21"/>
        </w:rPr>
        <w:t>4、由第三方财务审计机构出具的</w:t>
      </w:r>
      <w:r>
        <w:rPr>
          <w:rFonts w:hint="eastAsia" w:hAnsi="宋体"/>
          <w:color w:val="000000"/>
          <w:szCs w:val="21"/>
          <w:lang w:eastAsia="zh-CN"/>
        </w:rPr>
        <w:t>投标人</w:t>
      </w:r>
      <w:r>
        <w:rPr>
          <w:rFonts w:hint="eastAsia" w:hAnsi="宋体"/>
          <w:color w:val="000000"/>
          <w:szCs w:val="21"/>
        </w:rPr>
        <w:t>2021年度财务审计报告，经营状</w:t>
      </w:r>
      <w:r>
        <w:rPr>
          <w:rFonts w:hint="eastAsia" w:hAnsi="宋体"/>
          <w:color w:val="000000"/>
          <w:szCs w:val="21"/>
          <w:lang w:val="en-US" w:eastAsia="zh-CN"/>
        </w:rPr>
        <w:t>况</w:t>
      </w:r>
      <w:r>
        <w:rPr>
          <w:rFonts w:hint="eastAsia" w:hAnsi="宋体"/>
          <w:color w:val="000000"/>
          <w:szCs w:val="21"/>
        </w:rPr>
        <w:t>良好。</w:t>
      </w:r>
    </w:p>
    <w:p>
      <w:pPr>
        <w:spacing w:line="460" w:lineRule="exact"/>
        <w:ind w:firstLine="585"/>
        <w:textAlignment w:val="baseline"/>
        <w:rPr>
          <w:rFonts w:hAnsi="宋体"/>
          <w:color w:val="000000"/>
          <w:szCs w:val="21"/>
        </w:rPr>
      </w:pPr>
      <w:r>
        <w:rPr>
          <w:rFonts w:hint="eastAsia" w:hAnsi="宋体"/>
          <w:color w:val="000000"/>
          <w:szCs w:val="21"/>
        </w:rPr>
        <w:t>5、2022年1月至今至少1个月的纳税证明和社保缴纳证明，免税企业/依法不需要缴纳社会保障资金的可提供有效免税证明。</w:t>
      </w:r>
    </w:p>
    <w:p>
      <w:pPr>
        <w:widowControl/>
        <w:spacing w:line="460" w:lineRule="exact"/>
        <w:ind w:firstLine="585"/>
        <w:jc w:val="left"/>
        <w:textAlignment w:val="baseline"/>
        <w:rPr>
          <w:rFonts w:hAnsi="宋体"/>
          <w:color w:val="000000"/>
          <w:szCs w:val="21"/>
        </w:rPr>
      </w:pPr>
      <w:r>
        <w:rPr>
          <w:rFonts w:hint="eastAsia" w:hAnsi="宋体"/>
          <w:color w:val="000000"/>
          <w:szCs w:val="21"/>
        </w:rPr>
        <w:t>6、</w:t>
      </w:r>
      <w:r>
        <w:rPr>
          <w:rFonts w:hint="eastAsia" w:hAnsi="宋体"/>
          <w:color w:val="000000"/>
          <w:szCs w:val="21"/>
          <w:lang w:eastAsia="zh-CN"/>
        </w:rPr>
        <w:t>投标人</w:t>
      </w:r>
      <w:r>
        <w:rPr>
          <w:rFonts w:hint="eastAsia" w:hAnsi="宋体"/>
          <w:color w:val="000000"/>
          <w:szCs w:val="21"/>
        </w:rPr>
        <w:t>须提供有效的ISO9001认证证书。</w:t>
      </w:r>
    </w:p>
    <w:p>
      <w:pPr>
        <w:widowControl/>
        <w:spacing w:line="460" w:lineRule="exact"/>
        <w:ind w:firstLine="585"/>
        <w:jc w:val="left"/>
        <w:textAlignment w:val="baseline"/>
        <w:rPr>
          <w:rFonts w:hAnsi="宋体"/>
          <w:color w:val="000000"/>
          <w:szCs w:val="21"/>
        </w:rPr>
      </w:pPr>
      <w:r>
        <w:rPr>
          <w:rFonts w:hint="eastAsia" w:hAnsi="宋体"/>
          <w:color w:val="000000"/>
          <w:szCs w:val="21"/>
        </w:rPr>
        <w:t>7、</w:t>
      </w:r>
      <w:r>
        <w:rPr>
          <w:rFonts w:hint="eastAsia" w:hAnsi="宋体"/>
          <w:color w:val="000000"/>
          <w:szCs w:val="21"/>
          <w:lang w:eastAsia="zh-CN"/>
        </w:rPr>
        <w:t>投标人</w:t>
      </w:r>
      <w:r>
        <w:rPr>
          <w:rFonts w:hint="eastAsia" w:hAnsi="宋体"/>
          <w:color w:val="000000"/>
          <w:szCs w:val="21"/>
        </w:rPr>
        <w:t>须提供2019年1月1日以来至少1份高校食堂经营服务业绩合同。</w:t>
      </w:r>
    </w:p>
    <w:p>
      <w:pPr>
        <w:widowControl/>
        <w:spacing w:line="460" w:lineRule="exact"/>
        <w:ind w:firstLine="585"/>
        <w:jc w:val="left"/>
        <w:textAlignment w:val="baseline"/>
        <w:rPr>
          <w:rFonts w:hAnsi="宋体"/>
          <w:color w:val="000000"/>
          <w:szCs w:val="21"/>
        </w:rPr>
      </w:pPr>
      <w:r>
        <w:rPr>
          <w:rFonts w:hint="eastAsia" w:hAnsi="宋体"/>
          <w:color w:val="000000"/>
          <w:szCs w:val="21"/>
        </w:rPr>
        <w:t>8、参加采购活动前三年内， 在经营活动中无不良信用、没有重大违法记录，无任何食品卫生、消防安全、劳务纠纷等方面的不良记录承诺书；</w:t>
      </w:r>
    </w:p>
    <w:p>
      <w:pPr>
        <w:widowControl/>
        <w:spacing w:line="460" w:lineRule="exact"/>
        <w:ind w:firstLine="585"/>
        <w:jc w:val="left"/>
        <w:textAlignment w:val="baseline"/>
        <w:rPr>
          <w:rFonts w:hAnsi="宋体"/>
          <w:color w:val="000000"/>
          <w:szCs w:val="21"/>
        </w:rPr>
      </w:pPr>
      <w:r>
        <w:rPr>
          <w:rFonts w:hint="eastAsia" w:hAnsi="宋体"/>
          <w:color w:val="000000"/>
          <w:szCs w:val="21"/>
        </w:rPr>
        <w:t>9、</w:t>
      </w:r>
      <w:r>
        <w:rPr>
          <w:rFonts w:hint="eastAsia" w:hAnsi="宋体"/>
          <w:color w:val="000000"/>
          <w:szCs w:val="21"/>
          <w:lang w:eastAsia="zh-CN"/>
        </w:rPr>
        <w:t>投标人</w:t>
      </w:r>
      <w:r>
        <w:rPr>
          <w:rFonts w:hint="eastAsia" w:hAnsi="宋体"/>
          <w:color w:val="000000"/>
          <w:szCs w:val="21"/>
        </w:rPr>
        <w:t>未被列入信用中国网站(www.creditchina.gov.cn)、中国政府采购网(www.ccgp.gov.cn)渠道信用记录失信被执行人、重大税收违法案件当事人名单、政府采购严重违法失信行为记录名单的</w:t>
      </w:r>
      <w:r>
        <w:rPr>
          <w:rFonts w:hint="eastAsia" w:hAnsi="宋体"/>
          <w:color w:val="000000"/>
          <w:szCs w:val="21"/>
          <w:lang w:eastAsia="zh-CN"/>
        </w:rPr>
        <w:t>投标人</w:t>
      </w:r>
      <w:r>
        <w:rPr>
          <w:rFonts w:hint="eastAsia" w:hAnsi="宋体"/>
          <w:color w:val="000000"/>
          <w:szCs w:val="21"/>
        </w:rPr>
        <w:t>。</w:t>
      </w:r>
      <w:r>
        <w:rPr>
          <w:rFonts w:hint="eastAsia" w:hAnsi="宋体"/>
          <w:color w:val="000000"/>
          <w:szCs w:val="21"/>
          <w:lang w:eastAsia="zh-CN"/>
        </w:rPr>
        <w:t>投标人</w:t>
      </w:r>
      <w:r>
        <w:rPr>
          <w:rFonts w:hint="eastAsia" w:hAnsi="宋体"/>
          <w:color w:val="000000"/>
          <w:szCs w:val="21"/>
        </w:rPr>
        <w:t>提供开标前10天内通过中国政府采购网（www.ccpg.gov.cn）和“信用中国”（www.creditchina.gov.cn）查询相关主体信用记录，并将网页截图加盖公章附在投标文件中。</w:t>
      </w:r>
    </w:p>
    <w:p>
      <w:pPr>
        <w:widowControl/>
        <w:spacing w:line="460" w:lineRule="exact"/>
        <w:ind w:firstLine="585"/>
        <w:jc w:val="left"/>
        <w:textAlignment w:val="baseline"/>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w:t>
      </w:r>
      <w:r>
        <w:rPr>
          <w:rFonts w:hint="eastAsia" w:hAnsi="宋体"/>
          <w:color w:val="000000" w:themeColor="text1"/>
          <w:szCs w:val="21"/>
          <w:lang w:val="en-US" w:eastAsia="zh-CN"/>
          <w14:textFill>
            <w14:solidFill>
              <w14:schemeClr w14:val="tx1"/>
            </w14:solidFill>
          </w14:textFill>
        </w:rPr>
        <w:t>0</w:t>
      </w:r>
      <w:r>
        <w:rPr>
          <w:rFonts w:hint="eastAsia" w:hAnsi="宋体"/>
          <w:color w:val="000000" w:themeColor="text1"/>
          <w:szCs w:val="21"/>
          <w14:textFill>
            <w14:solidFill>
              <w14:schemeClr w14:val="tx1"/>
            </w14:solidFill>
          </w14:textFill>
        </w:rPr>
        <w:t>、提供民族餐饮服务，应具备《陕西省清真食品生产经营管理条例》中从事清真食品生产经营的企业条件：1）企业法定代表人应当是回族等少数民族公民，回族等少数民族员工所占比例不得低于30％；2）屠宰、采购、配料、烹制、储运等工作岗位从业人员应当是回族等少数民族公民；3）清真食品生产经营监督管理制度健全。</w:t>
      </w:r>
    </w:p>
    <w:p>
      <w:pPr>
        <w:tabs>
          <w:tab w:val="left" w:pos="900"/>
        </w:tabs>
        <w:spacing w:line="460" w:lineRule="exact"/>
        <w:ind w:firstLine="422" w:firstLineChars="200"/>
        <w:rPr>
          <w:rFonts w:hAnsi="宋体"/>
          <w:b/>
          <w:color w:val="000000"/>
          <w:szCs w:val="21"/>
        </w:rPr>
      </w:pPr>
      <w:r>
        <w:rPr>
          <w:rFonts w:hint="eastAsia" w:hAnsi="宋体"/>
          <w:b/>
          <w:color w:val="000000"/>
          <w:szCs w:val="21"/>
        </w:rPr>
        <w:t>四、</w:t>
      </w:r>
      <w:r>
        <w:rPr>
          <w:rFonts w:hint="eastAsia" w:hAnsi="宋体"/>
          <w:b/>
          <w:color w:val="000000"/>
          <w:szCs w:val="21"/>
          <w:lang w:eastAsia="zh-CN"/>
        </w:rPr>
        <w:t>投标人</w:t>
      </w:r>
      <w:r>
        <w:rPr>
          <w:rFonts w:hint="eastAsia" w:hAnsi="宋体"/>
          <w:b/>
          <w:color w:val="000000"/>
          <w:szCs w:val="21"/>
        </w:rPr>
        <w:t>应满足的其他要求</w:t>
      </w:r>
    </w:p>
    <w:p>
      <w:pPr>
        <w:widowControl/>
        <w:spacing w:line="460" w:lineRule="exact"/>
        <w:ind w:firstLine="585"/>
        <w:jc w:val="left"/>
        <w:textAlignment w:val="baseline"/>
        <w:rPr>
          <w:rFonts w:hAnsi="宋体"/>
          <w:color w:val="000000"/>
          <w:szCs w:val="21"/>
        </w:rPr>
      </w:pPr>
      <w:r>
        <w:rPr>
          <w:rFonts w:hint="eastAsia" w:hAnsi="宋体"/>
          <w:color w:val="000000"/>
          <w:szCs w:val="21"/>
        </w:rPr>
        <w:t>1、</w:t>
      </w:r>
      <w:r>
        <w:rPr>
          <w:rFonts w:hint="eastAsia" w:hAnsi="宋体"/>
          <w:color w:val="000000"/>
          <w:szCs w:val="21"/>
          <w:lang w:eastAsia="zh-CN"/>
        </w:rPr>
        <w:t>投标人</w:t>
      </w:r>
      <w:r>
        <w:rPr>
          <w:rFonts w:hint="eastAsia" w:hAnsi="宋体"/>
          <w:color w:val="000000"/>
          <w:szCs w:val="21"/>
        </w:rPr>
        <w:t>应具备完善的管理制度和丰富的餐饮管理经验，诚信度高，安全意识强，管理团队稳定，经营高等学校食堂的员工人数应与其经营规模相适应。</w:t>
      </w:r>
    </w:p>
    <w:p>
      <w:pPr>
        <w:widowControl/>
        <w:spacing w:line="460" w:lineRule="exact"/>
        <w:ind w:firstLine="585"/>
        <w:jc w:val="left"/>
        <w:textAlignment w:val="baseline"/>
        <w:rPr>
          <w:rFonts w:hAnsi="宋体"/>
          <w:color w:val="000000"/>
          <w:szCs w:val="21"/>
        </w:rPr>
      </w:pPr>
      <w:r>
        <w:rPr>
          <w:rFonts w:hint="eastAsia" w:hAnsi="宋体"/>
          <w:color w:val="000000"/>
          <w:szCs w:val="21"/>
        </w:rPr>
        <w:t>2、食堂从业人员应掌握有关食品安全、生产安全基本知识和相关法律法规要求，并经食品药品</w:t>
      </w:r>
      <w:r>
        <w:rPr>
          <w:rFonts w:hint="eastAsia" w:hAnsi="宋体"/>
          <w:color w:val="000000"/>
          <w:szCs w:val="21"/>
          <w:lang w:val="en-US" w:eastAsia="zh-CN"/>
        </w:rPr>
        <w:t>监</w:t>
      </w:r>
      <w:r>
        <w:rPr>
          <w:rFonts w:hint="eastAsia" w:hAnsi="宋体"/>
          <w:color w:val="000000"/>
          <w:szCs w:val="21"/>
        </w:rPr>
        <w:t>督管理部门授权的餐饮从业人员卫生知识培训机构培训合格。</w:t>
      </w:r>
    </w:p>
    <w:p>
      <w:pPr>
        <w:widowControl/>
        <w:spacing w:line="460" w:lineRule="exact"/>
        <w:ind w:firstLine="585"/>
        <w:jc w:val="left"/>
        <w:textAlignment w:val="baseline"/>
        <w:rPr>
          <w:rFonts w:hAnsi="宋体"/>
          <w:color w:val="000000"/>
          <w:szCs w:val="21"/>
        </w:rPr>
      </w:pPr>
      <w:r>
        <w:rPr>
          <w:rFonts w:hint="eastAsia" w:hAnsi="宋体"/>
          <w:color w:val="000000"/>
          <w:szCs w:val="21"/>
        </w:rPr>
        <w:t>3、应熟悉了解高等学校办学规律、学生生活规律，认知高等学校餐饮服务的公益性、保障性、时效性、阶段性等特征，注重社会效益，履行服务育人职责。</w:t>
      </w:r>
    </w:p>
    <w:p>
      <w:pPr>
        <w:widowControl/>
        <w:spacing w:line="460" w:lineRule="exact"/>
        <w:ind w:firstLine="585"/>
        <w:jc w:val="left"/>
        <w:textAlignment w:val="baseline"/>
        <w:rPr>
          <w:rFonts w:hAnsi="宋体"/>
          <w:color w:val="000000"/>
          <w:szCs w:val="21"/>
        </w:rPr>
      </w:pPr>
      <w:r>
        <w:rPr>
          <w:rFonts w:hint="eastAsia" w:hAnsi="宋体"/>
          <w:color w:val="000000"/>
          <w:szCs w:val="21"/>
        </w:rPr>
        <w:t>4、</w:t>
      </w:r>
      <w:r>
        <w:rPr>
          <w:rFonts w:hint="eastAsia" w:hAnsi="宋体"/>
          <w:color w:val="000000"/>
          <w:szCs w:val="21"/>
          <w:lang w:eastAsia="zh-CN"/>
        </w:rPr>
        <w:t>成交投标人</w:t>
      </w:r>
      <w:r>
        <w:rPr>
          <w:rFonts w:hint="eastAsia" w:hAnsi="宋体"/>
          <w:color w:val="000000"/>
          <w:szCs w:val="21"/>
        </w:rPr>
        <w:t>在收到中标通知书且签订《西安交通大学创新港学生食堂委托经营合同》之前，需向</w:t>
      </w:r>
      <w:r>
        <w:rPr>
          <w:rFonts w:hint="eastAsia" w:hAnsi="宋体"/>
          <w:color w:val="000000"/>
          <w:szCs w:val="21"/>
          <w:lang w:eastAsia="zh-CN"/>
        </w:rPr>
        <w:t>采购人</w:t>
      </w:r>
      <w:r>
        <w:rPr>
          <w:rFonts w:hint="eastAsia" w:hAnsi="宋体"/>
          <w:color w:val="000000"/>
          <w:szCs w:val="21"/>
        </w:rPr>
        <w:t>缴纳履约保证金。</w:t>
      </w:r>
    </w:p>
    <w:p>
      <w:pPr>
        <w:tabs>
          <w:tab w:val="left" w:pos="900"/>
        </w:tabs>
        <w:spacing w:before="156" w:beforeLines="50" w:line="360" w:lineRule="auto"/>
        <w:rPr>
          <w:rFonts w:hAnsi="宋体"/>
          <w:b/>
          <w:color w:val="000000" w:themeColor="text1"/>
          <w:szCs w:val="21"/>
          <w14:textFill>
            <w14:solidFill>
              <w14:schemeClr w14:val="tx1"/>
            </w14:solidFill>
          </w14:textFill>
        </w:rPr>
      </w:pPr>
    </w:p>
    <w:p>
      <w:pPr>
        <w:tabs>
          <w:tab w:val="left" w:pos="900"/>
        </w:tabs>
        <w:spacing w:before="156" w:beforeLines="50" w:line="360" w:lineRule="auto"/>
        <w:rPr>
          <w:rFonts w:hAnsi="宋体"/>
          <w:b/>
          <w:color w:val="000000" w:themeColor="text1"/>
          <w:szCs w:val="21"/>
          <w14:textFill>
            <w14:solidFill>
              <w14:schemeClr w14:val="tx1"/>
            </w14:solidFill>
          </w14:textFill>
        </w:rPr>
      </w:pPr>
    </w:p>
    <w:p>
      <w:pPr>
        <w:tabs>
          <w:tab w:val="left" w:pos="900"/>
        </w:tabs>
        <w:spacing w:before="156" w:beforeLines="50" w:line="360" w:lineRule="auto"/>
        <w:rPr>
          <w:rFonts w:hAnsi="宋体"/>
          <w:b/>
          <w:color w:val="000000" w:themeColor="text1"/>
          <w:szCs w:val="21"/>
          <w14:textFill>
            <w14:solidFill>
              <w14:schemeClr w14:val="tx1"/>
            </w14:solidFill>
          </w14:textFill>
        </w:rPr>
      </w:pPr>
    </w:p>
    <w:p>
      <w:pPr>
        <w:tabs>
          <w:tab w:val="left" w:pos="900"/>
        </w:tabs>
        <w:spacing w:before="156" w:beforeLines="50" w:line="360" w:lineRule="auto"/>
        <w:rPr>
          <w:rFonts w:hAnsi="宋体"/>
          <w:b/>
          <w:color w:val="000000" w:themeColor="text1"/>
          <w:szCs w:val="21"/>
          <w14:textFill>
            <w14:solidFill>
              <w14:schemeClr w14:val="tx1"/>
            </w14:solidFill>
          </w14:textFill>
        </w:rPr>
      </w:pPr>
    </w:p>
    <w:p>
      <w:pPr>
        <w:tabs>
          <w:tab w:val="left" w:pos="900"/>
        </w:tabs>
        <w:spacing w:before="156" w:beforeLines="50" w:line="360" w:lineRule="auto"/>
        <w:rPr>
          <w:rFonts w:hAnsi="宋体"/>
          <w:b/>
          <w:color w:val="000000" w:themeColor="text1"/>
          <w:szCs w:val="21"/>
          <w14:textFill>
            <w14:solidFill>
              <w14:schemeClr w14:val="tx1"/>
            </w14:solidFill>
          </w14:textFill>
        </w:rPr>
      </w:pPr>
    </w:p>
    <w:p>
      <w:pPr>
        <w:tabs>
          <w:tab w:val="left" w:pos="900"/>
        </w:tabs>
        <w:spacing w:before="156" w:beforeLines="50" w:line="360" w:lineRule="auto"/>
        <w:rPr>
          <w:rFonts w:hAnsi="宋体"/>
          <w:b/>
          <w:color w:val="000000" w:themeColor="text1"/>
          <w:szCs w:val="21"/>
          <w14:textFill>
            <w14:solidFill>
              <w14:schemeClr w14:val="tx1"/>
            </w14:solidFill>
          </w14:textFill>
        </w:rPr>
      </w:pPr>
    </w:p>
    <w:p>
      <w:pPr>
        <w:tabs>
          <w:tab w:val="left" w:pos="900"/>
        </w:tabs>
        <w:spacing w:before="156" w:beforeLines="50" w:line="360" w:lineRule="auto"/>
        <w:rPr>
          <w:rFonts w:hAnsi="宋体"/>
          <w:b/>
          <w:color w:val="000000" w:themeColor="text1"/>
          <w:szCs w:val="21"/>
          <w14:textFill>
            <w14:solidFill>
              <w14:schemeClr w14:val="tx1"/>
            </w14:solidFill>
          </w14:textFill>
        </w:rPr>
      </w:pPr>
    </w:p>
    <w:p>
      <w:pPr>
        <w:tabs>
          <w:tab w:val="left" w:pos="900"/>
        </w:tabs>
        <w:spacing w:before="156" w:beforeLines="50" w:line="360" w:lineRule="auto"/>
        <w:rPr>
          <w:rFonts w:hAnsi="宋体"/>
          <w:b/>
          <w:color w:val="000000" w:themeColor="text1"/>
          <w:szCs w:val="21"/>
          <w14:textFill>
            <w14:solidFill>
              <w14:schemeClr w14:val="tx1"/>
            </w14:solidFill>
          </w14:textFill>
        </w:rPr>
      </w:pPr>
    </w:p>
    <w:p>
      <w:pPr>
        <w:tabs>
          <w:tab w:val="left" w:pos="900"/>
        </w:tabs>
        <w:spacing w:before="156" w:beforeLines="50" w:line="360" w:lineRule="auto"/>
        <w:rPr>
          <w:rFonts w:hAnsi="宋体"/>
          <w:b/>
          <w:color w:val="000000" w:themeColor="text1"/>
          <w:szCs w:val="21"/>
          <w14:textFill>
            <w14:solidFill>
              <w14:schemeClr w14:val="tx1"/>
            </w14:solidFill>
          </w14:textFill>
        </w:rPr>
      </w:pPr>
    </w:p>
    <w:p>
      <w:pPr>
        <w:tabs>
          <w:tab w:val="left" w:pos="900"/>
        </w:tabs>
        <w:spacing w:before="156" w:beforeLines="50" w:line="360" w:lineRule="auto"/>
        <w:rPr>
          <w:rFonts w:hAnsi="宋体"/>
          <w:b/>
          <w:color w:val="000000" w:themeColor="text1"/>
          <w:szCs w:val="21"/>
          <w14:textFill>
            <w14:solidFill>
              <w14:schemeClr w14:val="tx1"/>
            </w14:solidFill>
          </w14:textFill>
        </w:rPr>
      </w:pPr>
    </w:p>
    <w:p>
      <w:pPr>
        <w:pStyle w:val="2"/>
      </w:pPr>
    </w:p>
    <w:p>
      <w:pPr>
        <w:spacing w:before="240" w:after="60" w:line="360" w:lineRule="auto"/>
        <w:jc w:val="center"/>
        <w:outlineLvl w:val="0"/>
        <w:rPr>
          <w:rFonts w:ascii="宋体" w:hAnsi="宋体" w:cs="宋体"/>
          <w:b/>
          <w:bCs/>
          <w:color w:val="000000" w:themeColor="text1"/>
          <w:sz w:val="36"/>
          <w:szCs w:val="32"/>
          <w14:textFill>
            <w14:solidFill>
              <w14:schemeClr w14:val="tx1"/>
            </w14:solidFill>
          </w14:textFill>
        </w:rPr>
      </w:pPr>
      <w:r>
        <w:rPr>
          <w:rFonts w:hint="eastAsia" w:ascii="宋体" w:hAnsi="宋体" w:cs="宋体"/>
          <w:b/>
          <w:bCs/>
          <w:color w:val="000000" w:themeColor="text1"/>
          <w:sz w:val="36"/>
          <w:szCs w:val="32"/>
          <w14:textFill>
            <w14:solidFill>
              <w14:schemeClr w14:val="tx1"/>
            </w14:solidFill>
          </w14:textFill>
        </w:rPr>
        <w:t>第二章 用户需求书</w:t>
      </w:r>
    </w:p>
    <w:p>
      <w:pPr>
        <w:tabs>
          <w:tab w:val="left" w:pos="900"/>
        </w:tabs>
        <w:spacing w:line="460" w:lineRule="exact"/>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一、项目概况</w:t>
      </w:r>
    </w:p>
    <w:bookmarkEnd w:id="0"/>
    <w:p>
      <w:pPr>
        <w:spacing w:line="360" w:lineRule="auto"/>
        <w:ind w:firstLine="420" w:firstLineChars="200"/>
        <w:contextualSpacing/>
        <w:outlineLvl w:val="0"/>
        <w:rPr>
          <w:rFonts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（一）项目名称：</w:t>
      </w:r>
      <w:r>
        <w:rPr>
          <w:rFonts w:hint="eastAsia" w:asciiTheme="minorEastAsia" w:hAnsiTheme="minorEastAsia" w:eastAsiaTheme="minorEastAsia" w:cstheme="minorEastAsia"/>
          <w:color w:val="000000" w:themeColor="text1"/>
          <w:szCs w:val="21"/>
          <w:u w:val="single"/>
          <w14:textFill>
            <w14:solidFill>
              <w14:schemeClr w14:val="tx1"/>
            </w14:solidFill>
          </w14:textFill>
        </w:rPr>
        <w:t xml:space="preserve"> 西安交通大学创新港学生食堂委托经营项目第五标段 </w:t>
      </w:r>
    </w:p>
    <w:p>
      <w:pPr>
        <w:spacing w:line="360" w:lineRule="auto"/>
        <w:ind w:firstLine="420" w:firstLineChars="200"/>
        <w:contextualSpacing/>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“西安交通大学创新港学生食堂委托经营项目”共分五个标段，</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标段一至标段四的中标单位不得再次投标</w:t>
      </w:r>
      <w:r>
        <w:rPr>
          <w:rFonts w:hint="eastAsia" w:asciiTheme="minorEastAsia" w:hAnsiTheme="minorEastAsia" w:eastAsiaTheme="minorEastAsia" w:cstheme="minorEastAsia"/>
          <w:color w:val="000000" w:themeColor="text1"/>
          <w:szCs w:val="21"/>
          <w14:textFill>
            <w14:solidFill>
              <w14:schemeClr w14:val="tx1"/>
            </w14:solidFill>
          </w14:textFill>
        </w:rPr>
        <w:t>。因考核不合格被</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14:textFill>
            <w14:solidFill>
              <w14:schemeClr w14:val="tx1"/>
            </w14:solidFill>
          </w14:textFill>
        </w:rPr>
        <w:t>清退的餐饮企业不得参加本次招标项目。</w:t>
      </w:r>
    </w:p>
    <w:p>
      <w:pPr>
        <w:spacing w:line="360" w:lineRule="auto"/>
        <w:ind w:firstLine="420" w:firstLineChars="200"/>
        <w:contextualSpacing/>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（二）服务期限：</w:t>
      </w:r>
      <w:r>
        <w:rPr>
          <w:rFonts w:hint="eastAsia" w:asciiTheme="minorEastAsia" w:hAnsiTheme="minorEastAsia" w:eastAsiaTheme="minorEastAsia" w:cstheme="minorEastAsia"/>
          <w:color w:val="000000" w:themeColor="text1"/>
          <w:szCs w:val="21"/>
          <w:u w:val="single"/>
          <w14:textFill>
            <w14:solidFill>
              <w14:schemeClr w14:val="tx1"/>
            </w14:solidFill>
          </w14:textFill>
        </w:rPr>
        <w:t xml:space="preserve"> 5 </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年   </w:t>
      </w:r>
    </w:p>
    <w:p>
      <w:pPr>
        <w:spacing w:line="360" w:lineRule="auto"/>
        <w:ind w:firstLine="420" w:firstLineChars="200"/>
        <w:contextualSpacing/>
        <w:outlineLvl w:val="0"/>
        <w:rPr>
          <w:rFonts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（三）交付地点：</w:t>
      </w:r>
      <w:r>
        <w:rPr>
          <w:rFonts w:hint="eastAsia" w:asciiTheme="minorEastAsia" w:hAnsiTheme="minorEastAsia" w:eastAsiaTheme="minorEastAsia" w:cstheme="minorEastAsia"/>
          <w:color w:val="000000" w:themeColor="text1"/>
          <w:szCs w:val="21"/>
          <w:u w:val="single"/>
          <w14:textFill>
            <w14:solidFill>
              <w14:schemeClr w14:val="tx1"/>
            </w14:solidFill>
          </w14:textFill>
        </w:rPr>
        <w:t xml:space="preserve"> 西安交通大学创新港校区涵英楼餐厅、惠风苑餐厅二层</w:t>
      </w:r>
      <w:r>
        <w:rPr>
          <w:rFonts w:hint="eastAsia" w:ascii="宋体" w:hAnsi="宋体" w:cs="宋体"/>
          <w:color w:val="000000" w:themeColor="text1"/>
          <w:szCs w:val="21"/>
          <w:u w:val="single"/>
          <w14:textFill>
            <w14:solidFill>
              <w14:schemeClr w14:val="tx1"/>
            </w14:solidFill>
          </w14:textFill>
        </w:rPr>
        <w:t>及2号移动售餐车</w:t>
      </w:r>
      <w:r>
        <w:rPr>
          <w:rFonts w:hint="eastAsia" w:asciiTheme="minorEastAsia" w:hAnsiTheme="minorEastAsia" w:eastAsiaTheme="minorEastAsia" w:cstheme="minorEastAsia"/>
          <w:color w:val="000000" w:themeColor="text1"/>
          <w:szCs w:val="21"/>
          <w:u w:val="single"/>
          <w14:textFill>
            <w14:solidFill>
              <w14:schemeClr w14:val="tx1"/>
            </w14:solidFill>
          </w14:textFill>
        </w:rPr>
        <w:t xml:space="preserve">  </w:t>
      </w:r>
    </w:p>
    <w:p>
      <w:pPr>
        <w:spacing w:line="360" w:lineRule="auto"/>
        <w:ind w:firstLine="420" w:firstLineChars="200"/>
        <w:contextualSpacing/>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（四）委托经营方式：</w:t>
      </w:r>
    </w:p>
    <w:p>
      <w:pPr>
        <w:spacing w:line="360" w:lineRule="auto"/>
        <w:ind w:firstLine="420" w:firstLineChars="200"/>
        <w:contextualSpacing/>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14:textFill>
            <w14:solidFill>
              <w14:schemeClr w14:val="tx1"/>
            </w14:solidFill>
          </w14:textFill>
        </w:rPr>
        <w:t>委托</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提供民族餐饮服务保障，双方执行甲、乙方的合同契约管理方式。</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自主经营、自负盈亏。</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14:textFill>
            <w14:solidFill>
              <w14:schemeClr w14:val="tx1"/>
            </w14:solidFill>
          </w14:textFill>
        </w:rPr>
        <w:t>派专人对食堂成本、收入、利润、伙食质量、食品价格、食品安全卫生、服务质量等进行全面监管，保证餐饮安全卫生、饭菜价格及质量符合要求。</w:t>
      </w:r>
    </w:p>
    <w:p>
      <w:pPr>
        <w:spacing w:line="360" w:lineRule="auto"/>
        <w:ind w:firstLine="420" w:firstLineChars="200"/>
        <w:contextualSpacing/>
        <w:outlineLvl w:val="0"/>
        <w:rPr>
          <w:rFonts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（五）运行体制：</w:t>
      </w:r>
      <w:r>
        <w:rPr>
          <w:rFonts w:hint="eastAsia" w:asciiTheme="minorEastAsia" w:hAnsiTheme="minorEastAsia" w:eastAsiaTheme="minorEastAsia" w:cstheme="minorEastAsia"/>
          <w:color w:val="000000" w:themeColor="text1"/>
          <w:szCs w:val="21"/>
          <w:u w:val="single"/>
          <w14:textFill>
            <w14:solidFill>
              <w14:schemeClr w14:val="tx1"/>
            </w14:solidFill>
          </w14:textFill>
        </w:rPr>
        <w:t>全服务外包，全成本核算，全过程追溯，专业化监管，优胜劣汰。</w:t>
      </w:r>
    </w:p>
    <w:p>
      <w:pPr>
        <w:spacing w:line="360" w:lineRule="auto"/>
        <w:ind w:firstLine="420" w:firstLineChars="200"/>
        <w:contextualSpacing/>
        <w:outlineLvl w:val="0"/>
        <w:rPr>
          <w:rFonts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（六）交付时间、试运行及正式运行时间：</w:t>
      </w:r>
      <w:r>
        <w:rPr>
          <w:rFonts w:hint="eastAsia" w:asciiTheme="minorEastAsia" w:hAnsiTheme="minorEastAsia" w:eastAsiaTheme="minorEastAsia" w:cstheme="minorEastAsia"/>
          <w:color w:val="000000" w:themeColor="text1"/>
          <w:szCs w:val="21"/>
          <w:u w:val="single"/>
          <w14:textFill>
            <w14:solidFill>
              <w14:schemeClr w14:val="tx1"/>
            </w14:solidFill>
          </w14:textFill>
        </w:rPr>
        <w:t>按照</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u w:val="single"/>
          <w14:textFill>
            <w14:solidFill>
              <w14:schemeClr w14:val="tx1"/>
            </w14:solidFill>
          </w14:textFill>
        </w:rPr>
        <w:t>要求执行</w:t>
      </w:r>
    </w:p>
    <w:p>
      <w:pPr>
        <w:spacing w:line="360" w:lineRule="auto"/>
        <w:ind w:firstLine="420" w:firstLineChars="200"/>
        <w:contextualSpacing/>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（七）付款进度安排：</w:t>
      </w:r>
    </w:p>
    <w:p>
      <w:pPr>
        <w:spacing w:line="360" w:lineRule="auto"/>
        <w:ind w:firstLine="420" w:firstLineChars="200"/>
        <w:contextualSpacing/>
        <w:outlineLvl w:val="0"/>
        <w:rPr>
          <w:rFonts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1、 </w:t>
      </w:r>
      <w:r>
        <w:rPr>
          <w:rFonts w:hint="eastAsia" w:asciiTheme="minorEastAsia" w:hAnsiTheme="minorEastAsia" w:eastAsiaTheme="minorEastAsia" w:cstheme="minorEastAsia"/>
          <w:color w:val="000000" w:themeColor="text1"/>
          <w:szCs w:val="21"/>
          <w:u w:val="single"/>
          <w14:textFill>
            <w14:solidFill>
              <w14:schemeClr w14:val="tx1"/>
            </w14:solidFill>
          </w14:textFill>
        </w:rPr>
        <w:t>中标单位需缴纳60万元履约保证金。</w:t>
      </w:r>
    </w:p>
    <w:p>
      <w:pPr>
        <w:spacing w:line="360" w:lineRule="auto"/>
        <w:ind w:firstLine="420" w:firstLineChars="200"/>
        <w:contextualSpacing/>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 支付</w:t>
      </w:r>
      <w:r>
        <w:rPr>
          <w:rFonts w:hint="eastAsia" w:asciiTheme="minorEastAsia" w:hAnsiTheme="minorEastAsia" w:eastAsiaTheme="minorEastAsia" w:cstheme="minorEastAsia"/>
          <w:color w:val="000000" w:themeColor="text1"/>
          <w:szCs w:val="21"/>
          <w:u w:val="single"/>
          <w14:textFill>
            <w14:solidFill>
              <w14:schemeClr w14:val="tx1"/>
            </w14:solidFill>
          </w14:textFill>
        </w:rPr>
        <w:t>方式：校园一卡通及</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u w:val="single"/>
          <w14:textFill>
            <w14:solidFill>
              <w14:schemeClr w14:val="tx1"/>
            </w14:solidFill>
          </w14:textFill>
        </w:rPr>
        <w:t>规定的其他方式。</w:t>
      </w:r>
    </w:p>
    <w:p>
      <w:pPr>
        <w:spacing w:line="360" w:lineRule="auto"/>
        <w:ind w:firstLine="420" w:firstLineChars="200"/>
        <w:contextualSpacing/>
        <w:outlineLvl w:val="0"/>
        <w:rPr>
          <w:rFonts w:ascii="宋体" w:hAnsi="宋体" w:cs="宋体"/>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 结算</w:t>
      </w:r>
      <w:r>
        <w:rPr>
          <w:rFonts w:hint="eastAsia" w:asciiTheme="minorEastAsia" w:hAnsiTheme="minorEastAsia" w:eastAsiaTheme="minorEastAsia" w:cstheme="minorEastAsia"/>
          <w:color w:val="000000" w:themeColor="text1"/>
          <w:szCs w:val="21"/>
          <w:u w:val="single"/>
          <w14:textFill>
            <w14:solidFill>
              <w14:schemeClr w14:val="tx1"/>
            </w14:solidFill>
          </w14:textFill>
        </w:rPr>
        <w:t>方式：按月核算。</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u w:val="single"/>
          <w14:textFill>
            <w14:solidFill>
              <w14:schemeClr w14:val="tx1"/>
            </w14:solidFill>
          </w14:textFill>
        </w:rPr>
        <w:t>财务部门代收取</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u w:val="single"/>
          <w14:textFill>
            <w14:solidFill>
              <w14:schemeClr w14:val="tx1"/>
            </w14:solidFill>
          </w14:textFill>
        </w:rPr>
        <w:t>的营业收入，在扣除</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u w:val="single"/>
          <w14:textFill>
            <w14:solidFill>
              <w14:schemeClr w14:val="tx1"/>
            </w14:solidFill>
          </w14:textFill>
        </w:rPr>
        <w:t>应缴纳的各种费用后次月内返还余额，</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u w:val="single"/>
          <w14:textFill>
            <w14:solidFill>
              <w14:schemeClr w14:val="tx1"/>
            </w14:solidFill>
          </w14:textFill>
        </w:rPr>
        <w:t>需开</w:t>
      </w:r>
      <w: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t>具</w:t>
      </w:r>
      <w:r>
        <w:rPr>
          <w:rFonts w:hint="eastAsia" w:asciiTheme="minorEastAsia" w:hAnsiTheme="minorEastAsia" w:eastAsiaTheme="minorEastAsia" w:cstheme="minorEastAsia"/>
          <w:color w:val="000000" w:themeColor="text1"/>
          <w:szCs w:val="21"/>
          <w:u w:val="single"/>
          <w14:textFill>
            <w14:solidFill>
              <w14:schemeClr w14:val="tx1"/>
            </w14:solidFill>
          </w14:textFill>
        </w:rPr>
        <w:t>加盖发票专用章的增值税发票</w:t>
      </w:r>
      <w:r>
        <w:rPr>
          <w:rFonts w:hint="eastAsia" w:ascii="宋体" w:hAnsi="宋体" w:cs="宋体"/>
          <w:color w:val="000000" w:themeColor="text1"/>
          <w:szCs w:val="21"/>
          <w:u w:val="single"/>
          <w14:textFill>
            <w14:solidFill>
              <w14:schemeClr w14:val="tx1"/>
            </w14:solidFill>
          </w14:textFill>
        </w:rPr>
        <w:t>，并提供上月联营窗口结款证明及供货商结款证明。</w:t>
      </w:r>
    </w:p>
    <w:p>
      <w:pPr>
        <w:spacing w:line="360" w:lineRule="auto"/>
        <w:ind w:firstLine="420" w:firstLineChars="200"/>
        <w:contextualSpacing/>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（八）本项目基本大伙不收取设备使用费，风味小吃设备使用费为4%。明细如下表：</w:t>
      </w:r>
    </w:p>
    <w:tbl>
      <w:tblPr>
        <w:tblStyle w:val="19"/>
        <w:tblW w:w="4345"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946"/>
        <w:gridCol w:w="1356"/>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Align w:val="center"/>
          </w:tcPr>
          <w:p>
            <w:pPr>
              <w:spacing w:line="360" w:lineRule="auto"/>
              <w:contextualSpacing/>
              <w:jc w:val="center"/>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标段</w:t>
            </w:r>
          </w:p>
        </w:tc>
        <w:tc>
          <w:tcPr>
            <w:tcW w:w="1946" w:type="dxa"/>
            <w:vAlign w:val="center"/>
          </w:tcPr>
          <w:p>
            <w:pPr>
              <w:spacing w:line="360" w:lineRule="auto"/>
              <w:contextualSpacing/>
              <w:jc w:val="center"/>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食堂（民族餐厅）</w:t>
            </w:r>
          </w:p>
        </w:tc>
        <w:tc>
          <w:tcPr>
            <w:tcW w:w="1356" w:type="dxa"/>
            <w:vAlign w:val="center"/>
          </w:tcPr>
          <w:p>
            <w:pPr>
              <w:spacing w:line="360" w:lineRule="auto"/>
              <w:contextualSpacing/>
              <w:jc w:val="center"/>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经营品种</w:t>
            </w:r>
          </w:p>
        </w:tc>
        <w:tc>
          <w:tcPr>
            <w:tcW w:w="2993" w:type="dxa"/>
            <w:vAlign w:val="center"/>
          </w:tcPr>
          <w:p>
            <w:pPr>
              <w:spacing w:line="360" w:lineRule="auto"/>
              <w:contextualSpacing/>
              <w:jc w:val="center"/>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设备使用费收取比例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1111" w:type="dxa"/>
            <w:vMerge w:val="restart"/>
            <w:vAlign w:val="center"/>
          </w:tcPr>
          <w:p>
            <w:pPr>
              <w:spacing w:line="360" w:lineRule="auto"/>
              <w:contextualSpacing/>
              <w:jc w:val="center"/>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第五标段</w:t>
            </w:r>
          </w:p>
        </w:tc>
        <w:tc>
          <w:tcPr>
            <w:tcW w:w="1946" w:type="dxa"/>
            <w:vMerge w:val="restart"/>
            <w:vAlign w:val="center"/>
          </w:tcPr>
          <w:p>
            <w:pPr>
              <w:spacing w:line="360" w:lineRule="auto"/>
              <w:contextualSpacing/>
              <w:jc w:val="center"/>
              <w:outlineLvl w:val="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涵英楼餐厅</w:t>
            </w:r>
          </w:p>
          <w:p>
            <w:pPr>
              <w:spacing w:line="360" w:lineRule="auto"/>
              <w:contextualSpacing/>
              <w:jc w:val="center"/>
              <w:outlineLvl w:val="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惠风苑二层</w:t>
            </w:r>
          </w:p>
          <w:p>
            <w:pPr>
              <w:spacing w:line="360" w:lineRule="auto"/>
              <w:contextualSpacing/>
              <w:jc w:val="center"/>
              <w:outlineLvl w:val="0"/>
              <w:rPr>
                <w:rFonts w:hint="default"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2号移动售餐车</w:t>
            </w:r>
          </w:p>
        </w:tc>
        <w:tc>
          <w:tcPr>
            <w:tcW w:w="1356" w:type="dxa"/>
            <w:vAlign w:val="center"/>
          </w:tcPr>
          <w:p>
            <w:pPr>
              <w:spacing w:line="360" w:lineRule="auto"/>
              <w:contextualSpacing/>
              <w:jc w:val="center"/>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基本大伙</w:t>
            </w:r>
          </w:p>
        </w:tc>
        <w:tc>
          <w:tcPr>
            <w:tcW w:w="2993" w:type="dxa"/>
            <w:vAlign w:val="center"/>
          </w:tcPr>
          <w:p>
            <w:pPr>
              <w:spacing w:line="360" w:lineRule="auto"/>
              <w:contextualSpacing/>
              <w:jc w:val="center"/>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Merge w:val="continue"/>
            <w:vAlign w:val="center"/>
          </w:tcPr>
          <w:p>
            <w:pPr>
              <w:spacing w:line="360" w:lineRule="auto"/>
              <w:contextualSpacing/>
              <w:jc w:val="center"/>
              <w:outlineLvl w:val="0"/>
              <w:rPr>
                <w:rFonts w:asciiTheme="minorEastAsia" w:hAnsiTheme="minorEastAsia" w:eastAsiaTheme="minorEastAsia" w:cstheme="minorEastAsia"/>
                <w:color w:val="000000" w:themeColor="text1"/>
                <w:szCs w:val="21"/>
                <w14:textFill>
                  <w14:solidFill>
                    <w14:schemeClr w14:val="tx1"/>
                  </w14:solidFill>
                </w14:textFill>
              </w:rPr>
            </w:pPr>
          </w:p>
        </w:tc>
        <w:tc>
          <w:tcPr>
            <w:tcW w:w="1946" w:type="dxa"/>
            <w:vMerge w:val="continue"/>
            <w:vAlign w:val="center"/>
          </w:tcPr>
          <w:p>
            <w:pPr>
              <w:spacing w:line="360" w:lineRule="auto"/>
              <w:contextualSpacing/>
              <w:jc w:val="center"/>
              <w:outlineLvl w:val="0"/>
              <w:rPr>
                <w:rFonts w:asciiTheme="minorEastAsia" w:hAnsiTheme="minorEastAsia" w:eastAsiaTheme="minorEastAsia" w:cstheme="minorEastAsia"/>
                <w:color w:val="000000" w:themeColor="text1"/>
                <w:szCs w:val="21"/>
                <w14:textFill>
                  <w14:solidFill>
                    <w14:schemeClr w14:val="tx1"/>
                  </w14:solidFill>
                </w14:textFill>
              </w:rPr>
            </w:pPr>
          </w:p>
        </w:tc>
        <w:tc>
          <w:tcPr>
            <w:tcW w:w="1356" w:type="dxa"/>
            <w:vAlign w:val="center"/>
          </w:tcPr>
          <w:p>
            <w:pPr>
              <w:spacing w:line="360" w:lineRule="auto"/>
              <w:contextualSpacing/>
              <w:jc w:val="center"/>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风味小吃</w:t>
            </w:r>
          </w:p>
        </w:tc>
        <w:tc>
          <w:tcPr>
            <w:tcW w:w="2993" w:type="dxa"/>
            <w:vAlign w:val="center"/>
          </w:tcPr>
          <w:p>
            <w:pPr>
              <w:spacing w:line="360" w:lineRule="auto"/>
              <w:contextualSpacing/>
              <w:jc w:val="center"/>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r>
    </w:tbl>
    <w:p>
      <w:pPr>
        <w:pStyle w:val="2"/>
        <w:rPr>
          <w:rFonts w:hint="default"/>
          <w:color w:val="000000" w:themeColor="text1"/>
          <w:sz w:val="21"/>
          <w:szCs w:val="21"/>
          <w14:textFill>
            <w14:solidFill>
              <w14:schemeClr w14:val="tx1"/>
            </w14:solidFill>
          </w14:textFill>
        </w:rPr>
      </w:pPr>
    </w:p>
    <w:p>
      <w:pPr>
        <w:spacing w:line="360" w:lineRule="auto"/>
        <w:ind w:firstLine="420" w:firstLineChars="200"/>
        <w:contextualSpacing/>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（九）</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应具有为学生提供优质餐饮服务的经营理念和良好的职业道德，充分认识高校餐饮所具有的明显公益性特点。</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经营纯利润不超过营业额的2%。</w:t>
      </w:r>
    </w:p>
    <w:p>
      <w:pPr>
        <w:spacing w:line="360" w:lineRule="auto"/>
        <w:ind w:firstLine="420" w:firstLineChars="200"/>
        <w:contextualSpacing/>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（十）</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经营范围为：</w:t>
      </w:r>
      <w:r>
        <w:rPr>
          <w:rFonts w:hint="eastAsia" w:asciiTheme="minorEastAsia" w:hAnsiTheme="minorEastAsia" w:eastAsiaTheme="minorEastAsia" w:cstheme="minorEastAsia"/>
          <w:color w:val="000000" w:themeColor="text1"/>
          <w:szCs w:val="21"/>
          <w:lang w:val="zh-CN"/>
          <w14:textFill>
            <w14:solidFill>
              <w14:schemeClr w14:val="tx1"/>
            </w14:solidFill>
          </w14:textFill>
        </w:rPr>
        <w:t>主营民族风味</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应具备《陕西省清真食品生产经营管理条例》中从事清真食品生产经营的企业条件：</w:t>
      </w:r>
    </w:p>
    <w:p>
      <w:pPr>
        <w:spacing w:line="360" w:lineRule="auto"/>
        <w:ind w:firstLine="420" w:firstLineChars="200"/>
        <w:contextualSpacing/>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1、企业法定代表人应当是回族等少数民族公民，回族等少数民族员工所占比例不得低于30％；</w:t>
      </w:r>
    </w:p>
    <w:p>
      <w:pPr>
        <w:spacing w:line="360" w:lineRule="auto"/>
        <w:ind w:firstLine="420" w:firstLineChars="200"/>
        <w:contextualSpacing/>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2、屠宰、采购、配料、烹制、储运等工作岗位从业人员应当是回族等少数民族公民；</w:t>
      </w:r>
    </w:p>
    <w:p>
      <w:pPr>
        <w:spacing w:line="360" w:lineRule="auto"/>
        <w:ind w:firstLine="420" w:firstLineChars="200"/>
        <w:contextualSpacing/>
        <w:outlineLvl w:val="0"/>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3、清真食品生产经营监督管理制度健全。</w:t>
      </w:r>
    </w:p>
    <w:p>
      <w:pPr>
        <w:spacing w:line="360" w:lineRule="auto"/>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（十一）</w:t>
      </w:r>
      <w:r>
        <w:rPr>
          <w:rFonts w:hint="eastAsia"/>
          <w:color w:val="000000" w:themeColor="text1"/>
          <w:szCs w:val="21"/>
          <w:lang w:eastAsia="zh-CN"/>
          <w14:textFill>
            <w14:solidFill>
              <w14:schemeClr w14:val="tx1"/>
            </w14:solidFill>
          </w14:textFill>
        </w:rPr>
        <w:t>投标人</w:t>
      </w:r>
      <w:r>
        <w:rPr>
          <w:rFonts w:hint="eastAsia"/>
          <w:color w:val="000000" w:themeColor="text1"/>
          <w:szCs w:val="21"/>
          <w14:textFill>
            <w14:solidFill>
              <w14:schemeClr w14:val="tx1"/>
            </w14:solidFill>
          </w14:textFill>
        </w:rPr>
        <w:t>需根据</w:t>
      </w:r>
      <w:r>
        <w:rPr>
          <w:rFonts w:hint="eastAsia"/>
          <w:color w:val="000000" w:themeColor="text1"/>
          <w:szCs w:val="21"/>
          <w:lang w:eastAsia="zh-CN"/>
          <w14:textFill>
            <w14:solidFill>
              <w14:schemeClr w14:val="tx1"/>
            </w14:solidFill>
          </w14:textFill>
        </w:rPr>
        <w:t>采购人</w:t>
      </w:r>
      <w:r>
        <w:rPr>
          <w:rFonts w:hint="eastAsia"/>
          <w:color w:val="000000" w:themeColor="text1"/>
          <w:szCs w:val="21"/>
          <w14:textFill>
            <w14:solidFill>
              <w14:schemeClr w14:val="tx1"/>
            </w14:solidFill>
          </w14:textFill>
        </w:rPr>
        <w:t>要求对项目需要进行修缮改造，相关投入成本需经</w:t>
      </w:r>
      <w:r>
        <w:rPr>
          <w:rFonts w:hint="eastAsia"/>
          <w:color w:val="000000" w:themeColor="text1"/>
          <w:szCs w:val="21"/>
          <w:lang w:eastAsia="zh-CN"/>
          <w14:textFill>
            <w14:solidFill>
              <w14:schemeClr w14:val="tx1"/>
            </w14:solidFill>
          </w14:textFill>
        </w:rPr>
        <w:t>采购人</w:t>
      </w:r>
      <w:r>
        <w:rPr>
          <w:rFonts w:hint="eastAsia"/>
          <w:color w:val="000000" w:themeColor="text1"/>
          <w:szCs w:val="21"/>
          <w14:textFill>
            <w14:solidFill>
              <w14:schemeClr w14:val="tx1"/>
            </w14:solidFill>
          </w14:textFill>
        </w:rPr>
        <w:t>审计。</w:t>
      </w:r>
    </w:p>
    <w:p>
      <w:pPr>
        <w:numPr>
          <w:ilvl w:val="255"/>
          <w:numId w:val="0"/>
        </w:numPr>
        <w:spacing w:line="360" w:lineRule="auto"/>
        <w:ind w:firstLine="420" w:firstLineChars="200"/>
        <w:contextualSpacing/>
        <w:jc w:val="left"/>
        <w:rPr>
          <w:rFonts w:ascii="宋体" w:hAnsi="宋体" w:cs="宋体"/>
          <w:color w:val="000000" w:themeColor="text1"/>
          <w:sz w:val="24"/>
          <w14:textFill>
            <w14:solidFill>
              <w14:schemeClr w14:val="tx1"/>
            </w14:solidFill>
          </w14:textFill>
        </w:rPr>
      </w:pPr>
      <w:r>
        <w:rPr>
          <w:rFonts w:hint="eastAsia"/>
          <w:color w:val="000000" w:themeColor="text1"/>
          <w:szCs w:val="21"/>
          <w14:textFill>
            <w14:solidFill>
              <w14:schemeClr w14:val="tx1"/>
            </w14:solidFill>
          </w14:textFill>
        </w:rPr>
        <w:t>（十二）监督机制：全方位监督、全过程监管、全员参与监管</w:t>
      </w:r>
    </w:p>
    <w:p>
      <w:pPr>
        <w:numPr>
          <w:ilvl w:val="255"/>
          <w:numId w:val="0"/>
        </w:numPr>
        <w:spacing w:line="360" w:lineRule="auto"/>
        <w:ind w:firstLine="420" w:firstLineChars="200"/>
        <w:contextualSpacing/>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rFonts w:hint="eastAsia"/>
          <w:color w:val="000000" w:themeColor="text1"/>
          <w:szCs w:val="21"/>
          <w:lang w:eastAsia="zh-CN"/>
          <w14:textFill>
            <w14:solidFill>
              <w14:schemeClr w14:val="tx1"/>
            </w14:solidFill>
          </w14:textFill>
        </w:rPr>
        <w:t>采购人</w:t>
      </w:r>
      <w:r>
        <w:rPr>
          <w:rFonts w:hint="eastAsia"/>
          <w:color w:val="000000" w:themeColor="text1"/>
          <w:szCs w:val="21"/>
          <w14:textFill>
            <w14:solidFill>
              <w14:schemeClr w14:val="tx1"/>
            </w14:solidFill>
          </w14:textFill>
        </w:rPr>
        <w:t>采取全方位巡检、专项（消防、安全）检查、定期考核（每月一次）、定期组织座谈（每季度一次），查找服务过程中存在的问题和不足，及时沟通协调服务企业，确保对外包服务企业提供的服务质量实现全方位监管。</w:t>
      </w:r>
    </w:p>
    <w:p>
      <w:pPr>
        <w:spacing w:line="360" w:lineRule="auto"/>
        <w:ind w:firstLine="420" w:firstLineChars="200"/>
        <w:contextualSpacing/>
        <w:rPr>
          <w:b/>
          <w:bCs/>
          <w:color w:val="000000" w:themeColor="text1"/>
          <w14:textFill>
            <w14:solidFill>
              <w14:schemeClr w14:val="tx1"/>
            </w14:solidFill>
          </w14:textFill>
        </w:rPr>
      </w:pPr>
      <w:r>
        <w:rPr>
          <w:rFonts w:hint="eastAsia"/>
          <w:color w:val="000000" w:themeColor="text1"/>
          <w:szCs w:val="21"/>
          <w14:textFill>
            <w14:solidFill>
              <w14:schemeClr w14:val="tx1"/>
            </w14:solidFill>
          </w14:textFill>
        </w:rPr>
        <w:t>2、</w:t>
      </w:r>
      <w:r>
        <w:rPr>
          <w:rFonts w:hint="eastAsia"/>
          <w:color w:val="000000" w:themeColor="text1"/>
          <w:szCs w:val="21"/>
          <w:lang w:eastAsia="zh-CN"/>
          <w14:textFill>
            <w14:solidFill>
              <w14:schemeClr w14:val="tx1"/>
            </w14:solidFill>
          </w14:textFill>
        </w:rPr>
        <w:t>采购人</w:t>
      </w:r>
      <w:r>
        <w:rPr>
          <w:rFonts w:hint="eastAsia"/>
          <w:color w:val="000000" w:themeColor="text1"/>
          <w:szCs w:val="21"/>
          <w14:textFill>
            <w14:solidFill>
              <w14:schemeClr w14:val="tx1"/>
            </w14:solidFill>
          </w14:textFill>
        </w:rPr>
        <w:t>对</w:t>
      </w:r>
      <w:r>
        <w:rPr>
          <w:rFonts w:hint="eastAsia"/>
          <w:color w:val="000000" w:themeColor="text1"/>
          <w:szCs w:val="21"/>
          <w:lang w:eastAsia="zh-CN"/>
          <w14:textFill>
            <w14:solidFill>
              <w14:schemeClr w14:val="tx1"/>
            </w14:solidFill>
          </w14:textFill>
        </w:rPr>
        <w:t>投标人</w:t>
      </w:r>
      <w:r>
        <w:rPr>
          <w:rFonts w:hint="eastAsia"/>
          <w:color w:val="000000" w:themeColor="text1"/>
          <w:szCs w:val="21"/>
          <w14:textFill>
            <w14:solidFill>
              <w14:schemeClr w14:val="tx1"/>
            </w14:solidFill>
          </w14:textFill>
        </w:rPr>
        <w:t>的服务质量、安全质量、菜品价格及成本核算、物资采购、财务经营状况、等进行全过程监督检查管理。</w:t>
      </w:r>
    </w:p>
    <w:p>
      <w:pPr>
        <w:spacing w:line="360" w:lineRule="auto"/>
        <w:ind w:firstLine="420" w:firstLineChars="200"/>
        <w:contextualSpacing/>
        <w:jc w:val="left"/>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3、</w:t>
      </w:r>
      <w:r>
        <w:rPr>
          <w:rFonts w:hint="eastAsia"/>
          <w:color w:val="000000" w:themeColor="text1"/>
          <w:szCs w:val="21"/>
          <w:lang w:eastAsia="zh-CN"/>
          <w14:textFill>
            <w14:solidFill>
              <w14:schemeClr w14:val="tx1"/>
            </w14:solidFill>
          </w14:textFill>
        </w:rPr>
        <w:t>采购人</w:t>
      </w:r>
      <w:r>
        <w:rPr>
          <w:rFonts w:hint="eastAsia"/>
          <w:color w:val="000000" w:themeColor="text1"/>
          <w:szCs w:val="21"/>
          <w14:textFill>
            <w14:solidFill>
              <w14:schemeClr w14:val="tx1"/>
            </w14:solidFill>
          </w14:textFill>
        </w:rPr>
        <w:t>通过建立饮食服务监督平台，促使饮食服务自觉、积极地接受全校师生员工的监督；利用数字后勤平台，及时收集和掌握师生对饮食服务的意见和建议，及时改进工作。</w:t>
      </w:r>
    </w:p>
    <w:bookmarkEnd w:id="1"/>
    <w:bookmarkEnd w:id="2"/>
    <w:bookmarkEnd w:id="3"/>
    <w:p>
      <w:pPr>
        <w:tabs>
          <w:tab w:val="left" w:pos="900"/>
        </w:tabs>
        <w:spacing w:line="460" w:lineRule="exact"/>
        <w:rPr>
          <w:rFonts w:ascii="宋体" w:hAnsi="宋体" w:cs="宋体"/>
          <w:b/>
          <w:bCs/>
          <w:color w:val="000000" w:themeColor="text1"/>
          <w:szCs w:val="21"/>
          <w14:textFill>
            <w14:solidFill>
              <w14:schemeClr w14:val="tx1"/>
            </w14:solidFill>
          </w14:textFill>
        </w:rPr>
      </w:pPr>
      <w:bookmarkStart w:id="5" w:name="_Toc306283696"/>
      <w:bookmarkStart w:id="6" w:name="_Toc323897760"/>
      <w:r>
        <w:rPr>
          <w:rFonts w:hint="eastAsia" w:hAnsi="宋体"/>
          <w:b/>
          <w:color w:val="000000" w:themeColor="text1"/>
          <w:szCs w:val="21"/>
          <w14:textFill>
            <w14:solidFill>
              <w14:schemeClr w14:val="tx1"/>
            </w14:solidFill>
          </w14:textFill>
        </w:rPr>
        <w:t>二、</w:t>
      </w:r>
      <w:r>
        <w:rPr>
          <w:rFonts w:hint="eastAsia" w:ascii="宋体" w:hAnsi="宋体" w:cs="宋体"/>
          <w:b/>
          <w:bCs/>
          <w:color w:val="000000" w:themeColor="text1"/>
          <w:szCs w:val="21"/>
          <w14:textFill>
            <w14:solidFill>
              <w14:schemeClr w14:val="tx1"/>
            </w14:solidFill>
          </w14:textFill>
        </w:rPr>
        <w:t>服务内容</w:t>
      </w:r>
      <w:r>
        <w:rPr>
          <w:rFonts w:hint="eastAsia" w:hAnsi="宋体"/>
          <w:b/>
          <w:color w:val="000000" w:themeColor="text1"/>
          <w:szCs w:val="21"/>
          <w14:textFill>
            <w14:solidFill>
              <w14:schemeClr w14:val="tx1"/>
            </w14:solidFill>
          </w14:textFill>
        </w:rPr>
        <w:t>（★项为实质性响应内容，必须逐条响应，不响应或未完全响应为无效投标）</w:t>
      </w:r>
    </w:p>
    <w:p>
      <w:pPr>
        <w:spacing w:line="360" w:lineRule="auto"/>
        <w:ind w:firstLine="420" w:firstLineChars="200"/>
        <w:contextualSpacing/>
        <w:outlineLvl w:val="1"/>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为食堂责任主体，自主经营、自负盈亏，负责人员配置、环境布局、功能改造、原材料采购、食品加工销售、消防安全管理、生产安全管理、食品安全管理、设备维修维护、日常运行耗材等。</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必须依法经营，服从</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14:textFill>
            <w14:solidFill>
              <w14:schemeClr w14:val="tx1"/>
            </w14:solidFill>
          </w14:textFill>
        </w:rPr>
        <w:t>所有规章制度。</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应建立健全生产、安全、保密、卫生、人员管理、应急处置等食堂内部管理制度，建立健全各类工作台账，接受</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14:textFill>
            <w14:solidFill>
              <w14:schemeClr w14:val="tx1"/>
            </w14:solidFill>
          </w14:textFill>
        </w:rPr>
        <w:t>监管。</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应依法与员工签订劳动合同，及时发放员工工资及其他国家规定的福利及保障。</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不得以任何形式或理由转包。自营比例需达到30%</w:t>
      </w:r>
      <w:r>
        <w:rPr>
          <w:rFonts w:hint="eastAsia" w:ascii="宋体" w:hAnsi="宋体" w:cs="宋体"/>
          <w:color w:val="000000" w:themeColor="text1"/>
          <w:szCs w:val="21"/>
          <w14:textFill>
            <w14:solidFill>
              <w14:schemeClr w14:val="tx1"/>
            </w14:solidFill>
          </w14:textFill>
        </w:rPr>
        <w:t>及</w:t>
      </w:r>
      <w:r>
        <w:rPr>
          <w:rFonts w:hint="eastAsia" w:asciiTheme="minorEastAsia" w:hAnsiTheme="minorEastAsia" w:eastAsiaTheme="minorEastAsia" w:cstheme="minorEastAsia"/>
          <w:color w:val="000000" w:themeColor="text1"/>
          <w:szCs w:val="21"/>
          <w14:textFill>
            <w14:solidFill>
              <w14:schemeClr w14:val="tx1"/>
            </w14:solidFill>
          </w14:textFill>
        </w:rPr>
        <w:t>以上，联营窗口的合同签订须在</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14:textFill>
            <w14:solidFill>
              <w14:schemeClr w14:val="tx1"/>
            </w14:solidFill>
          </w14:textFill>
        </w:rPr>
        <w:t>监督下实施，并在</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14:textFill>
            <w14:solidFill>
              <w14:schemeClr w14:val="tx1"/>
            </w14:solidFill>
          </w14:textFill>
        </w:rPr>
        <w:t>备案，收取联营窗口的综合管理费不得超过25%（包含水电气费、洗消保洁费、宣传费、工装费、福利费、保险费、杂品费、房租、差旅办公费、设施设备维修费以及</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的设备使用费等，不得额外收取其他费用），联营窗口的主要负责人需在食堂现场经营管理，</w:t>
      </w:r>
      <w:r>
        <w:rPr>
          <w:rFonts w:hint="eastAsia" w:ascii="宋体" w:hAnsi="宋体" w:cs="宋体"/>
          <w:color w:val="000000" w:themeColor="text1"/>
          <w:szCs w:val="21"/>
          <w14:textFill>
            <w14:solidFill>
              <w14:schemeClr w14:val="tx1"/>
            </w14:solidFill>
          </w14:textFill>
        </w:rPr>
        <w:t>若</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联营窗口不符合</w:t>
      </w:r>
      <w:r>
        <w:rPr>
          <w:rFonts w:hint="eastAsia" w:ascii="宋体" w:hAnsi="宋体" w:cs="宋体"/>
          <w:color w:val="000000" w:themeColor="text1"/>
          <w:szCs w:val="21"/>
          <w:lang w:eastAsia="zh-CN"/>
          <w14:textFill>
            <w14:solidFill>
              <w14:schemeClr w14:val="tx1"/>
            </w14:solidFill>
          </w14:textFill>
        </w:rPr>
        <w:t>采购人</w:t>
      </w:r>
      <w:r>
        <w:rPr>
          <w:rFonts w:hint="eastAsia" w:ascii="宋体" w:hAnsi="宋体" w:cs="宋体"/>
          <w:color w:val="000000" w:themeColor="text1"/>
          <w:szCs w:val="21"/>
          <w14:textFill>
            <w14:solidFill>
              <w14:schemeClr w14:val="tx1"/>
            </w14:solidFill>
          </w14:textFill>
        </w:rPr>
        <w:t>管理要求，</w:t>
      </w:r>
      <w:r>
        <w:rPr>
          <w:rFonts w:hint="eastAsia" w:ascii="宋体" w:hAnsi="宋体" w:cs="宋体"/>
          <w:color w:val="000000" w:themeColor="text1"/>
          <w:szCs w:val="21"/>
          <w:lang w:eastAsia="zh-CN"/>
          <w14:textFill>
            <w14:solidFill>
              <w14:schemeClr w14:val="tx1"/>
            </w14:solidFill>
          </w14:textFill>
        </w:rPr>
        <w:t>采购人</w:t>
      </w:r>
      <w:r>
        <w:rPr>
          <w:rFonts w:hint="eastAsia" w:ascii="宋体" w:hAnsi="宋体" w:cs="宋体"/>
          <w:color w:val="000000" w:themeColor="text1"/>
          <w:szCs w:val="21"/>
          <w14:textFill>
            <w14:solidFill>
              <w14:schemeClr w14:val="tx1"/>
            </w14:solidFill>
          </w14:textFill>
        </w:rPr>
        <w:t>有权要求直接清退，</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需无条件服从。</w:t>
      </w:r>
    </w:p>
    <w:p>
      <w:pPr>
        <w:spacing w:line="360" w:lineRule="auto"/>
        <w:ind w:firstLine="420" w:firstLineChars="200"/>
        <w:contextualSpacing/>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应做好食堂日常生产、就餐环境、设施设备、人员管理等工作，具体包括但不限于制度建设、原材料采购管理、验收管理、仓库（贮存）管理、台账记录、餐用具洗消、保洁消杀、六防管理、节能降耗、成本控制、售价管理、食品卫生、消防安全、生产安全、疫情防控、应急预案、演练、制止餐饮浪费、垃圾分类、固定资产管理、员工管理、团队建设，以及各项登记、统计、计划、总结撰写编制工作等。</w:t>
      </w:r>
    </w:p>
    <w:p>
      <w:pPr>
        <w:tabs>
          <w:tab w:val="left" w:pos="900"/>
        </w:tabs>
        <w:spacing w:line="460" w:lineRule="exac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三、内控管理要求</w:t>
      </w:r>
      <w:r>
        <w:rPr>
          <w:rFonts w:hint="eastAsia" w:hAnsi="宋体"/>
          <w:b/>
          <w:color w:val="000000" w:themeColor="text1"/>
          <w:szCs w:val="21"/>
          <w14:textFill>
            <w14:solidFill>
              <w14:schemeClr w14:val="tx1"/>
            </w14:solidFill>
          </w14:textFill>
        </w:rPr>
        <w:t>（★项为实质性响应内容，必须逐条响应，不响应或未完全响应为无效投标）</w:t>
      </w:r>
    </w:p>
    <w:p>
      <w:pPr>
        <w:spacing w:line="360" w:lineRule="auto"/>
        <w:ind w:firstLine="422" w:firstLineChars="200"/>
        <w:contextualSpacing/>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（一）内控管理方案</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需制定详细的、科学的经营服务管理方案及实施保证措施。建立健全财务、人事、考勤、采购、服务、保洁等日常管理制度，每月至少两次对交大创新港项目进行巡检、考核，并及时向</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反馈巡检问题、当月财务报表等各项数据，加强企业内部的管理，做好稳定餐饮供应的质量和安全工作。方案主要包括以下几点： </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1、内控管理的规章制度、实施措施；</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2、委托经营服务整体设想及策划； </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3、设备资金投入计划； </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4、人员配备、管理、培训计划及考勤考核方案，管理层的考勤由总公司统一安排，并报</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14:textFill>
            <w14:solidFill>
              <w14:schemeClr w14:val="tx1"/>
            </w14:solidFill>
          </w14:textFill>
        </w:rPr>
        <w:t>同意后实施；</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5、对本项目的巡检、考核方案； </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6、对窗口的管理、考核、评比方案。</w:t>
      </w:r>
    </w:p>
    <w:p>
      <w:pPr>
        <w:spacing w:line="360" w:lineRule="auto"/>
        <w:ind w:firstLine="422" w:firstLineChars="200"/>
        <w:contextualSpacing/>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★（二）餐饮联盟及考核奖励金制度</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1、五个标段的餐饮公司成立餐饮联盟，根据联盟章程选举盟主，盟主负责联盟日常管理、外出调研学习、技能比拼、活动举办、考核专项资金管理分发等事宜。</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缴纳团队考核专项资金，作为管理团队的月度、年度考核奖励资金，由</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14:textFill>
            <w14:solidFill>
              <w14:schemeClr w14:val="tx1"/>
            </w14:solidFill>
          </w14:textFill>
        </w:rPr>
        <w:t>进行定期考核，考核奖励资金由盟主根据</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14:textFill>
            <w14:solidFill>
              <w14:schemeClr w14:val="tx1"/>
            </w14:solidFill>
          </w14:textFill>
        </w:rPr>
        <w:t>要求下发到各餐饮公司项目团队。资金额度按照管理团队人员计算，标准为1000元/月/人。</w:t>
      </w:r>
    </w:p>
    <w:p>
      <w:pPr>
        <w:numPr>
          <w:ilvl w:val="255"/>
          <w:numId w:val="0"/>
        </w:numPr>
        <w:spacing w:line="360" w:lineRule="auto"/>
        <w:ind w:firstLine="422" w:firstLineChars="200"/>
        <w:contextualSpacing/>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★（三）本地化服务要求</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需具备本地化服务能力，是指具有以下条件之一： </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在在西安或咸阳注册成立的； </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在西安或咸阳设立分公司的；</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在西安或咸阳设立本地管理部门的。</w:t>
      </w:r>
    </w:p>
    <w:p>
      <w:pPr>
        <w:pStyle w:val="2"/>
        <w:spacing w:line="360" w:lineRule="auto"/>
        <w:ind w:firstLine="420" w:firstLineChars="200"/>
        <w:contextualSpacing/>
        <w:rPr>
          <w:rFonts w:hint="default" w:asciiTheme="minorEastAsia" w:hAnsiTheme="minorEastAsia" w:eastAsiaTheme="minorEastAsia" w:cstheme="minorEastAsia"/>
          <w:color w:val="000000" w:themeColor="text1"/>
          <w:kern w:val="2"/>
          <w:sz w:val="21"/>
          <w:szCs w:val="21"/>
          <w14:textFill>
            <w14:solidFill>
              <w14:schemeClr w14:val="tx1"/>
            </w14:solidFill>
          </w14:textFill>
        </w:rPr>
      </w:pPr>
      <w:r>
        <w:rPr>
          <w:rFonts w:asciiTheme="minorEastAsia" w:hAnsiTheme="minorEastAsia" w:eastAsiaTheme="minorEastAsia" w:cstheme="minorEastAsia"/>
          <w:color w:val="000000" w:themeColor="text1"/>
          <w:kern w:val="2"/>
          <w:sz w:val="21"/>
          <w:szCs w:val="21"/>
          <w14:textFill>
            <w14:solidFill>
              <w14:schemeClr w14:val="tx1"/>
            </w14:solidFill>
          </w14:textFill>
        </w:rPr>
        <w:t>安排主要负责人对创新港项目的运行团队进行针对性管理，并定期向</w:t>
      </w:r>
      <w:r>
        <w:rPr>
          <w:rFonts w:hint="eastAsia" w:asciiTheme="minorEastAsia" w:hAnsiTheme="minorEastAsia" w:eastAsiaTheme="minorEastAsia" w:cstheme="minorEastAsia"/>
          <w:color w:val="000000" w:themeColor="text1"/>
          <w:kern w:val="2"/>
          <w:sz w:val="21"/>
          <w:szCs w:val="21"/>
          <w:lang w:eastAsia="zh-CN"/>
          <w14:textFill>
            <w14:solidFill>
              <w14:schemeClr w14:val="tx1"/>
            </w14:solidFill>
          </w14:textFill>
        </w:rPr>
        <w:t>采购人</w:t>
      </w:r>
      <w:r>
        <w:rPr>
          <w:rFonts w:asciiTheme="minorEastAsia" w:hAnsiTheme="minorEastAsia" w:eastAsiaTheme="minorEastAsia" w:cstheme="minorEastAsia"/>
          <w:color w:val="000000" w:themeColor="text1"/>
          <w:kern w:val="2"/>
          <w:sz w:val="21"/>
          <w:szCs w:val="21"/>
          <w14:textFill>
            <w14:solidFill>
              <w14:schemeClr w14:val="tx1"/>
            </w14:solidFill>
          </w14:textFill>
        </w:rPr>
        <w:t>反馈监管情况。</w:t>
      </w:r>
    </w:p>
    <w:p>
      <w:pPr>
        <w:tabs>
          <w:tab w:val="left" w:pos="900"/>
        </w:tabs>
        <w:spacing w:line="460" w:lineRule="exact"/>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★四、产品布局要求</w:t>
      </w:r>
      <w:r>
        <w:rPr>
          <w:rFonts w:hint="eastAsia" w:hAnsi="宋体"/>
          <w:b/>
          <w:color w:val="000000" w:themeColor="text1"/>
          <w:szCs w:val="21"/>
          <w14:textFill>
            <w14:solidFill>
              <w14:schemeClr w14:val="tx1"/>
            </w14:solidFill>
          </w14:textFill>
        </w:rPr>
        <w:t>（★项为实质性响应内容，必须逐条响应，不响应或未完全响应为无效投标）</w:t>
      </w:r>
    </w:p>
    <w:bookmarkEnd w:id="5"/>
    <w:bookmarkEnd w:id="6"/>
    <w:p>
      <w:pPr>
        <w:numPr>
          <w:ilvl w:val="0"/>
          <w:numId w:val="1"/>
        </w:numPr>
        <w:spacing w:line="360" w:lineRule="auto"/>
        <w:ind w:firstLine="420" w:firstLineChars="200"/>
        <w:contextualSpacing/>
        <w:jc w:val="left"/>
        <w:rPr>
          <w:rFonts w:asciiTheme="minorEastAsia" w:hAnsiTheme="minorEastAsia" w:eastAsiaTheme="minorEastAsia" w:cstheme="minorEastAsia"/>
          <w:color w:val="000000" w:themeColor="text1"/>
          <w:szCs w:val="21"/>
          <w14:textFill>
            <w14:solidFill>
              <w14:schemeClr w14:val="tx1"/>
            </w14:solidFill>
          </w14:textFill>
        </w:rPr>
      </w:pPr>
      <w:bookmarkStart w:id="7" w:name="_Toc306283697"/>
      <w:bookmarkStart w:id="8" w:name="_Toc4539"/>
      <w:bookmarkStart w:id="9" w:name="_Toc323897761"/>
      <w:r>
        <w:rPr>
          <w:rFonts w:hint="eastAsia" w:asciiTheme="minorEastAsia" w:hAnsiTheme="minorEastAsia" w:eastAsiaTheme="minorEastAsia" w:cstheme="minorEastAsia"/>
          <w:color w:val="000000" w:themeColor="text1"/>
          <w:szCs w:val="21"/>
          <w14:textFill>
            <w14:solidFill>
              <w14:schemeClr w14:val="tx1"/>
            </w14:solidFill>
          </w14:textFill>
        </w:rPr>
        <w:t>除基本大伙外，产品不得重复，确保产品种类丰富，满足多元化就餐需求。</w:t>
      </w:r>
    </w:p>
    <w:p>
      <w:pPr>
        <w:numPr>
          <w:ilvl w:val="0"/>
          <w:numId w:val="1"/>
        </w:numPr>
        <w:spacing w:line="360" w:lineRule="auto"/>
        <w:ind w:firstLine="420" w:firstLineChars="200"/>
        <w:contextualSpacing/>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自营基本大伙窗口不得低于30%</w:t>
      </w:r>
      <w:r>
        <w:rPr>
          <w:rFonts w:hint="eastAsia" w:ascii="宋体" w:hAnsi="宋体" w:cs="宋体"/>
          <w:color w:val="000000" w:themeColor="text1"/>
          <w:szCs w:val="21"/>
          <w14:textFill>
            <w14:solidFill>
              <w14:schemeClr w14:val="tx1"/>
            </w14:solidFill>
          </w14:textFill>
        </w:rPr>
        <w:t>，服务人次需占总就餐人次的30%以上</w:t>
      </w:r>
      <w:r>
        <w:rPr>
          <w:rFonts w:hint="eastAsia" w:asciiTheme="minorEastAsia" w:hAnsiTheme="minorEastAsia" w:eastAsiaTheme="minorEastAsia" w:cstheme="minorEastAsia"/>
          <w:color w:val="000000" w:themeColor="text1"/>
          <w:szCs w:val="21"/>
          <w14:textFill>
            <w14:solidFill>
              <w14:schemeClr w14:val="tx1"/>
            </w14:solidFill>
          </w14:textFill>
        </w:rPr>
        <w:t>。</w:t>
      </w:r>
    </w:p>
    <w:p>
      <w:pPr>
        <w:numPr>
          <w:ilvl w:val="0"/>
          <w:numId w:val="1"/>
        </w:numPr>
        <w:spacing w:line="360" w:lineRule="auto"/>
        <w:ind w:firstLine="420" w:firstLineChars="200"/>
        <w:contextualSpacing/>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各餐厅的产品布局包含但不限于以下种类：</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（1）涵英楼餐厅</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1）5个窗口经营早餐，其中基本大伙窗口供应小菜、鸡蛋、画卷、馒头、包子、牛奶、稀饭等限价菜品；其他窗口供应肉丸胡辣汤、油条、豆腐脑、花样饼、包子等特色早餐。</w:t>
      </w:r>
    </w:p>
    <w:p>
      <w:pPr>
        <w:numPr>
          <w:ilvl w:val="0"/>
          <w:numId w:val="2"/>
        </w:num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全部经营午晚餐，基本大伙包括快餐、低盐低脂餐、自助餐等；其他窗口售卖地方牛肉拉面、纯荤菜、泡馍、牛肉水饺、新疆炒米粉等民族风味小吃。</w:t>
      </w:r>
    </w:p>
    <w:p>
      <w:pPr>
        <w:numPr>
          <w:ilvl w:val="0"/>
          <w:numId w:val="2"/>
        </w:num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低价套餐窗口需为独立窗口。</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（2）惠风苑二层</w:t>
      </w:r>
    </w:p>
    <w:p>
      <w:pPr>
        <w:spacing w:line="360" w:lineRule="auto"/>
        <w:ind w:firstLine="420" w:firstLineChars="200"/>
        <w:contextualSpacing/>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1）全部经营民族午晚餐，基本大伙包括快餐、低盐低脂餐等；其他窗口售卖地方牛肉拉面、纯荤菜、新疆大盘鸡、炒拉条、牛肉水饺等民族风味小吃。</w:t>
      </w:r>
    </w:p>
    <w:p>
      <w:pPr>
        <w:spacing w:line="360" w:lineRule="auto"/>
        <w:ind w:firstLine="420" w:firstLineChars="200"/>
        <w:contextualSpacing/>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2）低价套餐窗口需为独立窗口。</w:t>
      </w:r>
    </w:p>
    <w:p>
      <w:pPr>
        <w:pStyle w:val="2"/>
        <w:numPr>
          <w:ilvl w:val="0"/>
          <w:numId w:val="0"/>
        </w:numPr>
        <w:spacing w:line="360" w:lineRule="auto"/>
        <w:ind w:left="420" w:leftChars="0"/>
        <w:rPr>
          <w:rFonts w:hint="default"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ascii="宋体" w:hAnsi="宋体" w:eastAsia="宋体" w:cs="宋体"/>
          <w:color w:val="000000" w:themeColor="text1"/>
          <w:sz w:val="21"/>
          <w:szCs w:val="21"/>
          <w14:textFill>
            <w14:solidFill>
              <w14:schemeClr w14:val="tx1"/>
            </w14:solidFill>
          </w14:textFill>
        </w:rPr>
        <w:t>移动售餐车</w:t>
      </w:r>
    </w:p>
    <w:p>
      <w:pPr>
        <w:spacing w:line="360" w:lineRule="auto"/>
        <w:ind w:firstLine="420" w:firstLineChars="200"/>
        <w:contextualSpacing/>
      </w:pPr>
      <w:r>
        <w:rPr>
          <w:rFonts w:hint="eastAsia" w:ascii="宋体" w:hAnsi="宋体" w:cs="宋体"/>
          <w:color w:val="000000" w:themeColor="text1"/>
          <w:szCs w:val="21"/>
          <w14:textFill>
            <w14:solidFill>
              <w14:schemeClr w14:val="tx1"/>
            </w14:solidFill>
          </w14:textFill>
        </w:rPr>
        <w:t>移动售餐车经营基本大伙，包括早餐及夜宵，如稀饭、饼、炸串、烤冷面、铁板炒饭等，为师生提供便捷可打包的餐饮服务。</w:t>
      </w:r>
    </w:p>
    <w:bookmarkEnd w:id="7"/>
    <w:bookmarkEnd w:id="8"/>
    <w:bookmarkEnd w:id="9"/>
    <w:p>
      <w:pPr>
        <w:tabs>
          <w:tab w:val="left" w:pos="900"/>
        </w:tabs>
        <w:spacing w:line="460" w:lineRule="exact"/>
        <w:rPr>
          <w:rFonts w:ascii="宋体" w:hAnsi="宋体" w:cs="宋体"/>
          <w:b/>
          <w:bCs/>
          <w:color w:val="000000" w:themeColor="text1"/>
          <w:szCs w:val="21"/>
          <w14:textFill>
            <w14:solidFill>
              <w14:schemeClr w14:val="tx1"/>
            </w14:solidFill>
          </w14:textFill>
        </w:rPr>
      </w:pPr>
      <w:bookmarkStart w:id="10" w:name="_Toc17104"/>
      <w:r>
        <w:rPr>
          <w:rFonts w:hint="eastAsia" w:ascii="宋体" w:hAnsi="宋体" w:cs="宋体"/>
          <w:color w:val="000000" w:themeColor="text1"/>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五、供餐保障需求</w:t>
      </w:r>
      <w:r>
        <w:rPr>
          <w:rFonts w:hint="eastAsia" w:hAnsi="宋体"/>
          <w:b/>
          <w:color w:val="000000"/>
          <w:szCs w:val="21"/>
        </w:rPr>
        <w:t>（★项为实质性响应内容，必须逐条响应，不响应或未完全响应为无效投标）</w:t>
      </w:r>
    </w:p>
    <w:p>
      <w:pPr>
        <w:spacing w:line="360" w:lineRule="auto"/>
        <w:ind w:firstLine="422" w:firstLineChars="200"/>
        <w:contextualSpacing/>
        <w:outlineLvl w:val="1"/>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（一）基本大伙保障</w:t>
      </w:r>
      <w:bookmarkEnd w:id="10"/>
    </w:p>
    <w:p>
      <w:pPr>
        <w:spacing w:line="360" w:lineRule="auto"/>
        <w:ind w:firstLine="420" w:firstLineChars="200"/>
        <w:contextualSpacing/>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本项目“基本大伙保障”指体现公益性、保障学生基本生活需要、价格明显低于社会餐饮同等水平的饭菜，主要以快餐、套餐为供应形式，严格按照</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14:textFill>
            <w14:solidFill>
              <w14:schemeClr w14:val="tx1"/>
            </w14:solidFill>
          </w14:textFill>
        </w:rPr>
        <w:t>限定价格向师生提供早、中、晚三餐基本保障。</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14:textFill>
            <w14:solidFill>
              <w14:schemeClr w14:val="tx1"/>
            </w14:solidFill>
          </w14:textFill>
        </w:rPr>
        <w:t>有权对经营时间、产品种类、产品价格进行调整，</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必须执行。基本大伙包含但不限于以下种类：</w:t>
      </w:r>
    </w:p>
    <w:p>
      <w:pPr>
        <w:pStyle w:val="2"/>
        <w:rPr>
          <w:rFonts w:hint="eastAsia" w:asciiTheme="minorEastAsia" w:hAnsiTheme="minorEastAsia" w:eastAsiaTheme="minorEastAsia" w:cstheme="minorEastAsia"/>
          <w:color w:val="000000" w:themeColor="text1"/>
          <w:szCs w:val="21"/>
          <w14:textFill>
            <w14:solidFill>
              <w14:schemeClr w14:val="tx1"/>
            </w14:solidFill>
          </w14:textFill>
        </w:rPr>
      </w:pPr>
    </w:p>
    <w:p>
      <w:pPr>
        <w:pStyle w:val="2"/>
        <w:rPr>
          <w:rFonts w:hint="eastAsia" w:asciiTheme="minorEastAsia" w:hAnsiTheme="minorEastAsia" w:eastAsiaTheme="minorEastAsia" w:cstheme="minorEastAsia"/>
          <w:color w:val="000000" w:themeColor="text1"/>
          <w:szCs w:val="21"/>
          <w14:textFill>
            <w14:solidFill>
              <w14:schemeClr w14:val="tx1"/>
            </w14:solidFill>
          </w14:textFill>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978"/>
        <w:gridCol w:w="1456"/>
        <w:gridCol w:w="4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餐次</w:t>
            </w:r>
          </w:p>
        </w:tc>
        <w:tc>
          <w:tcPr>
            <w:tcW w:w="1978"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供应时间</w:t>
            </w:r>
          </w:p>
        </w:tc>
        <w:tc>
          <w:tcPr>
            <w:tcW w:w="5710" w:type="dxa"/>
            <w:gridSpan w:val="2"/>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 w:type="dxa"/>
            <w:vMerge w:val="restart"/>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早餐</w:t>
            </w:r>
          </w:p>
        </w:tc>
        <w:tc>
          <w:tcPr>
            <w:tcW w:w="1978" w:type="dxa"/>
            <w:vMerge w:val="restart"/>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7：00~9：00</w:t>
            </w:r>
          </w:p>
        </w:tc>
        <w:tc>
          <w:tcPr>
            <w:tcW w:w="1456"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馒头</w:t>
            </w:r>
          </w:p>
        </w:tc>
        <w:tc>
          <w:tcPr>
            <w:tcW w:w="4254"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0.3元/个，每个不低于80g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978"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456"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牛肉包</w:t>
            </w:r>
          </w:p>
        </w:tc>
        <w:tc>
          <w:tcPr>
            <w:tcW w:w="4254"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1元/个，每个不低于80g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978"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456"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素包</w:t>
            </w:r>
          </w:p>
        </w:tc>
        <w:tc>
          <w:tcPr>
            <w:tcW w:w="4254"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0.8元/个，每个不低于80g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978"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456"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牛肉小笼包</w:t>
            </w:r>
          </w:p>
        </w:tc>
        <w:tc>
          <w:tcPr>
            <w:tcW w:w="4254"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8个/6元，每个不低于30g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978"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456"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花卷</w:t>
            </w:r>
          </w:p>
        </w:tc>
        <w:tc>
          <w:tcPr>
            <w:tcW w:w="4254"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0.5元/个，每个不低于80g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978"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456"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油条</w:t>
            </w:r>
          </w:p>
        </w:tc>
        <w:tc>
          <w:tcPr>
            <w:tcW w:w="4254"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0.3元/个，每个不低于50g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978"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456"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豆腐脑</w:t>
            </w:r>
          </w:p>
        </w:tc>
        <w:tc>
          <w:tcPr>
            <w:tcW w:w="4254"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0.9元/100g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978"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456"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肉丸胡辣汤</w:t>
            </w:r>
          </w:p>
        </w:tc>
        <w:tc>
          <w:tcPr>
            <w:tcW w:w="4254"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3元/200g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978"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456"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小菜</w:t>
            </w:r>
          </w:p>
        </w:tc>
        <w:tc>
          <w:tcPr>
            <w:tcW w:w="4254"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0.8元/150g，至少4种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978"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456"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鸡蛋</w:t>
            </w:r>
          </w:p>
        </w:tc>
        <w:tc>
          <w:tcPr>
            <w:tcW w:w="4254"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0.4元/个，每个不低于50g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978"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456"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纯牛奶</w:t>
            </w:r>
          </w:p>
        </w:tc>
        <w:tc>
          <w:tcPr>
            <w:tcW w:w="4254"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1.8元/袋，每袋不少于200g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978"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456"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面包</w:t>
            </w:r>
          </w:p>
        </w:tc>
        <w:tc>
          <w:tcPr>
            <w:tcW w:w="4254"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3元/个，每个不少于80g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978"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456"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青椒饼/豆沙饼/菜夹馍</w:t>
            </w:r>
          </w:p>
        </w:tc>
        <w:tc>
          <w:tcPr>
            <w:tcW w:w="4254"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asciiTheme="minorEastAsia" w:hAnsiTheme="minorEastAsia" w:eastAsiaTheme="minorEastAsia" w:cstheme="minorEastAsia"/>
                <w:color w:val="000000" w:themeColor="text1"/>
                <w:szCs w:val="21"/>
                <w14:textFill>
                  <w14:solidFill>
                    <w14:schemeClr w14:val="tx1"/>
                  </w14:solidFill>
                </w14:textFill>
              </w:rPr>
              <w:t>1元/个，每个不少于100g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978"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456"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粥</w:t>
            </w:r>
          </w:p>
        </w:tc>
        <w:tc>
          <w:tcPr>
            <w:tcW w:w="4254"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白粥0.6元/200g，小米粥、黑米粥等1元/200g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3" w:type="dxa"/>
            <w:vMerge w:val="restart"/>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午晚餐</w:t>
            </w:r>
          </w:p>
        </w:tc>
        <w:tc>
          <w:tcPr>
            <w:tcW w:w="1978" w:type="dxa"/>
            <w:vMerge w:val="restart"/>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午11：00~12：30</w:t>
            </w:r>
          </w:p>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晚17：00~18：30</w:t>
            </w:r>
          </w:p>
        </w:tc>
        <w:tc>
          <w:tcPr>
            <w:tcW w:w="1456"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低价套餐</w:t>
            </w:r>
          </w:p>
        </w:tc>
        <w:tc>
          <w:tcPr>
            <w:tcW w:w="4254" w:type="dxa"/>
            <w:vAlign w:val="center"/>
          </w:tcPr>
          <w:p>
            <w:pPr>
              <w:spacing w:line="360" w:lineRule="auto"/>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一荤一素6元，单份重量不低于6</w:t>
            </w:r>
            <w:r>
              <w:rPr>
                <w:rFonts w:asciiTheme="minorEastAsia" w:hAnsiTheme="minorEastAsia" w:eastAsiaTheme="minorEastAsia" w:cstheme="minorEastAsia"/>
                <w:color w:val="000000" w:themeColor="text1"/>
                <w:szCs w:val="21"/>
                <w14:textFill>
                  <w14:solidFill>
                    <w14:schemeClr w14:val="tx1"/>
                  </w14:solidFill>
                </w14:textFill>
              </w:rPr>
              <w:t>00</w:t>
            </w:r>
            <w:r>
              <w:rPr>
                <w:rFonts w:hint="eastAsia" w:asciiTheme="minorEastAsia" w:hAnsiTheme="minorEastAsia" w:eastAsiaTheme="minorEastAsia" w:cstheme="minorEastAsia"/>
                <w:color w:val="000000" w:themeColor="text1"/>
                <w:szCs w:val="21"/>
                <w14:textFill>
                  <w14:solidFill>
                    <w14:schemeClr w14:val="tx1"/>
                  </w14:solidFill>
                </w14:textFill>
              </w:rPr>
              <w:t>g</w:t>
            </w:r>
          </w:p>
          <w:p>
            <w:pPr>
              <w:spacing w:line="360" w:lineRule="auto"/>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一荤两素8元，单份重量不低于</w:t>
            </w:r>
            <w:r>
              <w:rPr>
                <w:rFonts w:asciiTheme="minorEastAsia" w:hAnsiTheme="minorEastAsia" w:eastAsiaTheme="minorEastAsia" w:cstheme="minorEastAsia"/>
                <w:color w:val="000000" w:themeColor="text1"/>
                <w:szCs w:val="21"/>
                <w14:textFill>
                  <w14:solidFill>
                    <w14:schemeClr w14:val="tx1"/>
                  </w14:solidFill>
                </w14:textFill>
              </w:rPr>
              <w:t>800</w:t>
            </w:r>
            <w:r>
              <w:rPr>
                <w:rFonts w:hint="eastAsia" w:asciiTheme="minorEastAsia" w:hAnsiTheme="minorEastAsia" w:eastAsiaTheme="minorEastAsia" w:cstheme="minorEastAsia"/>
                <w:color w:val="000000" w:themeColor="text1"/>
                <w:szCs w:val="21"/>
                <w14:textFill>
                  <w14:solidFill>
                    <w14:schemeClr w14:val="tx1"/>
                  </w14:solidFill>
                </w14:textFill>
              </w:rPr>
              <w:t>g</w:t>
            </w:r>
          </w:p>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两荤一素10元，单份重量不低于</w:t>
            </w:r>
            <w:r>
              <w:rPr>
                <w:rFonts w:asciiTheme="minorEastAsia" w:hAnsiTheme="minorEastAsia" w:eastAsiaTheme="minorEastAsia" w:cstheme="minorEastAsia"/>
                <w:color w:val="000000" w:themeColor="text1"/>
                <w:szCs w:val="21"/>
                <w14:textFill>
                  <w14:solidFill>
                    <w14:schemeClr w14:val="tx1"/>
                  </w14:solidFill>
                </w14:textFill>
              </w:rPr>
              <w:t>800</w:t>
            </w:r>
            <w:r>
              <w:rPr>
                <w:rFonts w:hint="eastAsia" w:asciiTheme="minorEastAsia" w:hAnsiTheme="minorEastAsia" w:eastAsiaTheme="minorEastAsia" w:cstheme="minorEastAsia"/>
                <w:color w:val="000000" w:themeColor="text1"/>
                <w:szCs w:val="21"/>
                <w14:textFill>
                  <w14:solidFill>
                    <w14:schemeClr w14:val="tx1"/>
                  </w14:solidFill>
                </w14:textFill>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978"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456" w:type="dxa"/>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快餐窗口</w:t>
            </w:r>
          </w:p>
        </w:tc>
        <w:tc>
          <w:tcPr>
            <w:tcW w:w="4254" w:type="dxa"/>
            <w:vAlign w:val="center"/>
          </w:tcPr>
          <w:p>
            <w:pPr>
              <w:spacing w:line="360" w:lineRule="auto"/>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1、单份菜品不少于180g，米饭1元不限量；馒头0.3元/个，每个不低于80g</w:t>
            </w:r>
          </w:p>
          <w:p>
            <w:pPr>
              <w:spacing w:line="360" w:lineRule="auto"/>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2、纯素菜不超过2元，花素菜不超过3元，禽肉类花荤菜不得超过4元，牛肉类、鱼肉类花荤菜不得超过5元，纯荤菜不得超过6元。单份菜品价格不超过6元。花荤菜中荤菜比例不得低于30%。</w:t>
            </w:r>
          </w:p>
          <w:p>
            <w:pPr>
              <w:spacing w:line="360" w:lineRule="auto"/>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3、高中低档菜品比例为3：5：2</w:t>
            </w:r>
          </w:p>
          <w:p>
            <w:pPr>
              <w:spacing w:line="360" w:lineRule="auto"/>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低档菜：≤2元，其中1元菜至少3个</w:t>
            </w:r>
          </w:p>
          <w:p>
            <w:pPr>
              <w:spacing w:line="360" w:lineRule="auto"/>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中档菜：3-4元</w:t>
            </w:r>
          </w:p>
          <w:p>
            <w:pPr>
              <w:spacing w:line="360" w:lineRule="auto"/>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高档菜：5-6元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3"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978" w:type="dxa"/>
            <w:vMerge w:val="continue"/>
            <w:vAlign w:val="center"/>
          </w:tcPr>
          <w:p>
            <w:pPr>
              <w:spacing w:line="360" w:lineRule="auto"/>
              <w:contextualSpacing/>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456" w:type="dxa"/>
            <w:vAlign w:val="center"/>
          </w:tcPr>
          <w:p>
            <w:pPr>
              <w:spacing w:line="360" w:lineRule="auto"/>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免费汤</w:t>
            </w:r>
          </w:p>
        </w:tc>
        <w:tc>
          <w:tcPr>
            <w:tcW w:w="4254" w:type="dxa"/>
            <w:vAlign w:val="center"/>
          </w:tcPr>
          <w:p>
            <w:pPr>
              <w:spacing w:line="360" w:lineRule="auto"/>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午晚餐提供免费汤，每天更换</w:t>
            </w:r>
          </w:p>
        </w:tc>
      </w:tr>
    </w:tbl>
    <w:p>
      <w:pPr>
        <w:pStyle w:val="2"/>
        <w:rPr>
          <w:rFonts w:hint="default"/>
          <w:color w:val="000000" w:themeColor="text1"/>
          <w14:textFill>
            <w14:solidFill>
              <w14:schemeClr w14:val="tx1"/>
            </w14:solidFill>
          </w14:textFill>
        </w:rPr>
      </w:pPr>
    </w:p>
    <w:p>
      <w:pPr>
        <w:spacing w:line="360" w:lineRule="auto"/>
        <w:ind w:firstLine="422" w:firstLineChars="200"/>
        <w:contextualSpacing/>
        <w:outlineLvl w:val="1"/>
        <w:rPr>
          <w:rFonts w:asciiTheme="minorEastAsia" w:hAnsiTheme="minorEastAsia" w:eastAsiaTheme="minorEastAsia" w:cstheme="minorEastAsia"/>
          <w:b/>
          <w:bCs/>
          <w:color w:val="000000" w:themeColor="text1"/>
          <w:szCs w:val="21"/>
          <w14:textFill>
            <w14:solidFill>
              <w14:schemeClr w14:val="tx1"/>
            </w14:solidFill>
          </w14:textFill>
        </w:rPr>
      </w:pPr>
      <w:bookmarkStart w:id="11" w:name="_Toc14181"/>
      <w:r>
        <w:rPr>
          <w:rFonts w:hint="eastAsia" w:asciiTheme="minorEastAsia" w:hAnsiTheme="minorEastAsia" w:eastAsiaTheme="minorEastAsia" w:cstheme="minorEastAsia"/>
          <w:b/>
          <w:bCs/>
          <w:color w:val="000000" w:themeColor="text1"/>
          <w:szCs w:val="21"/>
          <w14:textFill>
            <w14:solidFill>
              <w14:schemeClr w14:val="tx1"/>
            </w14:solidFill>
          </w14:textFill>
        </w:rPr>
        <w:t>（二）风味小吃保障</w:t>
      </w:r>
      <w:bookmarkEnd w:id="11"/>
    </w:p>
    <w:p>
      <w:pPr>
        <w:spacing w:line="360" w:lineRule="auto"/>
        <w:ind w:firstLine="420" w:firstLineChars="200"/>
        <w:contextualSpacing/>
        <w:outlineLvl w:val="1"/>
        <w:rPr>
          <w:rFonts w:asciiTheme="minorEastAsia" w:hAnsiTheme="minorEastAsia" w:eastAsiaTheme="minorEastAsia" w:cstheme="minorEastAsia"/>
          <w:color w:val="000000" w:themeColor="text1"/>
          <w:szCs w:val="21"/>
          <w14:textFill>
            <w14:solidFill>
              <w14:schemeClr w14:val="tx1"/>
            </w14:solidFill>
          </w14:textFill>
        </w:rPr>
      </w:pPr>
      <w:bookmarkStart w:id="12" w:name="_Toc18713"/>
      <w:r>
        <w:rPr>
          <w:rFonts w:hint="eastAsia" w:asciiTheme="minorEastAsia" w:hAnsiTheme="minorEastAsia" w:eastAsiaTheme="minorEastAsia" w:cstheme="minorEastAsia"/>
          <w:color w:val="000000" w:themeColor="text1"/>
          <w:szCs w:val="21"/>
          <w14:textFill>
            <w14:solidFill>
              <w14:schemeClr w14:val="tx1"/>
            </w14:solidFill>
          </w14:textFill>
        </w:rPr>
        <w:t>为丰富食堂的饭菜种类，为师生提供多元化的就餐需求，</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14:textFill>
            <w14:solidFill>
              <w14:schemeClr w14:val="tx1"/>
            </w14:solidFill>
          </w14:textFill>
        </w:rPr>
        <w:t>需供应民族风味小吃，产品布局参照《第三条 产品布局要求》执行，需提供菜品名称、售卖价格及成本核算。</w:t>
      </w:r>
    </w:p>
    <w:p>
      <w:pPr>
        <w:spacing w:line="360" w:lineRule="auto"/>
        <w:ind w:firstLine="422" w:firstLineChars="200"/>
        <w:contextualSpacing/>
        <w:outlineLvl w:val="1"/>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（三）接待用餐保障</w:t>
      </w:r>
      <w:bookmarkEnd w:id="12"/>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为支持学校各类活动、会议的顺利举办，</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需按照</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14:textFill>
            <w14:solidFill>
              <w14:schemeClr w14:val="tx1"/>
            </w14:solidFill>
          </w14:textFill>
        </w:rPr>
        <w:t>要求的接待标准、供应形式（自助餐、商务套餐等）、就餐人数等条件，提供全方位服务保障。</w:t>
      </w:r>
    </w:p>
    <w:p>
      <w:pPr>
        <w:spacing w:line="360" w:lineRule="auto"/>
        <w:ind w:firstLine="422" w:firstLineChars="200"/>
        <w:contextualSpacing/>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（四）餐饮延伸服务</w:t>
      </w:r>
    </w:p>
    <w:p>
      <w:pPr>
        <w:spacing w:line="360" w:lineRule="auto"/>
        <w:ind w:firstLine="420" w:firstLineChars="200"/>
        <w:contextualSpacing/>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1、应急用餐保障。满足突发情况的应急保障需求，根据</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Cs w:val="21"/>
          <w14:textFill>
            <w14:solidFill>
              <w14:schemeClr w14:val="tx1"/>
            </w14:solidFill>
          </w14:textFill>
        </w:rPr>
        <w:t>要求的时间、地点、形式，提供快速餐饮保障服务。</w:t>
      </w:r>
    </w:p>
    <w:p>
      <w:pPr>
        <w:spacing w:line="360" w:lineRule="auto"/>
        <w:ind w:firstLine="420" w:firstLineChars="200"/>
        <w:contextualSpacing/>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2、低盐低脂餐及营养餐保障。满足师生清淡饮食的就餐需求，设立营养餐及低盐低脂餐售卖专区或窗口。</w:t>
      </w:r>
    </w:p>
    <w:p>
      <w:pPr>
        <w:spacing w:line="360" w:lineRule="auto"/>
        <w:ind w:firstLine="420" w:firstLineChars="200"/>
        <w:contextualSpacing/>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3、优惠、让利、助困方案。在保障师生饮食正常供应、安全卫生的前提下，进一步满足师生就餐需求，切实让利于师生，更好提供优质餐饮服务，体现公益性原则。</w:t>
      </w:r>
    </w:p>
    <w:p>
      <w:pPr>
        <w:spacing w:line="360" w:lineRule="auto"/>
        <w:ind w:firstLine="420" w:firstLineChars="200"/>
        <w:contextualSpacing/>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4、创新性餐饮服务活动。营造节日氛围、提升食堂服务质量、提高满意度，</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bCs/>
          <w:color w:val="000000" w:themeColor="text1"/>
          <w:szCs w:val="21"/>
          <w14:textFill>
            <w14:solidFill>
              <w14:schemeClr w14:val="tx1"/>
            </w14:solidFill>
          </w14:textFill>
        </w:rPr>
        <w:t>需自主创新餐饮服务活动，相关活动需经</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Cs w:val="21"/>
          <w14:textFill>
            <w14:solidFill>
              <w14:schemeClr w14:val="tx1"/>
            </w14:solidFill>
          </w14:textFill>
        </w:rPr>
        <w:t>审核通过后实施。如师生交流活动，健康饮食、食品营养等方面的宣传活动，拓展创意新品、地域特色食品、传统佳节食品，开展特色美食节活动，开展传统节日用餐优惠活动，提供年夜饭套餐等。</w:t>
      </w:r>
    </w:p>
    <w:p>
      <w:pPr>
        <w:spacing w:line="360" w:lineRule="auto"/>
        <w:ind w:firstLine="420" w:firstLineChars="200"/>
        <w:contextualSpacing/>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5、劳育课：按照学校统一要求，配合学校开展劳育课。</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bCs/>
          <w:color w:val="000000" w:themeColor="text1"/>
          <w:szCs w:val="21"/>
          <w14:textFill>
            <w14:solidFill>
              <w14:schemeClr w14:val="tx1"/>
            </w14:solidFill>
          </w14:textFill>
        </w:rPr>
        <w:t>需提供劳育课程方案，原材料、公用具、服装等用品由</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bCs/>
          <w:color w:val="000000" w:themeColor="text1"/>
          <w:szCs w:val="21"/>
          <w14:textFill>
            <w14:solidFill>
              <w14:schemeClr w14:val="tx1"/>
            </w14:solidFill>
          </w14:textFill>
        </w:rPr>
        <w:t>提供，并配备专业的厨师人员授课人员对学生进行理论、实操等劳动教育和培训。</w:t>
      </w:r>
    </w:p>
    <w:p>
      <w:pPr>
        <w:spacing w:line="360" w:lineRule="auto"/>
        <w:ind w:firstLine="422" w:firstLineChars="200"/>
        <w:contextualSpacing/>
        <w:jc w:val="left"/>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（五）菜品价格及成本核算</w:t>
      </w:r>
    </w:p>
    <w:p>
      <w:pPr>
        <w:pStyle w:val="5"/>
        <w:spacing w:line="360" w:lineRule="auto"/>
        <w:ind w:firstLine="420" w:firstLineChars="200"/>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1、</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投标人</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提供早、中、晚餐菜单</w:t>
      </w:r>
      <w:r>
        <w:rPr>
          <w:rFonts w:hint="eastAsia" w:asciiTheme="minorEastAsia" w:hAnsiTheme="minorEastAsia" w:eastAsiaTheme="minorEastAsia" w:cstheme="minorEastAsia"/>
          <w:color w:val="000000" w:themeColor="text1"/>
          <w:sz w:val="21"/>
          <w:szCs w:val="21"/>
          <w14:textFill>
            <w14:solidFill>
              <w14:schemeClr w14:val="tx1"/>
            </w14:solidFill>
          </w14:textFill>
        </w:rPr>
        <w:t>、售卖价格及成本核算依据</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，需注明菜品品种、价格、分量、质量、数量。</w:t>
      </w:r>
      <w:r>
        <w:rPr>
          <w:rFonts w:hint="eastAsia" w:asciiTheme="minorEastAsia" w:hAnsiTheme="minorEastAsia" w:eastAsiaTheme="minorEastAsia" w:cstheme="minorEastAsia"/>
          <w:color w:val="000000" w:themeColor="text1"/>
          <w:sz w:val="21"/>
          <w:szCs w:val="21"/>
          <w14:textFill>
            <w14:solidFill>
              <w14:schemeClr w14:val="tx1"/>
            </w14:solidFill>
          </w14:textFill>
        </w:rPr>
        <w:t>产品售卖价格</w:t>
      </w:r>
      <w:r>
        <w:rPr>
          <w:rFonts w:hint="eastAsia" w:ascii="宋体" w:hAnsi="宋体" w:eastAsia="宋体" w:cs="宋体"/>
          <w:color w:val="000000" w:themeColor="text1"/>
          <w:kern w:val="44"/>
          <w:sz w:val="21"/>
          <w:szCs w:val="21"/>
          <w14:textFill>
            <w14:solidFill>
              <w14:schemeClr w14:val="tx1"/>
            </w14:solidFill>
          </w14:textFill>
        </w:rPr>
        <w:t>需向</w:t>
      </w:r>
      <w:r>
        <w:rPr>
          <w:rFonts w:hint="eastAsia" w:ascii="宋体" w:hAnsi="宋体" w:eastAsia="宋体" w:cs="宋体"/>
          <w:color w:val="000000" w:themeColor="text1"/>
          <w:kern w:val="44"/>
          <w:sz w:val="21"/>
          <w:szCs w:val="21"/>
          <w:lang w:eastAsia="zh-CN"/>
          <w14:textFill>
            <w14:solidFill>
              <w14:schemeClr w14:val="tx1"/>
            </w14:solidFill>
          </w14:textFill>
        </w:rPr>
        <w:t>投标人</w:t>
      </w:r>
      <w:r>
        <w:rPr>
          <w:rFonts w:hint="eastAsia" w:ascii="宋体" w:hAnsi="宋体" w:eastAsia="宋体" w:cs="宋体"/>
          <w:color w:val="000000" w:themeColor="text1"/>
          <w:kern w:val="44"/>
          <w:sz w:val="21"/>
          <w:szCs w:val="21"/>
          <w14:textFill>
            <w14:solidFill>
              <w14:schemeClr w14:val="tx1"/>
            </w14:solidFill>
          </w14:textFill>
        </w:rPr>
        <w:t>饮食监管部门申报成本核算表，经审核同意后执行。</w:t>
      </w:r>
    </w:p>
    <w:p>
      <w:pPr>
        <w:spacing w:line="360" w:lineRule="auto"/>
        <w:ind w:firstLine="420" w:firstLineChars="200"/>
        <w:contextualSpacing/>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bCs/>
          <w:color w:val="000000" w:themeColor="text1"/>
          <w:szCs w:val="21"/>
          <w14:textFill>
            <w14:solidFill>
              <w14:schemeClr w14:val="tx1"/>
            </w14:solidFill>
          </w14:textFill>
        </w:rPr>
        <w:t>应充分考虑市场物价变化引起的经营风险，进行成本核算。饭菜品种、价格必须先上报</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Cs w:val="21"/>
          <w14:textFill>
            <w14:solidFill>
              <w14:schemeClr w14:val="tx1"/>
            </w14:solidFill>
          </w14:textFill>
        </w:rPr>
        <w:t>管理部门，经审核批准后方可售卖。在委托经营期间，如遇市场价格上涨，不得向</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Cs w:val="21"/>
          <w14:textFill>
            <w14:solidFill>
              <w14:schemeClr w14:val="tx1"/>
            </w14:solidFill>
          </w14:textFill>
        </w:rPr>
        <w:t xml:space="preserve">提出任何补偿要求。 </w:t>
      </w:r>
    </w:p>
    <w:p>
      <w:pPr>
        <w:spacing w:line="360" w:lineRule="auto"/>
        <w:ind w:firstLine="420" w:firstLineChars="200"/>
        <w:contextualSpacing/>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bCs/>
          <w:color w:val="000000" w:themeColor="text1"/>
          <w:szCs w:val="21"/>
          <w14:textFill>
            <w14:solidFill>
              <w14:schemeClr w14:val="tx1"/>
            </w14:solidFill>
          </w14:textFill>
        </w:rPr>
        <w:t>必须接受</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Cs w:val="21"/>
          <w14:textFill>
            <w14:solidFill>
              <w14:schemeClr w14:val="tx1"/>
            </w14:solidFill>
          </w14:textFill>
        </w:rPr>
        <w:t xml:space="preserve">师生对饭菜价格、服务质量、原材料采购、经营品种引进等进行全面监督管理。 </w:t>
      </w:r>
    </w:p>
    <w:p>
      <w:pPr>
        <w:spacing w:line="460" w:lineRule="exact"/>
        <w:ind w:firstLine="420" w:firstLineChars="200"/>
        <w:contextualSpacing/>
        <w:jc w:val="left"/>
        <w:rPr>
          <w:rFonts w:ascii="宋体" w:hAnsi="宋体" w:cs="宋体"/>
          <w:bCs/>
          <w:color w:val="000000" w:themeColor="text1"/>
          <w:szCs w:val="21"/>
          <w14:textFill>
            <w14:solidFill>
              <w14:schemeClr w14:val="tx1"/>
            </w14:solidFill>
          </w14:textFill>
        </w:rPr>
      </w:pPr>
      <w:bookmarkStart w:id="13" w:name="_Toc28888"/>
      <w:r>
        <w:rPr>
          <w:rFonts w:hint="eastAsia" w:ascii="宋体" w:hAnsi="宋体" w:cs="宋体"/>
          <w:bCs/>
          <w:color w:val="000000" w:themeColor="text1"/>
          <w:szCs w:val="21"/>
          <w14:textFill>
            <w14:solidFill>
              <w14:schemeClr w14:val="tx1"/>
            </w14:solidFill>
          </w14:textFill>
        </w:rPr>
        <w:t>4、根据《陕西省高等学校学生食堂管理办法（试行）》规定，</w:t>
      </w:r>
      <w:r>
        <w:rPr>
          <w:rFonts w:hint="eastAsia" w:ascii="宋体" w:hAnsi="宋体" w:cs="宋体"/>
          <w:bCs/>
          <w:color w:val="000000" w:themeColor="text1"/>
          <w:szCs w:val="21"/>
          <w:lang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 xml:space="preserve">在学校经营的净利润不得超过2%。 </w:t>
      </w:r>
    </w:p>
    <w:p>
      <w:pPr>
        <w:pStyle w:val="2"/>
        <w:spacing w:line="460" w:lineRule="exact"/>
        <w:ind w:firstLine="420" w:firstLineChars="200"/>
        <w:rPr>
          <w:rFonts w:hint="default" w:ascii="宋体" w:hAnsi="宋体" w:eastAsia="宋体" w:cs="宋体"/>
          <w:bCs/>
          <w:color w:val="000000" w:themeColor="text1"/>
          <w:kern w:val="2"/>
          <w:sz w:val="21"/>
          <w:szCs w:val="21"/>
          <w14:textFill>
            <w14:solidFill>
              <w14:schemeClr w14:val="tx1"/>
            </w14:solidFill>
          </w14:textFill>
        </w:rPr>
      </w:pPr>
      <w:r>
        <w:rPr>
          <w:rFonts w:ascii="宋体" w:hAnsi="宋体" w:eastAsia="宋体" w:cs="宋体"/>
          <w:bCs/>
          <w:color w:val="000000" w:themeColor="text1"/>
          <w:kern w:val="2"/>
          <w:sz w:val="21"/>
          <w:szCs w:val="21"/>
          <w14:textFill>
            <w14:solidFill>
              <w14:schemeClr w14:val="tx1"/>
            </w14:solidFill>
          </w14:textFill>
        </w:rPr>
        <w:t>5、根据《高等学校学生食堂伙食结构及成本核算指导意见》规定，基本大伙毛利率不得高于35%，风味小吃毛利率不得高于45%。</w:t>
      </w:r>
    </w:p>
    <w:p>
      <w:pPr>
        <w:spacing w:line="360" w:lineRule="auto"/>
        <w:contextualSpacing/>
        <w:outlineLvl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六、人员配置要求</w:t>
      </w:r>
      <w:bookmarkEnd w:id="13"/>
    </w:p>
    <w:p>
      <w:pPr>
        <w:spacing w:line="360" w:lineRule="auto"/>
        <w:ind w:firstLine="420" w:firstLineChars="200"/>
        <w:contextualSpacing/>
        <w:outlineLvl w:val="1"/>
        <w:rPr>
          <w:rFonts w:asciiTheme="minorEastAsia" w:hAnsiTheme="minorEastAsia" w:eastAsiaTheme="minorEastAsia" w:cstheme="minorEastAsia"/>
          <w:bCs/>
          <w:color w:val="000000" w:themeColor="text1"/>
          <w:szCs w:val="21"/>
          <w14:textFill>
            <w14:solidFill>
              <w14:schemeClr w14:val="tx1"/>
            </w14:solidFill>
          </w14:textFill>
        </w:rPr>
      </w:pPr>
      <w:bookmarkStart w:id="14" w:name="_Toc8564"/>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bCs/>
          <w:color w:val="000000" w:themeColor="text1"/>
          <w:szCs w:val="21"/>
          <w14:textFill>
            <w14:solidFill>
              <w14:schemeClr w14:val="tx1"/>
            </w14:solidFill>
          </w14:textFill>
        </w:rPr>
        <w:t>在经营期间所配备管理人员、技术人员人数应与经营规模、管理职责、就餐人数相适应，</w:t>
      </w:r>
      <w:r>
        <w:rPr>
          <w:rFonts w:hint="eastAsia" w:asciiTheme="minorEastAsia" w:hAnsiTheme="minorEastAsia" w:eastAsiaTheme="minorEastAsia" w:cstheme="minorEastAsia"/>
          <w:color w:val="000000" w:themeColor="text1"/>
          <w:szCs w:val="21"/>
          <w14:textFill>
            <w14:solidFill>
              <w14:schemeClr w14:val="tx1"/>
            </w14:solidFill>
          </w14:textFill>
        </w:rPr>
        <w:t>应对所有人员开展入职背景审查，提供无犯罪记录证明以及</w:t>
      </w:r>
      <w:r>
        <w:rPr>
          <w:rFonts w:hint="eastAsia" w:asciiTheme="minorEastAsia" w:hAnsiTheme="minorEastAsia" w:eastAsiaTheme="minorEastAsia" w:cstheme="minorEastAsia"/>
          <w:bCs/>
          <w:color w:val="000000" w:themeColor="text1"/>
          <w:szCs w:val="21"/>
          <w14:textFill>
            <w14:solidFill>
              <w14:schemeClr w14:val="tx1"/>
            </w14:solidFill>
          </w14:textFill>
        </w:rPr>
        <w:t>相关资质、健康证明。管理人员配置要求为项目经理1名、楼层主管2名、厨师长2名、仓库管理员2名、质量监督管理员2名，会计1名，工程人员1名。项目经理、厨师长需为民族人员，餐厅民族人员占比不得少于30%。上述岗位须安排专职人员，不得兼职。</w:t>
      </w:r>
    </w:p>
    <w:p>
      <w:pPr>
        <w:spacing w:line="360" w:lineRule="auto"/>
        <w:ind w:firstLine="422" w:firstLineChars="200"/>
        <w:contextualSpacing/>
        <w:outlineLvl w:val="1"/>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（一）基本要求</w:t>
      </w:r>
      <w:bookmarkEnd w:id="14"/>
    </w:p>
    <w:p>
      <w:pPr>
        <w:spacing w:line="360" w:lineRule="auto"/>
        <w:ind w:firstLine="420" w:firstLineChars="200"/>
        <w:contextualSpacing/>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1、所有人员应提供无犯罪记录证明（中标后、进场前需提供）。</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2、所有人员应身体健康，无传染疾病，持有效健康证（中标后、进场前需提供），每年进行一次健康体检（体检内容包括一般检查、内外科检查、五官检查、实验室检查及影像学检查），并提供体检报告。</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严格做好管理制度、操作规范、食品安全、消防安全、服务礼仪、服务规范等内容的岗前培训和试用期考核，定期做好文化思想与技能技术的培训；具备与服务相适应的礼仪知识和职业技能，用语规范，一律使用普通话；具备较强的大局意识、服务意识和团队精神，所有人员年龄不得超出法定退休年龄。</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应对员工进行业务素质、职业道德以及法律观念的教育培训，至少每学期组织员工进行5次食品卫生安全培训及1次消防演练，培训时长不少于40小时。</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食堂管理人员参照双一流高校食堂管理团队标准组建，并建立管理团队的考勤制度、24小时值班制度，安排主要管理人员夜间值班，明确食堂工作日、周末及法定节假日的第一、第二责任人，确保责任人全天候负责食堂管理事宜，责任人因事外出应履行请假手续。</w:t>
      </w:r>
    </w:p>
    <w:p>
      <w:pPr>
        <w:spacing w:line="460" w:lineRule="exact"/>
        <w:ind w:firstLine="420" w:firstLineChars="200"/>
        <w:contextualSpacing/>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依法为自聘员工缴纳社保，并将社保信息在</w:t>
      </w:r>
      <w:r>
        <w:rPr>
          <w:rFonts w:hint="eastAsia" w:ascii="宋体" w:hAnsi="宋体" w:cs="宋体"/>
          <w:color w:val="000000" w:themeColor="text1"/>
          <w:szCs w:val="21"/>
          <w:lang w:eastAsia="zh-CN"/>
          <w14:textFill>
            <w14:solidFill>
              <w14:schemeClr w14:val="tx1"/>
            </w14:solidFill>
          </w14:textFill>
        </w:rPr>
        <w:t>采购人</w:t>
      </w:r>
      <w:r>
        <w:rPr>
          <w:rFonts w:hint="eastAsia" w:ascii="宋体" w:hAnsi="宋体" w:cs="宋体"/>
          <w:color w:val="000000" w:themeColor="text1"/>
          <w:szCs w:val="21"/>
          <w14:textFill>
            <w14:solidFill>
              <w14:schemeClr w14:val="tx1"/>
            </w14:solidFill>
          </w14:textFill>
        </w:rPr>
        <w:t>备案。</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为所有员工购买意外保险，保额不低于100万元/人。</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严格按照本食堂生产流程规范与标准，进行粗加工、切配、烹制、售卖、保温、储存、洗消、服务等具体管理工作；各岗位人员熟知本职工作，加强团队配合，以用餐人满意为导向，提升个人工作技能和服务水平。</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7、严格按照本食堂对工作人员的要求，对照提升仪容仪表、个人卫生、用语规范、礼貌礼仪等方面，加强政治思想素养，坚守职业道德，提高综合素质。</w:t>
      </w:r>
    </w:p>
    <w:p>
      <w:pPr>
        <w:pStyle w:val="21"/>
        <w:spacing w:line="360" w:lineRule="auto"/>
        <w:ind w:firstLine="42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8、</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Cs w:val="21"/>
          <w14:textFill>
            <w14:solidFill>
              <w14:schemeClr w14:val="tx1"/>
            </w14:solidFill>
          </w14:textFill>
        </w:rPr>
        <w:t>应按照相应的岗位设置，制订符合</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14:textFill>
            <w14:solidFill>
              <w14:schemeClr w14:val="tx1"/>
            </w14:solidFill>
          </w14:textFill>
        </w:rPr>
        <w:t>工作特点和管理标准的岗位职责，并应在工作场所公告栏进行公示，接受监督。</w:t>
      </w:r>
    </w:p>
    <w:p>
      <w:pPr>
        <w:pStyle w:val="21"/>
        <w:spacing w:line="460" w:lineRule="exact"/>
        <w:ind w:firstLine="420"/>
        <w:contextualSpacing/>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9、</w:t>
      </w:r>
      <w:r>
        <w:rPr>
          <w:rFonts w:hint="eastAsia" w:hAnsi="宋体" w:cs="宋体"/>
          <w:color w:val="000000" w:themeColor="text1"/>
          <w:szCs w:val="21"/>
          <w:lang w:eastAsia="zh-CN"/>
          <w14:textFill>
            <w14:solidFill>
              <w14:schemeClr w14:val="tx1"/>
            </w14:solidFill>
          </w14:textFill>
        </w:rPr>
        <w:t>投标人</w:t>
      </w:r>
      <w:r>
        <w:rPr>
          <w:rFonts w:hint="eastAsia" w:hAnsi="宋体" w:cs="宋体"/>
          <w:color w:val="000000" w:themeColor="text1"/>
          <w:szCs w:val="21"/>
          <w14:textFill>
            <w14:solidFill>
              <w14:schemeClr w14:val="tx1"/>
            </w14:solidFill>
          </w14:textFill>
        </w:rPr>
        <w:t>须与聘用的自营人员和联营人员建立合法的劳动合同关系，新聘或解聘人员须事先告知</w:t>
      </w:r>
      <w:r>
        <w:rPr>
          <w:rFonts w:hint="eastAsia" w:hAnsi="宋体" w:cs="宋体"/>
          <w:color w:val="000000" w:themeColor="text1"/>
          <w:szCs w:val="21"/>
          <w:lang w:eastAsia="zh-CN"/>
          <w14:textFill>
            <w14:solidFill>
              <w14:schemeClr w14:val="tx1"/>
            </w14:solidFill>
          </w14:textFill>
        </w:rPr>
        <w:t>采购人</w:t>
      </w:r>
      <w:r>
        <w:rPr>
          <w:rFonts w:hint="eastAsia" w:hAnsi="宋体" w:cs="宋体"/>
          <w:color w:val="000000" w:themeColor="text1"/>
          <w:szCs w:val="21"/>
          <w14:textFill>
            <w14:solidFill>
              <w14:schemeClr w14:val="tx1"/>
            </w14:solidFill>
          </w14:textFill>
        </w:rPr>
        <w:t>并经</w:t>
      </w:r>
      <w:r>
        <w:rPr>
          <w:rFonts w:hint="eastAsia" w:hAnsi="宋体" w:cs="宋体"/>
          <w:color w:val="000000" w:themeColor="text1"/>
          <w:szCs w:val="21"/>
          <w:lang w:eastAsia="zh-CN"/>
          <w14:textFill>
            <w14:solidFill>
              <w14:schemeClr w14:val="tx1"/>
            </w14:solidFill>
          </w14:textFill>
        </w:rPr>
        <w:t>采购人</w:t>
      </w:r>
      <w:r>
        <w:rPr>
          <w:rFonts w:hint="eastAsia" w:hAnsi="宋体" w:cs="宋体"/>
          <w:color w:val="000000" w:themeColor="text1"/>
          <w:szCs w:val="21"/>
          <w14:textFill>
            <w14:solidFill>
              <w14:schemeClr w14:val="tx1"/>
            </w14:solidFill>
          </w14:textFill>
        </w:rPr>
        <w:t>同意。若发生劳资纠纷、人身意外伤害事故等，由</w:t>
      </w:r>
      <w:r>
        <w:rPr>
          <w:rFonts w:hint="eastAsia" w:hAnsi="宋体" w:cs="宋体"/>
          <w:color w:val="000000" w:themeColor="text1"/>
          <w:szCs w:val="21"/>
          <w:lang w:eastAsia="zh-CN"/>
          <w14:textFill>
            <w14:solidFill>
              <w14:schemeClr w14:val="tx1"/>
            </w14:solidFill>
          </w14:textFill>
        </w:rPr>
        <w:t>投标人</w:t>
      </w:r>
      <w:r>
        <w:rPr>
          <w:rFonts w:hint="eastAsia" w:hAnsi="宋体" w:cs="宋体"/>
          <w:color w:val="000000" w:themeColor="text1"/>
          <w:szCs w:val="21"/>
          <w14:textFill>
            <w14:solidFill>
              <w14:schemeClr w14:val="tx1"/>
            </w14:solidFill>
          </w14:textFill>
        </w:rPr>
        <w:t>承担一切经济责任和法律责任。</w:t>
      </w:r>
    </w:p>
    <w:p>
      <w:pPr>
        <w:pStyle w:val="21"/>
        <w:spacing w:line="360" w:lineRule="auto"/>
        <w:ind w:firstLine="42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10、派遣的工作人员在上岗前必须经过食品卫生、安全生产、消防安全和操作规程等培训，熟知食品卫生、安全规则、消防知识和操作规程等；</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14:textFill>
            <w14:solidFill>
              <w14:schemeClr w14:val="tx1"/>
            </w14:solidFill>
          </w14:textFill>
        </w:rPr>
        <w:t>将对拟上岗人员进行食品卫生、安全和操作规程等考核。</w:t>
      </w:r>
    </w:p>
    <w:p>
      <w:pPr>
        <w:spacing w:line="360" w:lineRule="auto"/>
        <w:ind w:firstLine="420" w:firstLineChars="200"/>
        <w:contextualSpacing/>
        <w:rPr>
          <w:rFonts w:eastAsiaTheme="minorEastAsia"/>
          <w:color w:val="000000" w:themeColor="text1"/>
          <w14:textFill>
            <w14:solidFill>
              <w14:schemeClr w14:val="tx1"/>
            </w14:solidFill>
          </w14:textFill>
        </w:rPr>
      </w:pPr>
      <w:bookmarkStart w:id="15" w:name="_Toc7366"/>
      <w:r>
        <w:rPr>
          <w:rFonts w:hint="eastAsia" w:asciiTheme="minorEastAsia" w:hAnsiTheme="minorEastAsia" w:eastAsiaTheme="minorEastAsia" w:cstheme="minorEastAsia"/>
          <w:bCs/>
          <w:color w:val="000000" w:themeColor="text1"/>
          <w:szCs w:val="21"/>
          <w14:textFill>
            <w14:solidFill>
              <w14:schemeClr w14:val="tx1"/>
            </w14:solidFill>
          </w14:textFill>
        </w:rPr>
        <w:t>11、管理团队人员应与投标文件中的人员配置保持一致。每个合同期内，项目经理不得变更，其他管理人员更换比例不得超过20%，</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Cs w:val="21"/>
          <w14:textFill>
            <w14:solidFill>
              <w14:schemeClr w14:val="tx1"/>
            </w14:solidFill>
          </w14:textFill>
        </w:rPr>
        <w:t>要求除外。更换人员须经过</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Cs w:val="21"/>
          <w14:textFill>
            <w14:solidFill>
              <w14:schemeClr w14:val="tx1"/>
            </w14:solidFill>
          </w14:textFill>
        </w:rPr>
        <w:t>审核同意后方可入职。</w:t>
      </w:r>
    </w:p>
    <w:p>
      <w:pPr>
        <w:spacing w:line="360" w:lineRule="auto"/>
        <w:ind w:firstLine="422" w:firstLineChars="200"/>
        <w:contextualSpacing/>
        <w:outlineLvl w:val="1"/>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（二）项目经理</w:t>
      </w:r>
      <w:bookmarkEnd w:id="15"/>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1、配置1名有充足经验及较强管理能力的专职项目经理。年龄</w:t>
      </w:r>
      <w:r>
        <w:rPr>
          <w:rFonts w:hint="eastAsia" w:ascii="宋体" w:hAnsi="宋体" w:eastAsiaTheme="minorEastAsia"/>
          <w:color w:val="000000" w:themeColor="text1"/>
          <w:szCs w:val="21"/>
          <w14:textFill>
            <w14:solidFill>
              <w14:schemeClr w14:val="tx1"/>
            </w14:solidFill>
          </w14:textFill>
        </w:rPr>
        <w:t>不超过45岁，</w:t>
      </w:r>
      <w:r>
        <w:rPr>
          <w:rFonts w:hint="eastAsia" w:asciiTheme="minorEastAsia" w:hAnsiTheme="minorEastAsia" w:eastAsiaTheme="minorEastAsia" w:cstheme="minorEastAsia"/>
          <w:color w:val="000000" w:themeColor="text1"/>
          <w:szCs w:val="21"/>
          <w14:textFill>
            <w14:solidFill>
              <w14:schemeClr w14:val="tx1"/>
            </w14:solidFill>
          </w14:textFill>
        </w:rPr>
        <w:t>具备5年（含）以上同等岗位管理经验；能熟练运用电脑，进行数据处理与分析工作，具备文字组织能力和表达能力。</w:t>
      </w:r>
    </w:p>
    <w:p>
      <w:pPr>
        <w:spacing w:line="360" w:lineRule="auto"/>
        <w:ind w:firstLine="420" w:firstLineChars="200"/>
        <w:contextualSpacing/>
        <w:outlineLvl w:val="1"/>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2、需接受过较好的职业教育，取得国家认可的相关证书（中式烹调师/营养师证/中式面点师等）。</w:t>
      </w:r>
    </w:p>
    <w:p>
      <w:pPr>
        <w:spacing w:line="360" w:lineRule="auto"/>
        <w:ind w:firstLine="422" w:firstLineChars="200"/>
        <w:contextualSpacing/>
        <w:outlineLvl w:val="1"/>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（三）楼层主管</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配置2名有充足经验及较强管理能力的楼层主管，分管食堂的日常经营。年龄不超过35岁，具备3年（含）以上同等岗位管理经验（或1年以上项目经理岗位管理经验）；能熟练运用电脑，进行数据处理与分析，具备文字表达能力；具备较强的团队意识，组织能力和沟通能力。</w:t>
      </w:r>
    </w:p>
    <w:p>
      <w:pPr>
        <w:pStyle w:val="21"/>
        <w:spacing w:line="460" w:lineRule="exact"/>
        <w:ind w:firstLine="420"/>
        <w:contextualSpacing/>
        <w:rPr>
          <w:rFonts w:hAnsi="宋体" w:cs="宋体"/>
          <w:color w:val="000000" w:themeColor="text1"/>
          <w:kern w:val="2"/>
          <w:szCs w:val="21"/>
          <w14:textFill>
            <w14:solidFill>
              <w14:schemeClr w14:val="tx1"/>
            </w14:solidFill>
          </w14:textFill>
        </w:rPr>
      </w:pPr>
      <w:bookmarkStart w:id="16" w:name="_Toc30284"/>
      <w:r>
        <w:rPr>
          <w:rFonts w:hint="eastAsia" w:hAnsi="宋体" w:cs="宋体"/>
          <w:color w:val="000000" w:themeColor="text1"/>
          <w:kern w:val="2"/>
          <w:szCs w:val="21"/>
          <w14:textFill>
            <w14:solidFill>
              <w14:schemeClr w14:val="tx1"/>
            </w14:solidFill>
          </w14:textFill>
        </w:rPr>
        <w:t>2、需接受过较好的职业教育，取得国家认可的相关证书（中式烹调师/营养师证/中式面点师等）。</w:t>
      </w:r>
    </w:p>
    <w:p>
      <w:pPr>
        <w:spacing w:line="360" w:lineRule="auto"/>
        <w:ind w:firstLine="422" w:firstLineChars="200"/>
        <w:contextualSpacing/>
        <w:outlineLvl w:val="1"/>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（四）厨师长</w:t>
      </w:r>
      <w:bookmarkEnd w:id="16"/>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1、配置2名有充足经验以及较强管理能力的厨师长，负责后厨的安全生产。年龄不超过55岁，具备3年（含）以上同等岗位管理经验，有较强的沟通和协调能力，具备较强的团队意识；确保后厨工作正常运转。</w:t>
      </w:r>
    </w:p>
    <w:p>
      <w:pPr>
        <w:pStyle w:val="21"/>
        <w:spacing w:line="460" w:lineRule="exact"/>
        <w:ind w:firstLine="420"/>
        <w:contextualSpacing/>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2、需接受过较好的职业教育，取得二级及以上中式烹调师。</w:t>
      </w:r>
    </w:p>
    <w:p>
      <w:pPr>
        <w:spacing w:line="360" w:lineRule="auto"/>
        <w:ind w:firstLine="422" w:firstLineChars="200"/>
        <w:contextualSpacing/>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（五）仓库管理员</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配置2名有充足经验及较强责任意识的仓库管理员。年龄不超过45岁，具备2年（含）以上餐饮企业同等岗位经验，能够熟练使用各类办公软件，具备较强的沟通能力。</w:t>
      </w:r>
    </w:p>
    <w:p>
      <w:pPr>
        <w:spacing w:line="360" w:lineRule="auto"/>
        <w:ind w:firstLine="422" w:firstLineChars="200"/>
        <w:contextualSpacing/>
        <w:outlineLvl w:val="1"/>
        <w:rPr>
          <w:rFonts w:asciiTheme="minorEastAsia" w:hAnsiTheme="minorEastAsia" w:eastAsiaTheme="minorEastAsia" w:cstheme="minorEastAsia"/>
          <w:color w:val="000000" w:themeColor="text1"/>
          <w:szCs w:val="21"/>
          <w14:textFill>
            <w14:solidFill>
              <w14:schemeClr w14:val="tx1"/>
            </w14:solidFill>
          </w14:textFill>
        </w:rPr>
      </w:pPr>
      <w:bookmarkStart w:id="17" w:name="_Toc21741"/>
      <w:r>
        <w:rPr>
          <w:rFonts w:hint="eastAsia" w:asciiTheme="minorEastAsia" w:hAnsiTheme="minorEastAsia" w:eastAsiaTheme="minorEastAsia" w:cstheme="minorEastAsia"/>
          <w:b/>
          <w:bCs/>
          <w:color w:val="000000" w:themeColor="text1"/>
          <w:szCs w:val="21"/>
          <w14:textFill>
            <w14:solidFill>
              <w14:schemeClr w14:val="tx1"/>
            </w14:solidFill>
          </w14:textFill>
        </w:rPr>
        <w:t>（六）质量监督管理员</w:t>
      </w:r>
      <w:bookmarkEnd w:id="17"/>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1、配置2名有充足经验及较强责任意识的质量监督管理员。年龄不超过45岁，具备3年（含）以上餐饮企业同等岗位经验，能够熟练使用各类办公软件，具备较强的沟通能力，为人正直。</w:t>
      </w:r>
    </w:p>
    <w:p>
      <w:pPr>
        <w:pStyle w:val="21"/>
        <w:spacing w:line="460" w:lineRule="exact"/>
        <w:ind w:firstLine="420"/>
        <w:contextualSpacing/>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2、需接受过较好的职业教育，取得食品安全管理师证。</w:t>
      </w:r>
    </w:p>
    <w:p>
      <w:pPr>
        <w:spacing w:line="360" w:lineRule="auto"/>
        <w:ind w:firstLine="422" w:firstLineChars="200"/>
        <w:contextualSpacing/>
        <w:outlineLvl w:val="1"/>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（七）工程人员</w:t>
      </w:r>
    </w:p>
    <w:p>
      <w:pPr>
        <w:spacing w:line="360" w:lineRule="auto"/>
        <w:ind w:firstLine="420" w:firstLineChars="200"/>
        <w:contextualSpacing/>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1、配置1名有充足经验及较强责任意识的工程人员。具备较强的沟通能力，专业能力。</w:t>
      </w:r>
    </w:p>
    <w:p>
      <w:pPr>
        <w:pStyle w:val="21"/>
        <w:spacing w:line="460" w:lineRule="exact"/>
        <w:ind w:firstLine="420"/>
        <w:contextualSpacing/>
        <w:rPr>
          <w:rFonts w:asciiTheme="minorEastAsia" w:hAnsiTheme="minorEastAsia" w:eastAsiaTheme="minorEastAsia" w:cstheme="minorEastAsia"/>
          <w:color w:val="000000" w:themeColor="text1"/>
          <w:kern w:val="2"/>
          <w:szCs w:val="21"/>
          <w14:textFill>
            <w14:solidFill>
              <w14:schemeClr w14:val="tx1"/>
            </w14:solidFill>
          </w14:textFill>
        </w:rPr>
      </w:pPr>
      <w:r>
        <w:rPr>
          <w:rFonts w:hint="eastAsia" w:hAnsi="宋体" w:cs="宋体"/>
          <w:color w:val="000000" w:themeColor="text1"/>
          <w:kern w:val="2"/>
          <w:szCs w:val="21"/>
          <w14:textFill>
            <w14:solidFill>
              <w14:schemeClr w14:val="tx1"/>
            </w14:solidFill>
          </w14:textFill>
        </w:rPr>
        <w:t>2、</w:t>
      </w:r>
      <w:r>
        <w:rPr>
          <w:rFonts w:hint="eastAsia" w:hAnsi="宋体" w:cs="宋体"/>
          <w:color w:val="000000" w:themeColor="text1"/>
          <w:szCs w:val="21"/>
          <w14:textFill>
            <w14:solidFill>
              <w14:schemeClr w14:val="tx1"/>
            </w14:solidFill>
          </w14:textFill>
        </w:rPr>
        <w:t>需接受过较好的职业教育，取得低压电工操作证</w:t>
      </w:r>
      <w:r>
        <w:rPr>
          <w:rFonts w:hint="eastAsia" w:hAnsi="宋体" w:cs="宋体"/>
          <w:color w:val="000000" w:themeColor="text1"/>
          <w:kern w:val="2"/>
          <w:szCs w:val="21"/>
          <w14:textFill>
            <w14:solidFill>
              <w14:schemeClr w14:val="tx1"/>
            </w14:solidFill>
          </w14:textFill>
        </w:rPr>
        <w:t>。</w:t>
      </w:r>
    </w:p>
    <w:p>
      <w:pPr>
        <w:pStyle w:val="21"/>
        <w:spacing w:line="360" w:lineRule="auto"/>
        <w:ind w:firstLine="422"/>
        <w:contextualSpacing/>
        <w:rPr>
          <w:rFonts w:asciiTheme="minorEastAsia" w:hAnsiTheme="minorEastAsia" w:eastAsiaTheme="minorEastAsia" w:cstheme="minorEastAsia"/>
          <w:b/>
          <w:bCs/>
          <w:color w:val="000000" w:themeColor="text1"/>
          <w:kern w:val="2"/>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2"/>
          <w:szCs w:val="21"/>
          <w14:textFill>
            <w14:solidFill>
              <w14:schemeClr w14:val="tx1"/>
            </w14:solidFill>
          </w14:textFill>
        </w:rPr>
        <w:t>（八）其余人员</w:t>
      </w:r>
    </w:p>
    <w:p>
      <w:pPr>
        <w:pStyle w:val="21"/>
        <w:spacing w:line="360" w:lineRule="auto"/>
        <w:ind w:firstLine="420"/>
        <w:contextualSpacing/>
        <w:rPr>
          <w:rFonts w:asciiTheme="minorEastAsia" w:hAnsiTheme="minorEastAsia" w:eastAsiaTheme="minorEastAsia" w:cstheme="minorEastAsia"/>
          <w:color w:val="000000" w:themeColor="text1"/>
          <w:kern w:val="2"/>
          <w:szCs w:val="21"/>
          <w14:textFill>
            <w14:solidFill>
              <w14:schemeClr w14:val="tx1"/>
            </w14:solidFill>
          </w14:textFill>
        </w:rPr>
      </w:pPr>
      <w:r>
        <w:rPr>
          <w:rFonts w:hint="eastAsia" w:asciiTheme="minorEastAsia" w:hAnsiTheme="minorEastAsia" w:eastAsiaTheme="minorEastAsia" w:cstheme="minorEastAsia"/>
          <w:color w:val="000000" w:themeColor="text1"/>
          <w:kern w:val="2"/>
          <w:szCs w:val="21"/>
          <w14:textFill>
            <w14:solidFill>
              <w14:schemeClr w14:val="tx1"/>
            </w14:solidFill>
          </w14:textFill>
        </w:rPr>
        <w:t>按照实际操作需要，配备若干名厨师、保洁服务人员及帮厨，年龄不超过55岁。</w:t>
      </w:r>
    </w:p>
    <w:p>
      <w:pPr>
        <w:spacing w:line="460" w:lineRule="exact"/>
        <w:contextualSpacing/>
        <w:outlineLvl w:val="0"/>
        <w:rPr>
          <w:rFonts w:ascii="宋体" w:hAnsi="宋体" w:cs="宋体"/>
          <w:b/>
          <w:bCs/>
          <w:color w:val="000000"/>
          <w:szCs w:val="21"/>
        </w:rPr>
      </w:pPr>
      <w:bookmarkStart w:id="18" w:name="_Toc306283699"/>
      <w:bookmarkStart w:id="19" w:name="_Toc26204"/>
      <w:bookmarkStart w:id="20" w:name="_Toc323897763"/>
      <w:r>
        <w:rPr>
          <w:rFonts w:hint="eastAsia" w:ascii="宋体" w:hAnsi="宋体" w:cs="宋体"/>
          <w:b/>
          <w:bCs/>
          <w:color w:val="000000"/>
          <w:szCs w:val="21"/>
        </w:rPr>
        <w:t>七、食品质量与管理要求</w:t>
      </w:r>
      <w:bookmarkEnd w:id="18"/>
      <w:bookmarkEnd w:id="19"/>
      <w:bookmarkEnd w:id="20"/>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1、贯彻落实《食品安全法》、行业规范和标准；遵守本食堂生产流程规范和标准，确保食品安全、卫生且品质达标；自觉接受</w:t>
      </w:r>
      <w:r>
        <w:rPr>
          <w:rFonts w:hint="eastAsia" w:ascii="宋体" w:hAnsi="宋体" w:cs="宋体"/>
          <w:color w:val="000000"/>
          <w:szCs w:val="21"/>
          <w:lang w:eastAsia="zh-CN"/>
        </w:rPr>
        <w:t>采购人</w:t>
      </w:r>
      <w:r>
        <w:rPr>
          <w:rFonts w:hint="eastAsia" w:ascii="宋体" w:hAnsi="宋体" w:cs="宋体"/>
          <w:color w:val="000000"/>
          <w:szCs w:val="21"/>
        </w:rPr>
        <w:t>及相关管理部门的检查与监督。</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2、按照</w:t>
      </w:r>
      <w:r>
        <w:rPr>
          <w:rFonts w:hint="eastAsia" w:ascii="宋体" w:hAnsi="宋体" w:cs="宋体"/>
          <w:color w:val="000000"/>
          <w:szCs w:val="21"/>
          <w:lang w:eastAsia="zh-CN"/>
        </w:rPr>
        <w:t>采购人</w:t>
      </w:r>
      <w:r>
        <w:rPr>
          <w:rFonts w:hint="eastAsia" w:ascii="宋体" w:hAnsi="宋体" w:cs="宋体"/>
          <w:color w:val="000000"/>
          <w:szCs w:val="21"/>
        </w:rPr>
        <w:t>餐饮服务和食品加工特点，制订工作流程，包括原材料采购、成品质量验收及管理、加工生产出品及售卖、成本控制、餐具用具清洁消毒等。实行专人专区责任制，食品清洗、餐具用具洗消、环境保洁、洗消用品管理等各方面责任明确到人，各项工作流程、标准规定明确；确保使用专用容器、确保生熟分区储存；确保食品储存时使用食品专用袋、保鲜膜、保鲜盒等；确保食品在加工、储存各环节不会接触到细菌、病毒、化学用品等。</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3、严把进货查验关，确保原材料产品无毒、无害、无变质、无过期，食品无异味、无异物；菜品新鲜、可口、有营养价值，荤素搭配科学合理，有较好的色香味形等外观性状。调味剂及添加剂中无人工色素、防腐剂等食品添加剂；尽量减少调味品的使用。</w:t>
      </w:r>
    </w:p>
    <w:p>
      <w:pPr>
        <w:spacing w:line="460" w:lineRule="exact"/>
        <w:ind w:firstLine="420" w:firstLineChars="200"/>
        <w:contextualSpacing/>
        <w:rPr>
          <w:rFonts w:ascii="宋体" w:hAnsi="宋体" w:cs="宋体"/>
          <w:color w:val="000000"/>
          <w:szCs w:val="21"/>
        </w:rPr>
      </w:pPr>
      <w:r>
        <w:rPr>
          <w:rFonts w:ascii="宋体" w:hAnsi="宋体" w:cs="宋体"/>
          <w:color w:val="000000"/>
          <w:szCs w:val="21"/>
        </w:rPr>
        <w:t>4、</w:t>
      </w:r>
      <w:r>
        <w:rPr>
          <w:rFonts w:hint="eastAsia" w:ascii="宋体" w:hAnsi="宋体" w:cs="宋体"/>
          <w:color w:val="000000"/>
          <w:szCs w:val="21"/>
          <w:lang w:eastAsia="zh-CN"/>
        </w:rPr>
        <w:t>采购人</w:t>
      </w:r>
      <w:r>
        <w:rPr>
          <w:rFonts w:hint="eastAsia" w:ascii="宋体" w:hAnsi="宋体" w:cs="宋体"/>
          <w:color w:val="000000"/>
          <w:szCs w:val="21"/>
        </w:rPr>
        <w:t>按照基本大伙毛利率不高于35%、风味小吃毛利率不高于45%标准核算饭菜售卖价格，高中低档菜品比例为</w:t>
      </w:r>
      <w:r>
        <w:rPr>
          <w:rFonts w:ascii="宋体" w:hAnsi="宋体" w:cs="宋体"/>
          <w:color w:val="000000"/>
          <w:szCs w:val="21"/>
        </w:rPr>
        <w:t>3：5：2。定期更换菜品，以时令新鲜菜及鲜肉为主，减少半成品的使用，其中自选餐及快餐菜品要求每周至少更新1/5。</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5、畅通师生反馈通道，定期对饭菜的质量、味道、品种、数量等开展检查，并根据投诉、建议、意见和检查情况，进行调整和优化。每餐每样食品必须由专人负责留样，食品留样按照《食品经营许可审查通则》和市场监管等行政部门有关文件的要求执行，并做好留样表登记工作。</w:t>
      </w:r>
    </w:p>
    <w:p>
      <w:pPr>
        <w:spacing w:line="460" w:lineRule="exact"/>
        <w:contextualSpacing/>
        <w:outlineLvl w:val="0"/>
        <w:rPr>
          <w:rFonts w:ascii="宋体" w:hAnsi="宋体" w:cs="宋体"/>
          <w:b/>
          <w:bCs/>
          <w:color w:val="000000"/>
          <w:szCs w:val="21"/>
        </w:rPr>
      </w:pPr>
      <w:bookmarkStart w:id="21" w:name="_Toc25973"/>
      <w:bookmarkStart w:id="22" w:name="_Toc306283700"/>
      <w:bookmarkStart w:id="23" w:name="_Toc323897764"/>
      <w:r>
        <w:rPr>
          <w:rFonts w:hint="eastAsia" w:ascii="宋体" w:hAnsi="宋体" w:cs="宋体"/>
          <w:b/>
          <w:bCs/>
          <w:color w:val="000000"/>
          <w:szCs w:val="21"/>
        </w:rPr>
        <w:t>八、服务质量与管理要求</w:t>
      </w:r>
      <w:bookmarkEnd w:id="21"/>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投标人</w:t>
      </w:r>
      <w:r>
        <w:rPr>
          <w:rFonts w:hint="eastAsia" w:ascii="宋体" w:hAnsi="宋体" w:cs="宋体"/>
          <w:color w:val="000000"/>
          <w:szCs w:val="21"/>
        </w:rPr>
        <w:t xml:space="preserve">严格遵守并执行食品安全监督和卫生防疫部门的法律法规，建立、健全完善的餐饮服务保障体系，并积极配合有关部门的检查以及餐厅资质的年审，营造文明、卫生、舒适、优雅的就餐环境。 </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eastAsia="zh-CN"/>
        </w:rPr>
        <w:t>投标人</w:t>
      </w:r>
      <w:r>
        <w:rPr>
          <w:rFonts w:hint="eastAsia" w:ascii="宋体" w:hAnsi="宋体" w:cs="宋体"/>
          <w:color w:val="000000"/>
          <w:szCs w:val="21"/>
        </w:rPr>
        <w:t>应按照</w:t>
      </w:r>
      <w:r>
        <w:rPr>
          <w:rFonts w:hint="eastAsia" w:ascii="宋体" w:hAnsi="宋体" w:cs="宋体"/>
          <w:color w:val="000000"/>
          <w:szCs w:val="21"/>
          <w:lang w:eastAsia="zh-CN"/>
        </w:rPr>
        <w:t>采购人</w:t>
      </w:r>
      <w:r>
        <w:rPr>
          <w:rFonts w:hint="eastAsia" w:ascii="宋体" w:hAnsi="宋体" w:cs="宋体"/>
          <w:color w:val="000000"/>
          <w:szCs w:val="21"/>
        </w:rPr>
        <w:t>的管理规范，制</w:t>
      </w:r>
      <w:r>
        <w:rPr>
          <w:rFonts w:hint="eastAsia" w:ascii="宋体" w:hAnsi="宋体" w:cs="宋体"/>
          <w:color w:val="000000"/>
          <w:szCs w:val="21"/>
          <w:lang w:val="en-US" w:eastAsia="zh-CN"/>
        </w:rPr>
        <w:t>定</w:t>
      </w:r>
      <w:r>
        <w:rPr>
          <w:rFonts w:hint="eastAsia" w:ascii="宋体" w:hAnsi="宋体" w:cs="宋体"/>
          <w:color w:val="000000"/>
          <w:szCs w:val="21"/>
        </w:rPr>
        <w:t>相应的质量标准实施细则，包括餐具清洁、环境卫生、员工仪容仪表、服务规范、服务用语等。</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投标人</w:t>
      </w:r>
      <w:r>
        <w:rPr>
          <w:rFonts w:hint="eastAsia" w:ascii="宋体" w:hAnsi="宋体" w:cs="宋体"/>
          <w:color w:val="000000"/>
          <w:szCs w:val="21"/>
        </w:rPr>
        <w:t>在经营活动中应正当、平等竞争，禁止抬价、压价，破坏经营秩序。</w:t>
      </w:r>
      <w:r>
        <w:rPr>
          <w:rFonts w:hint="eastAsia" w:ascii="宋体" w:hAnsi="宋体" w:cs="宋体"/>
          <w:color w:val="000000"/>
          <w:szCs w:val="21"/>
          <w:lang w:eastAsia="zh-CN"/>
        </w:rPr>
        <w:t>投标人</w:t>
      </w:r>
      <w:r>
        <w:rPr>
          <w:rFonts w:hint="eastAsia" w:ascii="宋体" w:hAnsi="宋体" w:cs="宋体"/>
          <w:color w:val="000000"/>
          <w:szCs w:val="21"/>
        </w:rPr>
        <w:t>需对窗口实行考核评比，定期更换不受欢迎菜品及窗口。经营期间，不得有空置窗口，不得影响正常保障。窗口供应新产品，须提前书面申请，提供成本核算表、厨师队伍、人员健康证、新品申请表，由厨师队伍进行试厨，在经过学生试餐以及</w:t>
      </w:r>
      <w:r>
        <w:rPr>
          <w:rFonts w:hint="eastAsia" w:ascii="宋体" w:hAnsi="宋体" w:cs="宋体"/>
          <w:color w:val="000000"/>
          <w:szCs w:val="21"/>
          <w:lang w:eastAsia="zh-CN"/>
        </w:rPr>
        <w:t>采购人</w:t>
      </w:r>
      <w:r>
        <w:rPr>
          <w:rFonts w:hint="eastAsia" w:ascii="宋体" w:hAnsi="宋体" w:cs="宋体"/>
          <w:color w:val="000000"/>
          <w:szCs w:val="21"/>
        </w:rPr>
        <w:t>审核通过后，方可售卖。</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4、</w:t>
      </w:r>
      <w:r>
        <w:rPr>
          <w:rFonts w:hint="eastAsia" w:ascii="宋体" w:hAnsi="宋体" w:cs="宋体"/>
          <w:color w:val="000000"/>
          <w:szCs w:val="21"/>
          <w:lang w:eastAsia="zh-CN"/>
        </w:rPr>
        <w:t>投标人</w:t>
      </w:r>
      <w:r>
        <w:rPr>
          <w:rFonts w:hint="eastAsia" w:ascii="宋体" w:hAnsi="宋体" w:cs="宋体"/>
          <w:color w:val="000000"/>
          <w:szCs w:val="21"/>
        </w:rPr>
        <w:t>严格落实</w:t>
      </w:r>
      <w:r>
        <w:rPr>
          <w:rFonts w:hint="eastAsia" w:ascii="宋体" w:hAnsi="宋体" w:cs="宋体"/>
          <w:color w:val="000000"/>
          <w:szCs w:val="21"/>
          <w:lang w:eastAsia="zh-CN"/>
        </w:rPr>
        <w:t>采购人</w:t>
      </w:r>
      <w:r>
        <w:rPr>
          <w:rFonts w:hint="eastAsia" w:ascii="宋体" w:hAnsi="宋体" w:cs="宋体"/>
          <w:color w:val="000000"/>
          <w:szCs w:val="21"/>
        </w:rPr>
        <w:t>要求的菜品价格、菜品结构、产品布局以及服务承诺，严格按照成本核算进行售卖，明码标价，保持现有售卖菜品质量价格稳定。应丰富餐饮口味及种类，按照不同地域、饮食习惯制定相应的菜单并定期更换。严格执行食堂值班责任制，夜间安排餐厅经理在餐厅值班，协调处理夜间事项，及时处理值班期间发生的问题。</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5、</w:t>
      </w:r>
      <w:r>
        <w:rPr>
          <w:rFonts w:hint="eastAsia" w:ascii="宋体" w:hAnsi="宋体" w:cs="宋体"/>
          <w:color w:val="000000"/>
          <w:szCs w:val="21"/>
          <w:lang w:eastAsia="zh-CN"/>
        </w:rPr>
        <w:t>投标人</w:t>
      </w:r>
      <w:r>
        <w:rPr>
          <w:rFonts w:hint="eastAsia" w:ascii="宋体" w:hAnsi="宋体" w:cs="宋体"/>
          <w:color w:val="000000"/>
          <w:szCs w:val="21"/>
        </w:rPr>
        <w:t>根据</w:t>
      </w:r>
      <w:r>
        <w:rPr>
          <w:rFonts w:hint="eastAsia" w:ascii="宋体" w:hAnsi="宋体" w:cs="宋体"/>
          <w:color w:val="000000"/>
          <w:szCs w:val="21"/>
          <w:lang w:eastAsia="zh-CN"/>
        </w:rPr>
        <w:t>采购人</w:t>
      </w:r>
      <w:r>
        <w:rPr>
          <w:rFonts w:hint="eastAsia" w:ascii="宋体" w:hAnsi="宋体" w:cs="宋体"/>
          <w:color w:val="000000"/>
          <w:szCs w:val="21"/>
        </w:rPr>
        <w:t>的要求安排工作内容、营业时间，不得随意变更。寒暑假食堂经营方式及时间等由</w:t>
      </w:r>
      <w:r>
        <w:rPr>
          <w:rFonts w:hint="eastAsia" w:ascii="宋体" w:hAnsi="宋体" w:cs="宋体"/>
          <w:color w:val="000000"/>
          <w:szCs w:val="21"/>
          <w:lang w:eastAsia="zh-CN"/>
        </w:rPr>
        <w:t>采购人</w:t>
      </w:r>
      <w:r>
        <w:rPr>
          <w:rFonts w:hint="eastAsia" w:ascii="宋体" w:hAnsi="宋体" w:cs="宋体"/>
          <w:color w:val="000000"/>
          <w:szCs w:val="21"/>
        </w:rPr>
        <w:t>统一安排，</w:t>
      </w:r>
      <w:r>
        <w:rPr>
          <w:rFonts w:hint="eastAsia" w:ascii="宋体" w:hAnsi="宋体" w:cs="宋体"/>
          <w:color w:val="000000"/>
          <w:szCs w:val="21"/>
          <w:lang w:eastAsia="zh-CN"/>
        </w:rPr>
        <w:t>投标人</w:t>
      </w:r>
      <w:r>
        <w:rPr>
          <w:rFonts w:hint="eastAsia" w:ascii="宋体" w:hAnsi="宋体" w:cs="宋体"/>
          <w:color w:val="000000"/>
          <w:szCs w:val="21"/>
        </w:rPr>
        <w:t>必须遵照执行。</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6、</w:t>
      </w:r>
      <w:r>
        <w:rPr>
          <w:rFonts w:hint="eastAsia" w:ascii="宋体" w:hAnsi="宋体" w:cs="宋体"/>
          <w:color w:val="000000"/>
          <w:szCs w:val="21"/>
          <w:lang w:eastAsia="zh-CN"/>
        </w:rPr>
        <w:t>投标人</w:t>
      </w:r>
      <w:r>
        <w:rPr>
          <w:rFonts w:hint="eastAsia" w:ascii="宋体" w:hAnsi="宋体" w:cs="宋体"/>
          <w:color w:val="000000"/>
          <w:szCs w:val="21"/>
        </w:rPr>
        <w:t>应依据</w:t>
      </w:r>
      <w:r>
        <w:rPr>
          <w:rFonts w:hint="eastAsia" w:ascii="宋体" w:hAnsi="宋体" w:cs="宋体"/>
          <w:color w:val="000000"/>
          <w:szCs w:val="21"/>
          <w:lang w:eastAsia="zh-CN"/>
        </w:rPr>
        <w:t>采购人</w:t>
      </w:r>
      <w:r>
        <w:rPr>
          <w:rFonts w:hint="eastAsia" w:ascii="宋体" w:hAnsi="宋体" w:cs="宋体"/>
          <w:color w:val="000000"/>
          <w:szCs w:val="21"/>
        </w:rPr>
        <w:t>的投诉受理制度建立投诉处理方案，所有投诉建立投诉台账，做到有投诉、有整改、有反馈。</w:t>
      </w:r>
      <w:r>
        <w:rPr>
          <w:rFonts w:hint="eastAsia" w:ascii="宋体" w:hAnsi="宋体" w:cs="宋体"/>
          <w:color w:val="000000"/>
          <w:szCs w:val="21"/>
          <w:lang w:eastAsia="zh-CN"/>
        </w:rPr>
        <w:t>投标人</w:t>
      </w:r>
      <w:r>
        <w:rPr>
          <w:rFonts w:hint="eastAsia" w:ascii="宋体" w:hAnsi="宋体" w:cs="宋体"/>
          <w:color w:val="000000"/>
          <w:szCs w:val="21"/>
        </w:rPr>
        <w:t>收到的投诉需及时上报</w:t>
      </w:r>
      <w:r>
        <w:rPr>
          <w:rFonts w:hint="eastAsia" w:ascii="宋体" w:hAnsi="宋体" w:cs="宋体"/>
          <w:color w:val="000000"/>
          <w:szCs w:val="21"/>
          <w:lang w:eastAsia="zh-CN"/>
        </w:rPr>
        <w:t>采购人</w:t>
      </w:r>
      <w:r>
        <w:rPr>
          <w:rFonts w:hint="eastAsia" w:ascii="宋体" w:hAnsi="宋体" w:cs="宋体"/>
          <w:color w:val="000000"/>
          <w:szCs w:val="21"/>
        </w:rPr>
        <w:t>，在</w:t>
      </w:r>
      <w:r>
        <w:rPr>
          <w:rFonts w:hint="eastAsia" w:ascii="宋体" w:hAnsi="宋体" w:cs="宋体"/>
          <w:color w:val="000000"/>
          <w:szCs w:val="21"/>
          <w:lang w:eastAsia="zh-CN"/>
        </w:rPr>
        <w:t>采购人</w:t>
      </w:r>
      <w:r>
        <w:rPr>
          <w:rFonts w:hint="eastAsia" w:ascii="宋体" w:hAnsi="宋体" w:cs="宋体"/>
          <w:color w:val="000000"/>
          <w:szCs w:val="21"/>
        </w:rPr>
        <w:t>的监督下处理学生投诉。</w:t>
      </w:r>
    </w:p>
    <w:p>
      <w:pPr>
        <w:pStyle w:val="21"/>
        <w:spacing w:line="460" w:lineRule="exact"/>
        <w:ind w:firstLine="0" w:firstLineChars="0"/>
        <w:contextualSpacing/>
        <w:rPr>
          <w:rFonts w:hAnsi="宋体" w:cs="宋体"/>
          <w:b/>
          <w:bCs/>
          <w:color w:val="000000"/>
          <w:szCs w:val="21"/>
        </w:rPr>
      </w:pPr>
      <w:r>
        <w:rPr>
          <w:rFonts w:hint="eastAsia" w:hAnsi="宋体" w:cs="宋体"/>
          <w:b/>
          <w:bCs/>
          <w:color w:val="000000"/>
          <w:szCs w:val="21"/>
        </w:rPr>
        <w:t>九、卫生与管理要求</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投标人</w:t>
      </w:r>
      <w:r>
        <w:rPr>
          <w:rFonts w:hint="eastAsia" w:ascii="宋体" w:hAnsi="宋体" w:cs="宋体"/>
          <w:color w:val="000000"/>
          <w:szCs w:val="21"/>
        </w:rPr>
        <w:t>根据《中</w:t>
      </w:r>
      <w:r>
        <w:rPr>
          <w:rFonts w:hint="eastAsia" w:ascii="宋体" w:hAnsi="宋体" w:cs="宋体"/>
          <w:color w:val="000000"/>
          <w:szCs w:val="21"/>
          <w:lang w:val="en-US" w:eastAsia="zh-CN"/>
        </w:rPr>
        <w:t>华</w:t>
      </w:r>
      <w:r>
        <w:rPr>
          <w:rFonts w:hint="eastAsia" w:ascii="宋体" w:hAnsi="宋体" w:cs="宋体"/>
          <w:color w:val="000000"/>
          <w:szCs w:val="21"/>
        </w:rPr>
        <w:t>人民共和国病媒生物防治法》《突发公共卫生事件》等法律法规的规定，制定病媒安全管理制度，做好六防管理，积极做好灭鼠、灭蚊、灭蝇、灭蟑螂等工作。按照国家和地方政府要求，建立垃圾分类处理管理制度，做好垃圾分类工作，建立清晰的垃圾清运台账。</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2、对桌椅、工作台、地面、墙面及其他设备设施进行全面清洁消毒，确保整体无污迹、无灰尘、无蛛网、无明显破损；桌椅、墙面、工作台面等无油渍，定期进行开门窗通风，检查灯光照明、通风空调等设备设施功能是否有效，有异常情况时需及时妥善处置，营造出安全、洁净、温馨的就餐环境。</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3、餐具按本食堂规范和标准进行洗消，相关工作人员熟悉洗碗机和洗消用品的使用方法，洗消后即时抽检或普检合格；分区摆放并做防尘处理，避免二次污染。炊具分区使用，用完即时清洗，分区摆放整齐。砧板、刀具等生产工具按荤素分类使用，有明显的区分标识，用完即时清洗并按指定位置摆放有序。</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4、抹布、拖把、垃圾桶等卫生工具需分区、分类使用，有明显的区分标识，定点摆放。用于盛放原料、半成品、成品的容器需有明显的区分标识，严禁交叉使用，及时清洗消毒，并分开存放。</w:t>
      </w:r>
    </w:p>
    <w:p>
      <w:pPr>
        <w:spacing w:line="460" w:lineRule="exact"/>
        <w:ind w:firstLine="420" w:firstLineChars="200"/>
        <w:contextualSpacing/>
        <w:rPr>
          <w:rFonts w:ascii="宋体" w:hAnsi="宋体" w:cs="宋体"/>
          <w:bCs/>
          <w:color w:val="000000"/>
          <w:szCs w:val="21"/>
        </w:rPr>
      </w:pPr>
      <w:r>
        <w:rPr>
          <w:rFonts w:hint="eastAsia" w:ascii="宋体" w:hAnsi="宋体" w:cs="宋体"/>
          <w:bCs/>
          <w:color w:val="000000"/>
          <w:szCs w:val="21"/>
        </w:rPr>
        <w:t>5、做好限塑工作，工作中减少一次性塑料制品的使用；按照</w:t>
      </w:r>
      <w:r>
        <w:rPr>
          <w:rFonts w:hint="eastAsia" w:ascii="宋体" w:hAnsi="宋体" w:cs="宋体"/>
          <w:bCs/>
          <w:color w:val="000000"/>
          <w:szCs w:val="21"/>
          <w:lang w:eastAsia="zh-CN"/>
        </w:rPr>
        <w:t>采购人</w:t>
      </w:r>
      <w:r>
        <w:rPr>
          <w:rFonts w:hint="eastAsia" w:ascii="宋体" w:hAnsi="宋体" w:cs="宋体"/>
          <w:bCs/>
          <w:color w:val="000000"/>
          <w:szCs w:val="21"/>
        </w:rPr>
        <w:t>要求提供指定的一次性环保制品。</w:t>
      </w:r>
    </w:p>
    <w:p>
      <w:pPr>
        <w:spacing w:line="460" w:lineRule="exact"/>
        <w:contextualSpacing/>
        <w:outlineLvl w:val="0"/>
        <w:rPr>
          <w:rFonts w:ascii="宋体" w:hAnsi="宋体" w:cs="宋体"/>
          <w:b/>
          <w:bCs/>
          <w:color w:val="000000"/>
          <w:szCs w:val="21"/>
        </w:rPr>
      </w:pPr>
      <w:r>
        <w:rPr>
          <w:rFonts w:hint="eastAsia" w:ascii="宋体" w:hAnsi="宋体" w:cs="宋体"/>
          <w:b/>
          <w:bCs/>
          <w:color w:val="000000"/>
          <w:szCs w:val="21"/>
        </w:rPr>
        <w:t>十、安全管理要求</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1、严格遵守《中华人民共和国食品安全法》《中华人民共和国消防法》《中华人民共和国劳动合同法》《食品安全法实施条例》《餐饮服务食品安全操作规范》《餐饮业和集体用餐配送单位卫生规范》《食品安全抽样检验管理办法》《食品生产许可管理办法》《学生食堂与学生集体用餐卫生管理规定》《关于深化改革加强食品安全工作意见》等国家有关法律和法规，遵守学校相关规章制度，服从</w:t>
      </w:r>
      <w:r>
        <w:rPr>
          <w:rFonts w:hint="eastAsia" w:ascii="宋体" w:hAnsi="宋体" w:cs="宋体"/>
          <w:color w:val="000000"/>
          <w:szCs w:val="21"/>
          <w:lang w:eastAsia="zh-CN"/>
        </w:rPr>
        <w:t>采购人</w:t>
      </w:r>
      <w:r>
        <w:rPr>
          <w:rFonts w:hint="eastAsia" w:ascii="宋体" w:hAnsi="宋体" w:cs="宋体"/>
          <w:color w:val="000000"/>
          <w:szCs w:val="21"/>
        </w:rPr>
        <w:t>的管理、监督和指导。</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eastAsia="zh-CN"/>
        </w:rPr>
        <w:t>投标人</w:t>
      </w:r>
      <w:r>
        <w:rPr>
          <w:rFonts w:hint="eastAsia" w:ascii="宋体" w:hAnsi="宋体" w:cs="宋体"/>
          <w:color w:val="000000"/>
          <w:szCs w:val="21"/>
        </w:rPr>
        <w:t>需建立《联营方引入与退出机制》《管理团队考核奖励资金分配制度》《投诉受理制度》《餐饮公司自查与巡检制度》等有利于创新港食堂安全管理的各项制度、实施细则、管理规范。认真做好食堂的防火、防毒、防盗等工作，保证伙食的安全与质量，确保食堂不出任何安全责任事故。</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投标人</w:t>
      </w:r>
      <w:r>
        <w:rPr>
          <w:rFonts w:hint="eastAsia" w:ascii="宋体" w:hAnsi="宋体" w:cs="宋体"/>
          <w:color w:val="000000"/>
          <w:szCs w:val="21"/>
        </w:rPr>
        <w:t>应对上岗人员进行岗前安全培训和日常消防安全应急培训及演练，加强食堂设施设备操作培训，掌握消防器材使用方法，确保每个员工掌握基本消防知识和逃生技能，规范操作食堂设施设备，提高安全事故防范能力。</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4、</w:t>
      </w:r>
      <w:r>
        <w:rPr>
          <w:rFonts w:hint="eastAsia" w:ascii="宋体" w:hAnsi="宋体" w:cs="宋体"/>
          <w:color w:val="000000"/>
          <w:szCs w:val="21"/>
          <w:lang w:eastAsia="zh-CN"/>
        </w:rPr>
        <w:t>投标人</w:t>
      </w:r>
      <w:r>
        <w:rPr>
          <w:rFonts w:hint="eastAsia" w:ascii="宋体" w:hAnsi="宋体" w:cs="宋体"/>
          <w:color w:val="000000"/>
          <w:szCs w:val="21"/>
        </w:rPr>
        <w:t>应设置专职安全员岗位，建立切实可操作的消防安全、食品安全、疫情防控、师生投诉、纠纷处理等管理机制及突发事件的应急预案，确保经营管理安全无事故。</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5、</w:t>
      </w:r>
      <w:r>
        <w:rPr>
          <w:rFonts w:hint="eastAsia" w:ascii="宋体" w:hAnsi="宋体" w:cs="宋体"/>
          <w:color w:val="000000"/>
          <w:szCs w:val="21"/>
          <w:lang w:eastAsia="zh-CN"/>
        </w:rPr>
        <w:t>投标人</w:t>
      </w:r>
      <w:r>
        <w:rPr>
          <w:rFonts w:hint="eastAsia" w:ascii="宋体" w:hAnsi="宋体" w:cs="宋体"/>
          <w:color w:val="000000"/>
          <w:szCs w:val="21"/>
        </w:rPr>
        <w:t>自主经营、自负盈亏，经营期内发生的一切经济纠纷、安全问题等均由</w:t>
      </w:r>
      <w:r>
        <w:rPr>
          <w:rFonts w:hint="eastAsia" w:ascii="宋体" w:hAnsi="宋体" w:cs="宋体"/>
          <w:color w:val="000000"/>
          <w:szCs w:val="21"/>
          <w:lang w:eastAsia="zh-CN"/>
        </w:rPr>
        <w:t>投标人</w:t>
      </w:r>
      <w:r>
        <w:rPr>
          <w:rFonts w:hint="eastAsia" w:ascii="宋体" w:hAnsi="宋体" w:cs="宋体"/>
          <w:color w:val="000000"/>
          <w:szCs w:val="21"/>
        </w:rPr>
        <w:t>负责，并承担相应法律责任及赔偿责任，由此对</w:t>
      </w:r>
      <w:r>
        <w:rPr>
          <w:rFonts w:hint="eastAsia" w:ascii="宋体" w:hAnsi="宋体" w:cs="宋体"/>
          <w:color w:val="000000"/>
          <w:szCs w:val="21"/>
          <w:lang w:eastAsia="zh-CN"/>
        </w:rPr>
        <w:t>采购人</w:t>
      </w:r>
      <w:r>
        <w:rPr>
          <w:rFonts w:hint="eastAsia" w:ascii="宋体" w:hAnsi="宋体" w:cs="宋体"/>
          <w:color w:val="000000"/>
          <w:szCs w:val="21"/>
        </w:rPr>
        <w:t>造成不良影响的，</w:t>
      </w:r>
      <w:r>
        <w:rPr>
          <w:rFonts w:hint="eastAsia" w:ascii="宋体" w:hAnsi="宋体" w:cs="宋体"/>
          <w:color w:val="000000"/>
          <w:szCs w:val="21"/>
          <w:lang w:eastAsia="zh-CN"/>
        </w:rPr>
        <w:t>采购人</w:t>
      </w:r>
      <w:r>
        <w:rPr>
          <w:rFonts w:hint="eastAsia" w:ascii="宋体" w:hAnsi="宋体" w:cs="宋体"/>
          <w:color w:val="000000"/>
          <w:szCs w:val="21"/>
        </w:rPr>
        <w:t>有权扣押未返还的营业款及履约保证金用于相关处罚及赔偿。</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6、风险责任承诺：</w:t>
      </w:r>
      <w:r>
        <w:rPr>
          <w:rFonts w:hint="eastAsia" w:ascii="宋体" w:hAnsi="宋体" w:cs="宋体"/>
          <w:color w:val="000000"/>
          <w:szCs w:val="21"/>
          <w:lang w:eastAsia="zh-CN"/>
        </w:rPr>
        <w:t>投标人</w:t>
      </w:r>
      <w:r>
        <w:rPr>
          <w:rFonts w:hint="eastAsia" w:ascii="宋体" w:hAnsi="宋体" w:cs="宋体"/>
          <w:color w:val="000000"/>
          <w:szCs w:val="21"/>
        </w:rPr>
        <w:t>必须对经营风险承担全部的后果，并对有关安全责任做出明确的承诺。</w:t>
      </w:r>
    </w:p>
    <w:p>
      <w:pPr>
        <w:spacing w:line="460" w:lineRule="exact"/>
        <w:contextualSpacing/>
        <w:outlineLvl w:val="0"/>
        <w:rPr>
          <w:rFonts w:ascii="宋体" w:hAnsi="宋体" w:cs="宋体"/>
          <w:b/>
          <w:bCs/>
          <w:color w:val="000000"/>
          <w:szCs w:val="21"/>
        </w:rPr>
      </w:pPr>
      <w:bookmarkStart w:id="24" w:name="_Toc10276"/>
      <w:r>
        <w:rPr>
          <w:rFonts w:hint="eastAsia" w:ascii="宋体" w:hAnsi="宋体" w:cs="宋体"/>
          <w:b/>
          <w:bCs/>
          <w:color w:val="000000"/>
          <w:szCs w:val="21"/>
        </w:rPr>
        <w:t>十一、其他相关管理要求</w:t>
      </w:r>
      <w:bookmarkEnd w:id="22"/>
      <w:bookmarkEnd w:id="23"/>
      <w:bookmarkEnd w:id="24"/>
    </w:p>
    <w:p>
      <w:pPr>
        <w:spacing w:line="460" w:lineRule="exact"/>
        <w:ind w:firstLine="422" w:firstLineChars="200"/>
        <w:contextualSpacing/>
        <w:rPr>
          <w:rFonts w:ascii="宋体" w:hAnsi="宋体" w:cs="宋体"/>
          <w:b/>
          <w:bCs/>
          <w:color w:val="000000"/>
          <w:szCs w:val="21"/>
        </w:rPr>
      </w:pPr>
      <w:bookmarkStart w:id="25" w:name="_Toc323897766"/>
      <w:bookmarkStart w:id="26" w:name="_Toc306283702"/>
      <w:r>
        <w:rPr>
          <w:rFonts w:hint="eastAsia" w:ascii="宋体" w:hAnsi="宋体" w:cs="宋体"/>
          <w:b/>
          <w:bCs/>
          <w:color w:val="000000"/>
          <w:szCs w:val="21"/>
        </w:rPr>
        <w:t>（一）原材料采购及监管</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1、所有原材料的采购、运输、贮存均由</w:t>
      </w:r>
      <w:r>
        <w:rPr>
          <w:rFonts w:hint="eastAsia" w:ascii="宋体" w:hAnsi="宋体" w:cs="宋体"/>
          <w:color w:val="000000"/>
          <w:szCs w:val="21"/>
          <w:lang w:eastAsia="zh-CN"/>
        </w:rPr>
        <w:t>投标人</w:t>
      </w:r>
      <w:r>
        <w:rPr>
          <w:rFonts w:hint="eastAsia" w:ascii="宋体" w:hAnsi="宋体" w:cs="宋体"/>
          <w:color w:val="000000"/>
          <w:szCs w:val="21"/>
        </w:rPr>
        <w:t>负责。</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eastAsia="zh-CN"/>
        </w:rPr>
        <w:t>采购人</w:t>
      </w:r>
      <w:r>
        <w:rPr>
          <w:rFonts w:hint="eastAsia" w:ascii="宋体" w:hAnsi="宋体" w:cs="宋体"/>
          <w:color w:val="000000"/>
          <w:szCs w:val="21"/>
        </w:rPr>
        <w:t>搭建统一采购平台，</w:t>
      </w:r>
      <w:r>
        <w:rPr>
          <w:rFonts w:hint="eastAsia" w:ascii="宋体" w:hAnsi="宋体" w:cs="宋体"/>
          <w:color w:val="000000"/>
          <w:szCs w:val="21"/>
          <w:lang w:eastAsia="zh-CN"/>
        </w:rPr>
        <w:t>投标人</w:t>
      </w:r>
      <w:r>
        <w:rPr>
          <w:rFonts w:hint="eastAsia" w:ascii="宋体" w:hAnsi="宋体" w:cs="宋体"/>
          <w:color w:val="000000"/>
          <w:szCs w:val="21"/>
        </w:rPr>
        <w:t>使用</w:t>
      </w:r>
      <w:r>
        <w:rPr>
          <w:rFonts w:hint="eastAsia" w:ascii="宋体" w:hAnsi="宋体" w:cs="宋体"/>
          <w:color w:val="000000"/>
          <w:szCs w:val="21"/>
          <w:lang w:eastAsia="zh-CN"/>
        </w:rPr>
        <w:t>采购人</w:t>
      </w:r>
      <w:r>
        <w:rPr>
          <w:rFonts w:hint="eastAsia" w:ascii="宋体" w:hAnsi="宋体" w:cs="宋体"/>
          <w:color w:val="000000"/>
          <w:szCs w:val="21"/>
        </w:rPr>
        <w:t>搭建的集中采购平台进行原材料采购、出入库，承担平台运行费用，</w:t>
      </w:r>
      <w:r>
        <w:rPr>
          <w:rFonts w:hint="eastAsia" w:ascii="宋体" w:hAnsi="宋体" w:cs="宋体"/>
          <w:color w:val="000000"/>
          <w:szCs w:val="21"/>
          <w:lang w:eastAsia="zh-CN"/>
        </w:rPr>
        <w:t>投标人</w:t>
      </w:r>
      <w:r>
        <w:rPr>
          <w:rFonts w:hint="eastAsia" w:ascii="宋体" w:hAnsi="宋体" w:cs="宋体"/>
          <w:color w:val="000000"/>
          <w:szCs w:val="21"/>
        </w:rPr>
        <w:t>自行完成验收、财务结算等工作，并将采购数据如实报备</w:t>
      </w:r>
      <w:r>
        <w:rPr>
          <w:rFonts w:hint="eastAsia" w:ascii="宋体" w:hAnsi="宋体" w:cs="宋体"/>
          <w:color w:val="000000"/>
          <w:szCs w:val="21"/>
          <w:lang w:eastAsia="zh-CN"/>
        </w:rPr>
        <w:t>采购人</w:t>
      </w:r>
      <w:r>
        <w:rPr>
          <w:rFonts w:hint="eastAsia" w:ascii="宋体" w:hAnsi="宋体" w:cs="宋体"/>
          <w:color w:val="000000"/>
          <w:szCs w:val="21"/>
        </w:rPr>
        <w:t>。</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3、大宗物资（米、面、油、蛋）的供货商由</w:t>
      </w:r>
      <w:r>
        <w:rPr>
          <w:rFonts w:hint="eastAsia" w:ascii="宋体" w:hAnsi="宋体" w:cs="宋体"/>
          <w:color w:val="000000"/>
          <w:szCs w:val="21"/>
          <w:lang w:eastAsia="zh-CN"/>
        </w:rPr>
        <w:t>采购人</w:t>
      </w:r>
      <w:r>
        <w:rPr>
          <w:rFonts w:hint="eastAsia" w:ascii="宋体" w:hAnsi="宋体" w:cs="宋体"/>
          <w:color w:val="000000"/>
          <w:szCs w:val="21"/>
        </w:rPr>
        <w:t>进行公开招标，</w:t>
      </w:r>
      <w:r>
        <w:rPr>
          <w:rFonts w:hint="eastAsia" w:ascii="宋体" w:hAnsi="宋体" w:cs="宋体"/>
          <w:color w:val="000000"/>
          <w:szCs w:val="21"/>
          <w:lang w:eastAsia="zh-CN"/>
        </w:rPr>
        <w:t>投标人</w:t>
      </w:r>
      <w:r>
        <w:rPr>
          <w:rFonts w:hint="eastAsia" w:ascii="宋体" w:hAnsi="宋体" w:cs="宋体"/>
          <w:color w:val="000000"/>
          <w:szCs w:val="21"/>
        </w:rPr>
        <w:t>采购的大宗物资需在</w:t>
      </w:r>
      <w:r>
        <w:rPr>
          <w:rFonts w:hint="eastAsia" w:ascii="宋体" w:hAnsi="宋体" w:cs="宋体"/>
          <w:color w:val="000000"/>
          <w:szCs w:val="21"/>
          <w:lang w:eastAsia="zh-CN"/>
        </w:rPr>
        <w:t>采购人</w:t>
      </w:r>
      <w:r>
        <w:rPr>
          <w:rFonts w:hint="eastAsia" w:ascii="宋体" w:hAnsi="宋体" w:cs="宋体"/>
          <w:color w:val="000000"/>
          <w:szCs w:val="21"/>
        </w:rPr>
        <w:t>提供的供货商名录进行采购；其余原材料的供货商由</w:t>
      </w:r>
      <w:r>
        <w:rPr>
          <w:rFonts w:hint="eastAsia" w:ascii="宋体" w:hAnsi="宋体" w:cs="宋体"/>
          <w:color w:val="000000"/>
          <w:szCs w:val="21"/>
          <w:lang w:eastAsia="zh-CN"/>
        </w:rPr>
        <w:t>采购人</w:t>
      </w:r>
      <w:r>
        <w:rPr>
          <w:rFonts w:hint="eastAsia" w:ascii="宋体" w:hAnsi="宋体" w:cs="宋体"/>
          <w:color w:val="000000"/>
          <w:szCs w:val="21"/>
        </w:rPr>
        <w:t>审核后进入采购平台线上报价，各公司根据不同供货商原材料质量及价格择优下单，月底按标准核算成本。</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4、</w:t>
      </w:r>
      <w:r>
        <w:rPr>
          <w:rFonts w:hint="eastAsia" w:ascii="宋体" w:hAnsi="宋体" w:cs="宋体"/>
          <w:color w:val="000000"/>
          <w:szCs w:val="21"/>
          <w:lang w:eastAsia="zh-CN"/>
        </w:rPr>
        <w:t>投标人</w:t>
      </w:r>
      <w:r>
        <w:rPr>
          <w:rFonts w:hint="eastAsia" w:ascii="宋体" w:hAnsi="宋体" w:cs="宋体"/>
          <w:color w:val="000000"/>
          <w:szCs w:val="21"/>
        </w:rPr>
        <w:t>应在具备食品卫生安全相关资质的正规企业采购，保证食品质量和食品供应链安全，并可追溯采购源头，</w:t>
      </w:r>
      <w:r>
        <w:rPr>
          <w:rFonts w:hint="eastAsia" w:ascii="宋体" w:hAnsi="宋体" w:cs="宋体"/>
          <w:color w:val="000000"/>
          <w:szCs w:val="21"/>
          <w:lang w:eastAsia="zh-CN"/>
        </w:rPr>
        <w:t>采购人</w:t>
      </w:r>
      <w:r>
        <w:rPr>
          <w:rFonts w:hint="eastAsia" w:ascii="宋体" w:hAnsi="宋体" w:cs="宋体"/>
          <w:color w:val="000000"/>
          <w:szCs w:val="21"/>
        </w:rPr>
        <w:t>进行检查、监督和指导。</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5、为应对疫情防控等突发情况，</w:t>
      </w:r>
      <w:r>
        <w:rPr>
          <w:rFonts w:hint="eastAsia" w:ascii="宋体" w:hAnsi="宋体" w:cs="宋体"/>
          <w:color w:val="000000"/>
          <w:szCs w:val="21"/>
          <w:lang w:eastAsia="zh-CN"/>
        </w:rPr>
        <w:t>投标人</w:t>
      </w:r>
      <w:r>
        <w:rPr>
          <w:rFonts w:hint="eastAsia" w:ascii="宋体" w:hAnsi="宋体" w:cs="宋体"/>
          <w:color w:val="000000"/>
          <w:szCs w:val="21"/>
        </w:rPr>
        <w:t>应按</w:t>
      </w:r>
      <w:r>
        <w:rPr>
          <w:rFonts w:hint="eastAsia" w:ascii="宋体" w:hAnsi="宋体" w:cs="宋体"/>
          <w:color w:val="000000"/>
          <w:szCs w:val="21"/>
          <w:lang w:eastAsia="zh-CN"/>
        </w:rPr>
        <w:t>采购人</w:t>
      </w:r>
      <w:r>
        <w:rPr>
          <w:rFonts w:hint="eastAsia" w:ascii="宋体" w:hAnsi="宋体" w:cs="宋体"/>
          <w:color w:val="000000"/>
          <w:szCs w:val="21"/>
        </w:rPr>
        <w:t>要求进行物资应急储备。</w:t>
      </w:r>
    </w:p>
    <w:p>
      <w:pPr>
        <w:spacing w:line="460" w:lineRule="exact"/>
        <w:ind w:firstLine="422" w:firstLineChars="200"/>
        <w:contextualSpacing/>
        <w:rPr>
          <w:rFonts w:ascii="宋体" w:hAnsi="宋体" w:cs="宋体"/>
          <w:b/>
          <w:bCs/>
          <w:color w:val="000000"/>
          <w:szCs w:val="21"/>
        </w:rPr>
      </w:pPr>
      <w:r>
        <w:rPr>
          <w:rFonts w:hint="eastAsia" w:ascii="宋体" w:hAnsi="宋体" w:cs="宋体"/>
          <w:b/>
          <w:bCs/>
          <w:color w:val="000000"/>
          <w:szCs w:val="21"/>
        </w:rPr>
        <w:t>（二）固定资产管理</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采购人</w:t>
      </w:r>
      <w:r>
        <w:rPr>
          <w:rFonts w:hint="eastAsia" w:ascii="宋体" w:hAnsi="宋体" w:cs="宋体"/>
          <w:color w:val="000000"/>
          <w:szCs w:val="21"/>
        </w:rPr>
        <w:t>投入的餐桌、餐椅、厨房设备及相关设备设施等固定资产，由</w:t>
      </w:r>
      <w:r>
        <w:rPr>
          <w:rFonts w:hint="eastAsia" w:ascii="宋体" w:hAnsi="宋体" w:cs="宋体"/>
          <w:color w:val="000000"/>
          <w:szCs w:val="21"/>
          <w:lang w:eastAsia="zh-CN"/>
        </w:rPr>
        <w:t>投标人</w:t>
      </w:r>
      <w:r>
        <w:rPr>
          <w:rFonts w:hint="eastAsia" w:ascii="宋体" w:hAnsi="宋体" w:cs="宋体"/>
          <w:color w:val="000000"/>
          <w:szCs w:val="21"/>
        </w:rPr>
        <w:t>负责统一保管和使用，制定各类厨房设备、切配设备、洗淘设备、用电设备、用气设备安全操作规程，建立台账，专人管理。</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eastAsia="zh-CN"/>
        </w:rPr>
        <w:t>采购人</w:t>
      </w:r>
      <w:r>
        <w:rPr>
          <w:rFonts w:hint="eastAsia" w:ascii="宋体" w:hAnsi="宋体" w:cs="宋体"/>
          <w:color w:val="000000"/>
          <w:szCs w:val="21"/>
        </w:rPr>
        <w:t>负责餐厅公共区域内由</w:t>
      </w:r>
      <w:r>
        <w:rPr>
          <w:rFonts w:hint="eastAsia" w:ascii="宋体" w:hAnsi="宋体" w:cs="宋体"/>
          <w:color w:val="000000"/>
          <w:szCs w:val="21"/>
          <w:lang w:eastAsia="zh-CN"/>
        </w:rPr>
        <w:t>采购人</w:t>
      </w:r>
      <w:r>
        <w:rPr>
          <w:rFonts w:hint="eastAsia" w:ascii="宋体" w:hAnsi="宋体" w:cs="宋体"/>
          <w:color w:val="000000"/>
          <w:szCs w:val="21"/>
        </w:rPr>
        <w:t>投入的水电暖、门窗、空调等设施设备维修及维护（除厨房专用设备外），其余部分由</w:t>
      </w:r>
      <w:r>
        <w:rPr>
          <w:rFonts w:hint="eastAsia" w:ascii="宋体" w:hAnsi="宋体" w:cs="宋体"/>
          <w:color w:val="000000"/>
          <w:szCs w:val="21"/>
          <w:lang w:eastAsia="zh-CN"/>
        </w:rPr>
        <w:t>投标人</w:t>
      </w:r>
      <w:r>
        <w:rPr>
          <w:rFonts w:hint="eastAsia" w:ascii="宋体" w:hAnsi="宋体" w:cs="宋体"/>
          <w:color w:val="000000"/>
          <w:szCs w:val="21"/>
        </w:rPr>
        <w:t>负责维修保养。属于人为原因造成设备损坏的由</w:t>
      </w:r>
      <w:r>
        <w:rPr>
          <w:rFonts w:hint="eastAsia" w:ascii="宋体" w:hAnsi="宋体" w:cs="宋体"/>
          <w:color w:val="000000"/>
          <w:szCs w:val="21"/>
          <w:lang w:eastAsia="zh-CN"/>
        </w:rPr>
        <w:t>投标人</w:t>
      </w:r>
      <w:r>
        <w:rPr>
          <w:rFonts w:hint="eastAsia" w:ascii="宋体" w:hAnsi="宋体" w:cs="宋体"/>
          <w:color w:val="000000"/>
          <w:szCs w:val="21"/>
        </w:rPr>
        <w:t>负责赔偿。</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投标人</w:t>
      </w:r>
      <w:r>
        <w:rPr>
          <w:rFonts w:hint="eastAsia" w:ascii="宋体" w:hAnsi="宋体" w:cs="宋体"/>
          <w:color w:val="000000"/>
          <w:szCs w:val="21"/>
        </w:rPr>
        <w:t>负责承担食堂日常的低值易耗品和燃气费用，并提供相应设施的保养维护。</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4、对</w:t>
      </w:r>
      <w:r>
        <w:rPr>
          <w:rFonts w:hint="eastAsia" w:ascii="宋体" w:hAnsi="宋体" w:cs="宋体"/>
          <w:color w:val="000000"/>
          <w:szCs w:val="21"/>
          <w:lang w:eastAsia="zh-CN"/>
        </w:rPr>
        <w:t>采购人</w:t>
      </w:r>
      <w:r>
        <w:rPr>
          <w:rFonts w:hint="eastAsia" w:ascii="宋体" w:hAnsi="宋体" w:cs="宋体"/>
          <w:color w:val="000000"/>
          <w:szCs w:val="21"/>
        </w:rPr>
        <w:t>提供的厨具设备，</w:t>
      </w:r>
      <w:r>
        <w:rPr>
          <w:rFonts w:hint="eastAsia" w:ascii="宋体" w:hAnsi="宋体" w:cs="宋体"/>
          <w:color w:val="000000"/>
          <w:szCs w:val="21"/>
          <w:lang w:eastAsia="zh-CN"/>
        </w:rPr>
        <w:t>投标人</w:t>
      </w:r>
      <w:r>
        <w:rPr>
          <w:rFonts w:hint="eastAsia" w:ascii="宋体" w:hAnsi="宋体" w:cs="宋体"/>
          <w:color w:val="000000"/>
          <w:szCs w:val="21"/>
        </w:rPr>
        <w:t>应及时进行定期保养、维修，保养、维修相关费用由</w:t>
      </w:r>
      <w:r>
        <w:rPr>
          <w:rFonts w:hint="eastAsia" w:ascii="宋体" w:hAnsi="宋体" w:cs="宋体"/>
          <w:color w:val="000000"/>
          <w:szCs w:val="21"/>
          <w:lang w:eastAsia="zh-CN"/>
        </w:rPr>
        <w:t>投标人</w:t>
      </w:r>
      <w:r>
        <w:rPr>
          <w:rFonts w:hint="eastAsia" w:ascii="宋体" w:hAnsi="宋体" w:cs="宋体"/>
          <w:color w:val="000000"/>
          <w:szCs w:val="21"/>
        </w:rPr>
        <w:t>负责。</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5、属于</w:t>
      </w:r>
      <w:r>
        <w:rPr>
          <w:rFonts w:hint="eastAsia" w:ascii="宋体" w:hAnsi="宋体" w:cs="宋体"/>
          <w:color w:val="000000"/>
          <w:szCs w:val="21"/>
          <w:lang w:eastAsia="zh-CN"/>
        </w:rPr>
        <w:t>投标人</w:t>
      </w:r>
      <w:r>
        <w:rPr>
          <w:rFonts w:hint="eastAsia" w:ascii="宋体" w:hAnsi="宋体" w:cs="宋体"/>
          <w:color w:val="000000"/>
          <w:szCs w:val="21"/>
        </w:rPr>
        <w:t>负责的设备设施，如有损坏，</w:t>
      </w:r>
      <w:r>
        <w:rPr>
          <w:rFonts w:hint="eastAsia" w:ascii="宋体" w:hAnsi="宋体" w:cs="宋体"/>
          <w:color w:val="000000"/>
          <w:szCs w:val="21"/>
          <w:lang w:eastAsia="zh-CN"/>
        </w:rPr>
        <w:t>投标人</w:t>
      </w:r>
      <w:r>
        <w:rPr>
          <w:rFonts w:hint="eastAsia" w:ascii="宋体" w:hAnsi="宋体" w:cs="宋体"/>
          <w:color w:val="000000"/>
          <w:szCs w:val="21"/>
        </w:rPr>
        <w:t>须在一周内完成维修。</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6、经营期满或解除合同时，</w:t>
      </w:r>
      <w:r>
        <w:rPr>
          <w:rFonts w:hint="eastAsia" w:ascii="宋体" w:hAnsi="宋体" w:cs="宋体"/>
          <w:color w:val="000000"/>
          <w:szCs w:val="21"/>
          <w:lang w:eastAsia="zh-CN"/>
        </w:rPr>
        <w:t>投标人</w:t>
      </w:r>
      <w:r>
        <w:rPr>
          <w:rFonts w:hint="eastAsia" w:ascii="宋体" w:hAnsi="宋体" w:cs="宋体"/>
          <w:color w:val="000000"/>
          <w:szCs w:val="21"/>
        </w:rPr>
        <w:t>应保证房屋、设备、设施、墙面、地面的完好无损及不流失，确保交付归还的设备能够完好无损，正常运行。如有损坏，</w:t>
      </w:r>
      <w:r>
        <w:rPr>
          <w:rFonts w:hint="eastAsia" w:ascii="宋体" w:hAnsi="宋体" w:cs="宋体"/>
          <w:color w:val="000000"/>
          <w:szCs w:val="21"/>
          <w:lang w:eastAsia="zh-CN"/>
        </w:rPr>
        <w:t>投标人</w:t>
      </w:r>
      <w:r>
        <w:rPr>
          <w:rFonts w:hint="eastAsia" w:ascii="宋体" w:hAnsi="宋体" w:cs="宋体"/>
          <w:color w:val="000000"/>
          <w:szCs w:val="21"/>
        </w:rPr>
        <w:t>负责维修或按照资产净值予以赔偿。</w:t>
      </w:r>
      <w:r>
        <w:rPr>
          <w:rFonts w:hint="eastAsia" w:ascii="宋体" w:hAnsi="宋体" w:cs="宋体"/>
          <w:color w:val="000000"/>
          <w:szCs w:val="21"/>
          <w:lang w:eastAsia="zh-CN"/>
        </w:rPr>
        <w:t>投标人</w:t>
      </w:r>
      <w:r>
        <w:rPr>
          <w:rFonts w:hint="eastAsia" w:ascii="宋体" w:hAnsi="宋体" w:cs="宋体"/>
          <w:color w:val="000000"/>
          <w:szCs w:val="21"/>
        </w:rPr>
        <w:t>投入的一切嵌装在房屋结构或墙体内的设施和装修不得拆除，且不予折价和补偿。</w:t>
      </w:r>
      <w:r>
        <w:rPr>
          <w:rFonts w:hint="eastAsia" w:ascii="宋体" w:hAnsi="宋体" w:cs="宋体"/>
          <w:color w:val="000000"/>
          <w:szCs w:val="21"/>
          <w:lang w:eastAsia="zh-CN"/>
        </w:rPr>
        <w:t>投标人</w:t>
      </w:r>
      <w:r>
        <w:rPr>
          <w:rFonts w:hint="eastAsia" w:ascii="宋体" w:hAnsi="宋体" w:cs="宋体"/>
          <w:color w:val="000000"/>
          <w:szCs w:val="21"/>
        </w:rPr>
        <w:t>所添置的设备及可搬离的资产等，经</w:t>
      </w:r>
      <w:r>
        <w:rPr>
          <w:rFonts w:hint="eastAsia" w:ascii="宋体" w:hAnsi="宋体" w:cs="宋体"/>
          <w:color w:val="000000"/>
          <w:szCs w:val="21"/>
          <w:lang w:eastAsia="zh-CN"/>
        </w:rPr>
        <w:t>采购人</w:t>
      </w:r>
      <w:r>
        <w:rPr>
          <w:rFonts w:hint="eastAsia" w:ascii="宋体" w:hAnsi="宋体" w:cs="宋体"/>
          <w:color w:val="000000"/>
          <w:szCs w:val="21"/>
        </w:rPr>
        <w:t>核实后，归由</w:t>
      </w:r>
      <w:r>
        <w:rPr>
          <w:rFonts w:hint="eastAsia" w:ascii="宋体" w:hAnsi="宋体" w:cs="宋体"/>
          <w:color w:val="000000"/>
          <w:szCs w:val="21"/>
          <w:lang w:eastAsia="zh-CN"/>
        </w:rPr>
        <w:t>投标人</w:t>
      </w:r>
      <w:r>
        <w:rPr>
          <w:rFonts w:hint="eastAsia" w:ascii="宋体" w:hAnsi="宋体" w:cs="宋体"/>
          <w:color w:val="000000"/>
          <w:szCs w:val="21"/>
        </w:rPr>
        <w:t>自行处理，不予以折旧和补偿。</w:t>
      </w:r>
    </w:p>
    <w:p>
      <w:pPr>
        <w:spacing w:line="460" w:lineRule="exact"/>
        <w:ind w:firstLine="420" w:firstLineChars="200"/>
        <w:contextualSpacing/>
        <w:rPr>
          <w:color w:val="000000"/>
          <w:szCs w:val="21"/>
        </w:rPr>
      </w:pPr>
      <w:r>
        <w:rPr>
          <w:rFonts w:hint="eastAsia" w:ascii="宋体" w:hAnsi="宋体" w:cs="宋体"/>
          <w:color w:val="000000"/>
          <w:szCs w:val="21"/>
        </w:rPr>
        <w:t>7、</w:t>
      </w:r>
      <w:r>
        <w:rPr>
          <w:rFonts w:hint="eastAsia" w:ascii="宋体" w:hAnsi="宋体" w:cs="宋体"/>
          <w:color w:val="000000"/>
          <w:szCs w:val="21"/>
          <w:lang w:eastAsia="zh-CN"/>
        </w:rPr>
        <w:t>投标人</w:t>
      </w:r>
      <w:r>
        <w:rPr>
          <w:rFonts w:hint="eastAsia" w:ascii="宋体" w:hAnsi="宋体" w:cs="宋体"/>
          <w:color w:val="000000"/>
          <w:szCs w:val="21"/>
        </w:rPr>
        <w:t>应制定对固定资产的管理维护标准、措施。</w:t>
      </w:r>
    </w:p>
    <w:p>
      <w:pPr>
        <w:spacing w:line="460" w:lineRule="exact"/>
        <w:ind w:firstLine="422" w:firstLineChars="200"/>
        <w:contextualSpacing/>
        <w:outlineLvl w:val="1"/>
        <w:rPr>
          <w:rFonts w:ascii="宋体" w:hAnsi="宋体" w:cs="宋体"/>
          <w:b/>
          <w:bCs/>
          <w:color w:val="000000"/>
          <w:szCs w:val="21"/>
        </w:rPr>
      </w:pPr>
      <w:r>
        <w:rPr>
          <w:rFonts w:hint="eastAsia" w:ascii="宋体" w:hAnsi="宋体" w:cs="宋体"/>
          <w:b/>
          <w:bCs/>
          <w:color w:val="000000"/>
          <w:szCs w:val="21"/>
        </w:rPr>
        <w:t>（三）疫情防控管理</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lang w:eastAsia="zh-CN"/>
        </w:rPr>
        <w:t>投标人</w:t>
      </w:r>
      <w:r>
        <w:rPr>
          <w:rFonts w:hint="eastAsia" w:ascii="宋体" w:hAnsi="宋体" w:cs="宋体"/>
          <w:color w:val="000000"/>
          <w:szCs w:val="21"/>
        </w:rPr>
        <w:t>要严格按照国家、省、市、区及学校有关常态化疫情防控文件和要求，制定食堂疫情防控方案，做好食堂人员管理、培训；人员核酸检测；人员体温登记留档；疫情防控知识宣传；疫情防控物资储备以及食堂卫生消毒等工作。</w:t>
      </w:r>
    </w:p>
    <w:p>
      <w:pPr>
        <w:spacing w:line="460" w:lineRule="exact"/>
        <w:ind w:firstLine="422" w:firstLineChars="200"/>
        <w:contextualSpacing/>
        <w:outlineLvl w:val="1"/>
        <w:rPr>
          <w:rFonts w:ascii="宋体" w:hAnsi="宋体" w:cs="宋体"/>
          <w:b/>
          <w:bCs/>
          <w:color w:val="000000"/>
          <w:szCs w:val="21"/>
        </w:rPr>
      </w:pPr>
      <w:bookmarkStart w:id="27" w:name="_Toc4474"/>
      <w:bookmarkStart w:id="28" w:name="_Toc323897765"/>
      <w:bookmarkStart w:id="29" w:name="_Toc300310736"/>
      <w:bookmarkStart w:id="30" w:name="_Toc306283701"/>
      <w:bookmarkStart w:id="31" w:name="_Toc267576912"/>
      <w:r>
        <w:rPr>
          <w:rFonts w:hint="eastAsia" w:ascii="宋体" w:hAnsi="宋体" w:cs="宋体"/>
          <w:b/>
          <w:bCs/>
          <w:color w:val="000000"/>
          <w:szCs w:val="21"/>
        </w:rPr>
        <w:t>（四）节能减排管理</w:t>
      </w:r>
      <w:bookmarkEnd w:id="27"/>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做好节能节水宣传工作；食堂服务工作应符合相关节能节水要求，避免长明灯，杜绝长流水，做到人人节约，降低食堂能耗，全年节约能耗应达到食堂年度节能节水目标；积极开展绿色食堂创建工作。</w:t>
      </w:r>
    </w:p>
    <w:p>
      <w:pPr>
        <w:spacing w:line="460" w:lineRule="exact"/>
        <w:ind w:firstLine="422" w:firstLineChars="200"/>
        <w:contextualSpacing/>
        <w:rPr>
          <w:rFonts w:ascii="宋体" w:hAnsi="宋体" w:cs="宋体"/>
          <w:b/>
          <w:bCs/>
          <w:color w:val="000000"/>
          <w:szCs w:val="21"/>
        </w:rPr>
      </w:pPr>
      <w:r>
        <w:rPr>
          <w:rFonts w:hint="eastAsia" w:ascii="宋体" w:hAnsi="宋体" w:cs="宋体"/>
          <w:b/>
          <w:bCs/>
          <w:color w:val="000000"/>
          <w:szCs w:val="21"/>
        </w:rPr>
        <w:t>（五）光盘行动</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lang w:eastAsia="zh-CN"/>
        </w:rPr>
        <w:t>投标人</w:t>
      </w:r>
      <w:r>
        <w:rPr>
          <w:rFonts w:hint="eastAsia" w:ascii="宋体" w:hAnsi="宋体" w:cs="宋体"/>
          <w:color w:val="000000"/>
          <w:szCs w:val="21"/>
        </w:rPr>
        <w:t>应加强节约节俭教育宣传，使全体员工树立节约节俭意识；建立健全节约节俭工作制度，采取相关管理和改进措施，在采购、验收、贮藏、领用、加工、烹饪、售卖、服务等环节全面贯彻节约节俭。</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全面落实国家及省市区各级及</w:t>
      </w:r>
      <w:r>
        <w:rPr>
          <w:rFonts w:hint="eastAsia" w:ascii="宋体" w:hAnsi="宋体" w:cs="宋体"/>
          <w:color w:val="000000"/>
          <w:szCs w:val="21"/>
          <w:lang w:eastAsia="zh-CN"/>
        </w:rPr>
        <w:t>采购人</w:t>
      </w:r>
      <w:r>
        <w:rPr>
          <w:rFonts w:hint="eastAsia" w:ascii="宋体" w:hAnsi="宋体" w:cs="宋体"/>
          <w:color w:val="000000"/>
          <w:szCs w:val="21"/>
        </w:rPr>
        <w:t>制定的有关制止餐饮浪费精神及</w:t>
      </w:r>
      <w:r>
        <w:rPr>
          <w:rFonts w:hint="eastAsia" w:ascii="宋体" w:hAnsi="宋体" w:cs="宋体"/>
          <w:color w:val="000000"/>
          <w:szCs w:val="21"/>
          <w:lang w:eastAsia="zh-CN"/>
        </w:rPr>
        <w:t>采购人</w:t>
      </w:r>
      <w:r>
        <w:rPr>
          <w:rFonts w:hint="eastAsia" w:ascii="宋体" w:hAnsi="宋体" w:cs="宋体"/>
          <w:color w:val="000000"/>
          <w:szCs w:val="21"/>
        </w:rPr>
        <w:t>制定的相关措施实施及办法，精细计划生产，改进餐厨技术，分批小量出品、现炒现卖，引导理性订餐，最大限度减少餐饮浪费现象。</w:t>
      </w:r>
      <w:bookmarkEnd w:id="28"/>
      <w:bookmarkEnd w:id="29"/>
      <w:bookmarkEnd w:id="30"/>
      <w:bookmarkEnd w:id="31"/>
    </w:p>
    <w:p>
      <w:pPr>
        <w:tabs>
          <w:tab w:val="left" w:pos="900"/>
        </w:tabs>
        <w:spacing w:line="460" w:lineRule="exact"/>
        <w:rPr>
          <w:rFonts w:hAnsi="宋体"/>
          <w:b/>
          <w:color w:val="000000"/>
          <w:szCs w:val="21"/>
        </w:rPr>
      </w:pPr>
      <w:r>
        <w:rPr>
          <w:rFonts w:hint="eastAsia" w:ascii="宋体" w:hAnsi="宋体" w:cs="宋体"/>
          <w:b/>
          <w:bCs/>
          <w:color w:val="000000"/>
          <w:szCs w:val="21"/>
        </w:rPr>
        <w:t>十二、</w:t>
      </w:r>
      <w:r>
        <w:rPr>
          <w:rFonts w:hint="eastAsia" w:hAnsi="宋体"/>
          <w:b/>
          <w:color w:val="000000"/>
          <w:szCs w:val="21"/>
        </w:rPr>
        <w:t>服务标准、期限、效率等要求</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1、服务响应时间：24小时值班，投诉15分钟响应，问题整改48小时落实完成，项目经理24小时手机畅通。</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2、入场时间：所有人员、设备能够在 2022 年 8 月 2</w:t>
      </w:r>
      <w:r>
        <w:rPr>
          <w:rFonts w:hint="eastAsia" w:ascii="宋体" w:hAnsi="宋体" w:cs="宋体"/>
          <w:color w:val="000000"/>
          <w:szCs w:val="21"/>
          <w:lang w:val="en-US" w:eastAsia="zh-CN"/>
        </w:rPr>
        <w:t>5</w:t>
      </w:r>
      <w:r>
        <w:rPr>
          <w:rFonts w:hint="eastAsia" w:ascii="宋体" w:hAnsi="宋体" w:cs="宋体"/>
          <w:color w:val="000000"/>
          <w:szCs w:val="21"/>
        </w:rPr>
        <w:t xml:space="preserve"> 日之前入场，并具备开餐条件。</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3、服务期限为五年，合同一年一签。到期后，</w:t>
      </w:r>
      <w:r>
        <w:rPr>
          <w:rFonts w:hint="eastAsia" w:ascii="宋体" w:hAnsi="宋体" w:cs="宋体"/>
          <w:color w:val="000000"/>
          <w:szCs w:val="21"/>
          <w:lang w:eastAsia="zh-CN"/>
        </w:rPr>
        <w:t>投标人</w:t>
      </w:r>
      <w:r>
        <w:rPr>
          <w:rFonts w:hint="eastAsia" w:ascii="宋体" w:hAnsi="宋体" w:cs="宋体"/>
          <w:color w:val="000000"/>
          <w:szCs w:val="21"/>
        </w:rPr>
        <w:t>应根据</w:t>
      </w:r>
      <w:r>
        <w:rPr>
          <w:rFonts w:hint="eastAsia" w:ascii="宋体" w:hAnsi="宋体" w:cs="宋体"/>
          <w:color w:val="000000"/>
          <w:szCs w:val="21"/>
          <w:lang w:eastAsia="zh-CN"/>
        </w:rPr>
        <w:t>采购人</w:t>
      </w:r>
      <w:r>
        <w:rPr>
          <w:rFonts w:hint="eastAsia" w:ascii="宋体" w:hAnsi="宋体" w:cs="宋体"/>
          <w:color w:val="000000"/>
          <w:szCs w:val="21"/>
        </w:rPr>
        <w:t>的要求延续提供1-2个月的服务，费用标准按原合同规定执行。</w:t>
      </w:r>
    </w:p>
    <w:p>
      <w:pPr>
        <w:spacing w:line="460" w:lineRule="exact"/>
        <w:ind w:firstLine="420" w:firstLineChars="200"/>
        <w:contextualSpacing/>
        <w:rPr>
          <w:rFonts w:ascii="宋体" w:hAnsi="宋体" w:cs="宋体"/>
          <w:color w:val="000000"/>
          <w:szCs w:val="21"/>
        </w:rPr>
      </w:pPr>
      <w:r>
        <w:rPr>
          <w:rFonts w:hint="eastAsia" w:ascii="宋体" w:hAnsi="宋体" w:cs="宋体"/>
          <w:color w:val="000000"/>
          <w:szCs w:val="21"/>
        </w:rPr>
        <w:t>4、项目进场前，</w:t>
      </w:r>
      <w:r>
        <w:rPr>
          <w:rFonts w:hint="eastAsia" w:ascii="宋体" w:hAnsi="宋体" w:cs="宋体"/>
          <w:color w:val="000000"/>
          <w:szCs w:val="21"/>
          <w:lang w:eastAsia="zh-CN"/>
        </w:rPr>
        <w:t>投标人</w:t>
      </w:r>
      <w:r>
        <w:rPr>
          <w:rFonts w:hint="eastAsia" w:ascii="宋体" w:hAnsi="宋体" w:cs="宋体"/>
          <w:color w:val="000000"/>
          <w:szCs w:val="21"/>
        </w:rPr>
        <w:t>应提供公司及人员相关资质证件备查，确保真实性和完整性，同时应确保人员和设施设备提前到位，向</w:t>
      </w:r>
      <w:r>
        <w:rPr>
          <w:rFonts w:hint="eastAsia" w:ascii="宋体" w:hAnsi="宋体" w:cs="宋体"/>
          <w:color w:val="000000"/>
          <w:szCs w:val="21"/>
          <w:lang w:eastAsia="zh-CN"/>
        </w:rPr>
        <w:t>采购人</w:t>
      </w:r>
      <w:r>
        <w:rPr>
          <w:rFonts w:hint="eastAsia" w:ascii="宋体" w:hAnsi="宋体" w:cs="宋体"/>
          <w:color w:val="000000"/>
          <w:szCs w:val="21"/>
        </w:rPr>
        <w:t>提供本项目人员名册，以及相应的身份证、健康证等证件及相关复印件，否则不得入场。</w:t>
      </w:r>
    </w:p>
    <w:bookmarkEnd w:id="25"/>
    <w:bookmarkEnd w:id="26"/>
    <w:p>
      <w:pPr>
        <w:spacing w:line="460" w:lineRule="exact"/>
        <w:contextualSpacing/>
        <w:outlineLvl w:val="1"/>
        <w:rPr>
          <w:rFonts w:ascii="宋体" w:hAnsi="宋体" w:cs="宋体"/>
          <w:b/>
          <w:bCs/>
          <w:color w:val="000000"/>
          <w:szCs w:val="21"/>
        </w:rPr>
      </w:pPr>
      <w:r>
        <w:rPr>
          <w:rFonts w:hint="eastAsia" w:ascii="宋体" w:hAnsi="宋体" w:cs="宋体"/>
          <w:b/>
          <w:bCs/>
          <w:color w:val="000000"/>
          <w:szCs w:val="21"/>
        </w:rPr>
        <w:t>十三、考核要求及标准</w:t>
      </w:r>
    </w:p>
    <w:p>
      <w:pPr>
        <w:pStyle w:val="21"/>
        <w:spacing w:line="460" w:lineRule="exact"/>
        <w:ind w:firstLine="420"/>
        <w:contextualSpacing/>
        <w:rPr>
          <w:rFonts w:hAnsi="宋体" w:cs="宋体"/>
          <w:color w:val="000000"/>
          <w:szCs w:val="21"/>
        </w:rPr>
      </w:pPr>
      <w:r>
        <w:rPr>
          <w:rFonts w:hint="eastAsia" w:hAnsi="宋体" w:cs="宋体"/>
          <w:color w:val="000000"/>
          <w:szCs w:val="21"/>
        </w:rPr>
        <w:t>1、招标文件及合同的要求及标准。</w:t>
      </w:r>
    </w:p>
    <w:p>
      <w:pPr>
        <w:pStyle w:val="21"/>
        <w:spacing w:line="460" w:lineRule="exact"/>
        <w:ind w:firstLine="420"/>
        <w:contextualSpacing/>
        <w:rPr>
          <w:rFonts w:hAnsi="宋体" w:cs="宋体"/>
          <w:color w:val="000000"/>
          <w:szCs w:val="21"/>
        </w:rPr>
      </w:pPr>
      <w:r>
        <w:rPr>
          <w:rFonts w:hint="eastAsia" w:hAnsi="宋体" w:cs="宋体"/>
          <w:color w:val="000000"/>
          <w:szCs w:val="21"/>
        </w:rPr>
        <w:t>2、</w:t>
      </w:r>
      <w:r>
        <w:rPr>
          <w:rFonts w:hint="eastAsia" w:hAnsi="宋体" w:cs="宋体"/>
          <w:color w:val="000000"/>
          <w:szCs w:val="21"/>
          <w:lang w:eastAsia="zh-CN"/>
        </w:rPr>
        <w:t>采购人</w:t>
      </w:r>
      <w:r>
        <w:rPr>
          <w:rFonts w:hint="eastAsia" w:hAnsi="宋体" w:cs="宋体"/>
          <w:color w:val="000000"/>
          <w:szCs w:val="21"/>
        </w:rPr>
        <w:t>实施明厨亮灶，公示厨房加工操作步骤，</w:t>
      </w:r>
      <w:r>
        <w:rPr>
          <w:rFonts w:hint="eastAsia" w:hAnsi="宋体" w:cs="宋体"/>
          <w:color w:val="000000"/>
          <w:szCs w:val="21"/>
          <w:lang w:eastAsia="zh-CN"/>
        </w:rPr>
        <w:t>投标人</w:t>
      </w:r>
      <w:r>
        <w:rPr>
          <w:rFonts w:hint="eastAsia" w:hAnsi="宋体" w:cs="宋体"/>
          <w:color w:val="000000"/>
          <w:szCs w:val="21"/>
        </w:rPr>
        <w:t>接受师生监督。</w:t>
      </w:r>
    </w:p>
    <w:p>
      <w:pPr>
        <w:pStyle w:val="21"/>
        <w:spacing w:line="460" w:lineRule="exact"/>
        <w:ind w:firstLine="420"/>
        <w:contextualSpacing/>
        <w:rPr>
          <w:rFonts w:hAnsi="宋体" w:cs="宋体"/>
          <w:color w:val="000000"/>
          <w:szCs w:val="21"/>
        </w:rPr>
      </w:pPr>
      <w:r>
        <w:rPr>
          <w:rFonts w:hint="eastAsia" w:hAnsi="宋体" w:cs="宋体"/>
          <w:color w:val="000000"/>
          <w:szCs w:val="21"/>
        </w:rPr>
        <w:t>3、</w:t>
      </w:r>
      <w:r>
        <w:rPr>
          <w:rFonts w:hint="eastAsia" w:hAnsi="宋体" w:cs="宋体"/>
          <w:color w:val="000000"/>
          <w:szCs w:val="21"/>
          <w:lang w:eastAsia="zh-CN"/>
        </w:rPr>
        <w:t>采购人</w:t>
      </w:r>
      <w:r>
        <w:rPr>
          <w:rFonts w:hint="eastAsia" w:hAnsi="宋体" w:cs="宋体"/>
          <w:color w:val="000000"/>
          <w:szCs w:val="21"/>
        </w:rPr>
        <w:t>每周进行投料比检查，确保饭菜份量、价格、投料比与成本核算一致。</w:t>
      </w:r>
    </w:p>
    <w:p>
      <w:pPr>
        <w:pStyle w:val="21"/>
        <w:spacing w:line="460" w:lineRule="exact"/>
        <w:ind w:firstLine="420"/>
        <w:contextualSpacing/>
        <w:rPr>
          <w:rFonts w:hAnsi="宋体" w:cs="宋体"/>
          <w:color w:val="000000"/>
          <w:szCs w:val="21"/>
        </w:rPr>
      </w:pPr>
      <w:r>
        <w:rPr>
          <w:rFonts w:hint="eastAsia" w:hAnsi="宋体" w:cs="宋体"/>
          <w:color w:val="000000"/>
          <w:szCs w:val="21"/>
        </w:rPr>
        <w:t>4、</w:t>
      </w:r>
      <w:r>
        <w:rPr>
          <w:rFonts w:hint="eastAsia" w:hAnsi="宋体" w:cs="宋体"/>
          <w:color w:val="000000"/>
          <w:szCs w:val="21"/>
          <w:lang w:eastAsia="zh-CN"/>
        </w:rPr>
        <w:t>采购人</w:t>
      </w:r>
      <w:r>
        <w:rPr>
          <w:rFonts w:hint="eastAsia" w:hAnsi="宋体" w:cs="宋体"/>
          <w:color w:val="000000"/>
          <w:szCs w:val="21"/>
        </w:rPr>
        <w:t>按照基本大伙毛利率不高于35%、风味小吃毛利率不高于45%标准核算成本。超出标准部分，</w:t>
      </w:r>
      <w:r>
        <w:rPr>
          <w:rFonts w:hint="eastAsia" w:hAnsi="宋体" w:cs="宋体"/>
          <w:color w:val="000000"/>
          <w:szCs w:val="21"/>
          <w:lang w:eastAsia="zh-CN"/>
        </w:rPr>
        <w:t>采购人</w:t>
      </w:r>
      <w:r>
        <w:rPr>
          <w:rFonts w:hint="eastAsia" w:hAnsi="宋体" w:cs="宋体"/>
          <w:color w:val="000000"/>
          <w:szCs w:val="21"/>
        </w:rPr>
        <w:t>有权扣除履约保证金。</w:t>
      </w:r>
    </w:p>
    <w:p>
      <w:pPr>
        <w:pStyle w:val="21"/>
        <w:spacing w:line="460" w:lineRule="exact"/>
        <w:ind w:firstLine="420"/>
        <w:contextualSpacing/>
        <w:rPr>
          <w:rFonts w:hAnsi="宋体" w:cs="宋体"/>
          <w:color w:val="000000"/>
          <w:szCs w:val="21"/>
        </w:rPr>
      </w:pPr>
      <w:r>
        <w:rPr>
          <w:rFonts w:hint="eastAsia" w:hAnsi="宋体" w:cs="宋体"/>
          <w:color w:val="000000"/>
          <w:szCs w:val="21"/>
        </w:rPr>
        <w:t>5、</w:t>
      </w:r>
      <w:r>
        <w:rPr>
          <w:rFonts w:hint="eastAsia" w:hAnsi="宋体" w:cs="宋体"/>
          <w:color w:val="000000"/>
          <w:szCs w:val="21"/>
          <w:lang w:eastAsia="zh-CN"/>
        </w:rPr>
        <w:t>投标人</w:t>
      </w:r>
      <w:r>
        <w:rPr>
          <w:rFonts w:hint="eastAsia" w:hAnsi="宋体" w:cs="宋体"/>
          <w:color w:val="000000"/>
          <w:szCs w:val="21"/>
        </w:rPr>
        <w:t>创建标准化食堂，实现食品安全事故率必须为0，餐饮收费准确及明示率必须为100%，员工持证上岗率必须为100%。</w:t>
      </w:r>
      <w:r>
        <w:rPr>
          <w:rFonts w:hint="eastAsia" w:hAnsi="宋体" w:cs="宋体"/>
          <w:color w:val="000000"/>
          <w:szCs w:val="21"/>
          <w:lang w:eastAsia="zh-CN"/>
        </w:rPr>
        <w:t>投标人</w:t>
      </w:r>
      <w:r>
        <w:rPr>
          <w:rFonts w:hint="eastAsia" w:hAnsi="宋体" w:cs="宋体"/>
          <w:color w:val="000000"/>
          <w:szCs w:val="21"/>
        </w:rPr>
        <w:t>按照</w:t>
      </w:r>
      <w:r>
        <w:rPr>
          <w:rFonts w:hint="eastAsia" w:hAnsi="宋体" w:cs="宋体"/>
          <w:color w:val="000000"/>
          <w:szCs w:val="21"/>
          <w:lang w:eastAsia="zh-CN"/>
        </w:rPr>
        <w:t>采购人</w:t>
      </w:r>
      <w:r>
        <w:rPr>
          <w:rFonts w:hint="eastAsia" w:hAnsi="宋体" w:cs="宋体"/>
          <w:color w:val="000000"/>
          <w:szCs w:val="21"/>
        </w:rPr>
        <w:t>要求进行线上师生满意度问卷调查，样本量不得低于经营食堂就餐人数的60%，师生综合满意率需达到85%以上。</w:t>
      </w:r>
    </w:p>
    <w:p>
      <w:pPr>
        <w:pStyle w:val="21"/>
        <w:spacing w:line="460" w:lineRule="exact"/>
        <w:ind w:firstLine="420"/>
        <w:contextualSpacing/>
        <w:rPr>
          <w:rFonts w:hAnsi="宋体" w:cs="宋体"/>
          <w:color w:val="000000"/>
          <w:szCs w:val="21"/>
        </w:rPr>
      </w:pPr>
      <w:r>
        <w:rPr>
          <w:rFonts w:hint="eastAsia" w:hAnsi="宋体" w:cs="宋体"/>
          <w:color w:val="000000"/>
          <w:szCs w:val="21"/>
        </w:rPr>
        <w:t>6、参照</w:t>
      </w:r>
      <w:r>
        <w:rPr>
          <w:rFonts w:hint="eastAsia" w:hAnsi="宋体" w:cs="宋体"/>
          <w:color w:val="000000"/>
          <w:szCs w:val="21"/>
          <w:lang w:eastAsia="zh-CN"/>
        </w:rPr>
        <w:t>采购人</w:t>
      </w:r>
      <w:r>
        <w:rPr>
          <w:rFonts w:hint="eastAsia" w:hAnsi="宋体" w:cs="宋体"/>
          <w:color w:val="000000"/>
          <w:szCs w:val="21"/>
        </w:rPr>
        <w:t>检查管理办法及考核管理制度，对</w:t>
      </w:r>
      <w:r>
        <w:rPr>
          <w:rFonts w:hint="eastAsia" w:hAnsi="宋体" w:cs="宋体"/>
          <w:color w:val="000000"/>
          <w:szCs w:val="21"/>
          <w:lang w:eastAsia="zh-CN"/>
        </w:rPr>
        <w:t>投标人</w:t>
      </w:r>
      <w:r>
        <w:rPr>
          <w:rFonts w:hint="eastAsia" w:hAnsi="宋体" w:cs="宋体"/>
          <w:color w:val="000000"/>
          <w:szCs w:val="21"/>
        </w:rPr>
        <w:t>进行日常检查、夜检、月检、年检、专项检查、合同期末考核，针对检查出的问题，下发整改通知单、扣除履约保证金。根据月检成绩等级、年检成绩排名返还考核资金。</w:t>
      </w:r>
    </w:p>
    <w:p>
      <w:pPr>
        <w:pStyle w:val="21"/>
        <w:spacing w:line="460" w:lineRule="exact"/>
        <w:ind w:firstLine="420"/>
        <w:contextualSpacing/>
        <w:rPr>
          <w:rFonts w:hAnsi="宋体" w:cs="宋体"/>
          <w:color w:val="000000"/>
          <w:szCs w:val="21"/>
        </w:rPr>
      </w:pPr>
      <w:r>
        <w:rPr>
          <w:rFonts w:hint="eastAsia" w:hAnsi="宋体" w:cs="宋体"/>
          <w:color w:val="000000"/>
          <w:szCs w:val="21"/>
        </w:rPr>
        <w:t>7、</w:t>
      </w:r>
      <w:r>
        <w:rPr>
          <w:rFonts w:hint="eastAsia" w:hAnsi="宋体" w:cs="宋体"/>
          <w:color w:val="000000"/>
          <w:szCs w:val="21"/>
          <w:lang w:eastAsia="zh-CN"/>
        </w:rPr>
        <w:t>采购人</w:t>
      </w:r>
      <w:r>
        <w:rPr>
          <w:rFonts w:hint="eastAsia" w:hAnsi="宋体" w:cs="宋体"/>
          <w:color w:val="000000"/>
          <w:szCs w:val="21"/>
        </w:rPr>
        <w:t>引入餐饮食品安全第三方专业检查机构，在年末、合同期末对</w:t>
      </w:r>
      <w:r>
        <w:rPr>
          <w:rFonts w:hint="eastAsia" w:hAnsi="宋体" w:cs="宋体"/>
          <w:color w:val="000000"/>
          <w:szCs w:val="21"/>
          <w:lang w:eastAsia="zh-CN"/>
        </w:rPr>
        <w:t>采购人</w:t>
      </w:r>
      <w:r>
        <w:rPr>
          <w:rFonts w:hint="eastAsia" w:hAnsi="宋体" w:cs="宋体"/>
          <w:color w:val="000000"/>
          <w:szCs w:val="21"/>
        </w:rPr>
        <w:t>食堂的进货查验、从业人员健康管理、食品安全公示、原材料贮存管理、食品留样、餐饮具清洗消毒、加工区和就餐区日常规范等方面进行现场评估，评估结果作为考核的重要依据。</w:t>
      </w:r>
    </w:p>
    <w:p>
      <w:pPr>
        <w:pStyle w:val="21"/>
        <w:spacing w:line="460" w:lineRule="exact"/>
        <w:ind w:firstLine="420"/>
        <w:contextualSpacing/>
        <w:rPr>
          <w:rFonts w:hAnsi="宋体" w:cs="宋体"/>
          <w:color w:val="000000"/>
          <w:szCs w:val="21"/>
        </w:rPr>
      </w:pPr>
      <w:r>
        <w:rPr>
          <w:rFonts w:hint="eastAsia" w:hAnsi="宋体" w:cs="宋体"/>
          <w:color w:val="000000"/>
          <w:szCs w:val="21"/>
        </w:rPr>
        <w:t>8、</w:t>
      </w:r>
      <w:r>
        <w:rPr>
          <w:rFonts w:hint="eastAsia" w:hAnsi="宋体" w:cs="宋体"/>
          <w:color w:val="000000"/>
          <w:szCs w:val="21"/>
          <w:lang w:eastAsia="zh-CN"/>
        </w:rPr>
        <w:t>采购人</w:t>
      </w:r>
      <w:r>
        <w:rPr>
          <w:rFonts w:hint="eastAsia" w:hAnsi="宋体" w:cs="宋体"/>
          <w:color w:val="000000"/>
          <w:szCs w:val="21"/>
        </w:rPr>
        <w:t>每年对</w:t>
      </w:r>
      <w:r>
        <w:rPr>
          <w:rFonts w:hint="eastAsia" w:hAnsi="宋体" w:cs="宋体"/>
          <w:color w:val="000000"/>
          <w:szCs w:val="21"/>
          <w:lang w:eastAsia="zh-CN"/>
        </w:rPr>
        <w:t>投标人</w:t>
      </w:r>
      <w:r>
        <w:rPr>
          <w:rFonts w:hint="eastAsia" w:hAnsi="宋体" w:cs="宋体"/>
          <w:color w:val="000000"/>
          <w:szCs w:val="21"/>
        </w:rPr>
        <w:t>进行考核，考核不合格或未履行投标文件的公司直接清退，并列入招标餐饮企业“黑名单”，不得参加</w:t>
      </w:r>
      <w:r>
        <w:rPr>
          <w:rFonts w:hint="eastAsia" w:hAnsi="宋体" w:cs="宋体"/>
          <w:color w:val="000000"/>
          <w:szCs w:val="21"/>
          <w:lang w:eastAsia="zh-CN"/>
        </w:rPr>
        <w:t>采购人</w:t>
      </w:r>
      <w:r>
        <w:rPr>
          <w:rFonts w:hint="eastAsia" w:hAnsi="宋体" w:cs="宋体"/>
          <w:color w:val="000000"/>
          <w:szCs w:val="21"/>
        </w:rPr>
        <w:t>的投标项目。五年招标期内，年度考核合格的公司直接续签下一年度合同。</w:t>
      </w:r>
    </w:p>
    <w:p>
      <w:pPr>
        <w:wordWrap w:val="0"/>
        <w:topLinePunct/>
        <w:ind w:firstLine="480" w:firstLineChars="200"/>
        <w:rPr>
          <w:rFonts w:ascii="宋体" w:hAnsi="宋体"/>
          <w:color w:val="000000"/>
          <w:sz w:val="24"/>
        </w:rPr>
      </w:pPr>
    </w:p>
    <w:p>
      <w:pP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br w:type="page"/>
      </w:r>
    </w:p>
    <w:p>
      <w:pPr>
        <w:numPr>
          <w:ilvl w:val="0"/>
          <w:numId w:val="3"/>
        </w:numPr>
        <w:snapToGrid w:val="0"/>
        <w:spacing w:line="360" w:lineRule="auto"/>
        <w:jc w:val="center"/>
        <w:rPr>
          <w:rFonts w:ascii="宋体" w:hAnsi="宋体" w:cs="宋体"/>
          <w:b/>
          <w:bCs/>
          <w:color w:val="000000" w:themeColor="text1"/>
          <w:sz w:val="36"/>
          <w:szCs w:val="32"/>
          <w14:textFill>
            <w14:solidFill>
              <w14:schemeClr w14:val="tx1"/>
            </w14:solidFill>
          </w14:textFill>
        </w:rPr>
      </w:pPr>
      <w:r>
        <w:rPr>
          <w:rFonts w:hint="eastAsia" w:ascii="宋体" w:hAnsi="宋体" w:cs="宋体"/>
          <w:b/>
          <w:bCs/>
          <w:color w:val="000000" w:themeColor="text1"/>
          <w:sz w:val="36"/>
          <w:szCs w:val="32"/>
          <w14:textFill>
            <w14:solidFill>
              <w14:schemeClr w14:val="tx1"/>
            </w14:solidFill>
          </w14:textFill>
        </w:rPr>
        <w:t>评分办法</w:t>
      </w:r>
    </w:p>
    <w:tbl>
      <w:tblPr>
        <w:tblStyle w:val="19"/>
        <w:tblW w:w="9776" w:type="dxa"/>
        <w:jc w:val="center"/>
        <w:tblInd w:w="0" w:type="dxa"/>
        <w:tblLayout w:type="fixed"/>
        <w:tblCellMar>
          <w:top w:w="0" w:type="dxa"/>
          <w:left w:w="108" w:type="dxa"/>
          <w:bottom w:w="0" w:type="dxa"/>
          <w:right w:w="108" w:type="dxa"/>
        </w:tblCellMar>
      </w:tblPr>
      <w:tblGrid>
        <w:gridCol w:w="1288"/>
        <w:gridCol w:w="1246"/>
        <w:gridCol w:w="6360"/>
        <w:gridCol w:w="882"/>
      </w:tblGrid>
      <w:tr>
        <w:tblPrEx>
          <w:tblLayout w:type="fixed"/>
          <w:tblCellMar>
            <w:top w:w="0" w:type="dxa"/>
            <w:left w:w="108" w:type="dxa"/>
            <w:bottom w:w="0" w:type="dxa"/>
            <w:right w:w="108" w:type="dxa"/>
          </w:tblCellMar>
        </w:tblPrEx>
        <w:trPr>
          <w:jc w:val="center"/>
        </w:trPr>
        <w:tc>
          <w:tcPr>
            <w:tcW w:w="1288" w:type="dxa"/>
            <w:tcBorders>
              <w:top w:val="single" w:color="000000" w:sz="4" w:space="0"/>
              <w:left w:val="single" w:color="000000" w:sz="4" w:space="0"/>
              <w:bottom w:val="single" w:color="auto"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类别</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指标</w:t>
            </w:r>
          </w:p>
        </w:tc>
        <w:tc>
          <w:tcPr>
            <w:tcW w:w="6360"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指标描述</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分值</w:t>
            </w:r>
          </w:p>
        </w:tc>
      </w:tr>
      <w:tr>
        <w:tblPrEx>
          <w:tblLayout w:type="fixed"/>
          <w:tblCellMar>
            <w:top w:w="0" w:type="dxa"/>
            <w:left w:w="108" w:type="dxa"/>
            <w:bottom w:w="0" w:type="dxa"/>
            <w:right w:w="108" w:type="dxa"/>
          </w:tblCellMar>
        </w:tblPrEx>
        <w:trPr>
          <w:jc w:val="center"/>
        </w:trPr>
        <w:tc>
          <w:tcPr>
            <w:tcW w:w="1288" w:type="dxa"/>
            <w:vMerge w:val="restart"/>
            <w:tcBorders>
              <w:top w:val="single" w:color="auto" w:sz="4" w:space="0"/>
              <w:left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资信分</w:t>
            </w:r>
          </w:p>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w:t>
            </w:r>
            <w:r>
              <w:rPr>
                <w:rFonts w:hint="eastAsia" w:ascii="宋体" w:hAnsi="宋体" w:cs="宋体"/>
                <w:b/>
                <w:color w:val="000000" w:themeColor="text1"/>
                <w:sz w:val="24"/>
                <w:lang w:val="en-US" w:eastAsia="zh-CN"/>
                <w14:textFill>
                  <w14:solidFill>
                    <w14:schemeClr w14:val="tx1"/>
                  </w14:solidFill>
                </w14:textFill>
              </w:rPr>
              <w:t>8</w:t>
            </w:r>
            <w:r>
              <w:rPr>
                <w:rFonts w:hint="eastAsia" w:ascii="宋体" w:hAnsi="宋体" w:cs="宋体"/>
                <w:b/>
                <w:color w:val="000000" w:themeColor="text1"/>
                <w:sz w:val="24"/>
                <w14:textFill>
                  <w14:solidFill>
                    <w14:schemeClr w14:val="tx1"/>
                  </w14:solidFill>
                </w14:textFill>
              </w:rPr>
              <w:t>分）</w:t>
            </w:r>
          </w:p>
        </w:tc>
        <w:tc>
          <w:tcPr>
            <w:tcW w:w="1246" w:type="dxa"/>
            <w:tcBorders>
              <w:top w:val="single" w:color="000000" w:sz="4" w:space="0"/>
              <w:left w:val="single" w:color="auto"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投标人</w:t>
            </w:r>
          </w:p>
          <w:p>
            <w:pPr>
              <w:spacing w:line="460" w:lineRule="exact"/>
              <w:contextualSpacing/>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资质证书</w:t>
            </w:r>
          </w:p>
        </w:tc>
        <w:tc>
          <w:tcPr>
            <w:tcW w:w="6360"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numPr>
                <w:ilvl w:val="0"/>
                <w:numId w:val="0"/>
              </w:num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 xml:space="preserve">具有经中国国家认证认可监督管理委员会认证机构颁发的有效的下列认证： </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（1）投标人通过ISO9001质量管理体系认证，</w:t>
            </w:r>
            <w:bookmarkStart w:id="32" w:name="_Hlk73356356"/>
            <w:r>
              <w:rPr>
                <w:rFonts w:hint="eastAsia" w:ascii="宋体" w:hAnsi="宋体" w:cs="宋体"/>
                <w:color w:val="000000" w:themeColor="text1"/>
                <w:sz w:val="24"/>
                <w14:textFill>
                  <w14:solidFill>
                    <w14:schemeClr w14:val="tx1"/>
                  </w14:solidFill>
                </w14:textFill>
              </w:rPr>
              <w:t>得1分；</w:t>
            </w:r>
            <w:bookmarkEnd w:id="32"/>
          </w:p>
          <w:p>
            <w:pPr>
              <w:spacing w:line="460" w:lineRule="exact"/>
              <w:contextualSpacing/>
              <w:rPr>
                <w:rFonts w:ascii="宋体" w:hAnsi="宋体" w:cs="宋体"/>
                <w:color w:val="000000" w:themeColor="text1"/>
                <w:sz w:val="24"/>
                <w14:textFill>
                  <w14:solidFill>
                    <w14:schemeClr w14:val="tx1"/>
                  </w14:solidFill>
                </w14:textFill>
              </w:rPr>
            </w:pPr>
            <w:bookmarkStart w:id="33" w:name="_Hlk73356377"/>
            <w:r>
              <w:rPr>
                <w:rFonts w:hint="eastAsia" w:ascii="宋体" w:hAnsi="宋体" w:cs="宋体"/>
                <w:color w:val="000000" w:themeColor="text1"/>
                <w:sz w:val="24"/>
                <w14:textFill>
                  <w14:solidFill>
                    <w14:schemeClr w14:val="tx1"/>
                  </w14:solidFill>
                </w14:textFill>
              </w:rPr>
              <w:t>（2）投标人通过</w:t>
            </w:r>
            <w:bookmarkEnd w:id="33"/>
            <w:r>
              <w:rPr>
                <w:rFonts w:hint="eastAsia" w:ascii="宋体" w:hAnsi="宋体" w:cs="宋体"/>
                <w:color w:val="000000" w:themeColor="text1"/>
                <w:sz w:val="24"/>
                <w14:textFill>
                  <w14:solidFill>
                    <w14:schemeClr w14:val="tx1"/>
                  </w14:solidFill>
                </w14:textFill>
              </w:rPr>
              <w:t>ISO14001环境管理体系认证</w:t>
            </w:r>
            <w:bookmarkStart w:id="34" w:name="_Hlk73356393"/>
            <w:r>
              <w:rPr>
                <w:rFonts w:hint="eastAsia" w:ascii="宋体" w:hAnsi="宋体" w:cs="宋体"/>
                <w:color w:val="000000" w:themeColor="text1"/>
                <w:sz w:val="24"/>
                <w14:textFill>
                  <w14:solidFill>
                    <w14:schemeClr w14:val="tx1"/>
                  </w14:solidFill>
                </w14:textFill>
              </w:rPr>
              <w:t>，得1分</w:t>
            </w:r>
            <w:bookmarkEnd w:id="34"/>
            <w:r>
              <w:rPr>
                <w:rFonts w:hint="eastAsia" w:ascii="宋体" w:hAnsi="宋体" w:cs="宋体"/>
                <w:color w:val="000000" w:themeColor="text1"/>
                <w:sz w:val="24"/>
                <w14:textFill>
                  <w14:solidFill>
                    <w14:schemeClr w14:val="tx1"/>
                  </w14:solidFill>
                </w14:textFill>
              </w:rPr>
              <w:t>；</w:t>
            </w:r>
          </w:p>
          <w:p>
            <w:pPr>
              <w:spacing w:line="460" w:lineRule="exact"/>
              <w:contextualSpacing/>
              <w:rPr>
                <w:rFonts w:hint="eastAsia" w:ascii="宋体" w:hAnsi="宋体" w:eastAsia="宋体" w:cs="宋体"/>
                <w:color w:val="000000" w:themeColor="text1"/>
                <w:sz w:val="24"/>
                <w:lang w:eastAsia="zh-CN"/>
                <w14:textFill>
                  <w14:solidFill>
                    <w14:schemeClr w14:val="tx1"/>
                  </w14:solidFill>
                </w14:textFill>
              </w:rPr>
            </w:pPr>
            <w:bookmarkStart w:id="35" w:name="_Hlk73356411"/>
            <w:r>
              <w:rPr>
                <w:rFonts w:hint="eastAsia" w:ascii="宋体" w:hAnsi="宋体" w:cs="宋体"/>
                <w:color w:val="000000" w:themeColor="text1"/>
                <w:sz w:val="24"/>
                <w14:textFill>
                  <w14:solidFill>
                    <w14:schemeClr w14:val="tx1"/>
                  </w14:solidFill>
                </w14:textFill>
              </w:rPr>
              <w:t>（3）投标人通过</w:t>
            </w:r>
            <w:bookmarkEnd w:id="35"/>
            <w:r>
              <w:rPr>
                <w:rFonts w:hint="eastAsia" w:ascii="宋体" w:hAnsi="宋体" w:cs="宋体"/>
                <w:color w:val="000000" w:themeColor="text1"/>
                <w:sz w:val="24"/>
                <w14:textFill>
                  <w14:solidFill>
                    <w14:schemeClr w14:val="tx1"/>
                  </w14:solidFill>
                </w14:textFill>
              </w:rPr>
              <w:t>ISO22000食品安全管理体系认证，得1分</w:t>
            </w:r>
            <w:r>
              <w:rPr>
                <w:rFonts w:hint="eastAsia" w:ascii="宋体" w:hAnsi="宋体" w:cs="宋体"/>
                <w:color w:val="000000" w:themeColor="text1"/>
                <w:sz w:val="24"/>
                <w:lang w:eastAsia="zh-CN"/>
                <w14:textFill>
                  <w14:solidFill>
                    <w14:schemeClr w14:val="tx1"/>
                  </w14:solidFill>
                </w14:textFill>
              </w:rPr>
              <w:t>；</w:t>
            </w:r>
          </w:p>
          <w:p>
            <w:pPr>
              <w:spacing w:line="460" w:lineRule="exact"/>
              <w:contextualSpacing/>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（4）投标人通过ISO45001/OHSAS18001职业健康安全管理体系认证，得1分</w:t>
            </w:r>
            <w:r>
              <w:rPr>
                <w:rFonts w:hint="eastAsia" w:ascii="宋体" w:hAnsi="宋体" w:cs="宋体"/>
                <w:color w:val="000000" w:themeColor="text1"/>
                <w:sz w:val="24"/>
                <w:lang w:eastAsia="zh-CN"/>
                <w14:textFill>
                  <w14:solidFill>
                    <w14:schemeClr w14:val="tx1"/>
                  </w14:solidFill>
                </w14:textFill>
              </w:rPr>
              <w:t>。</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分</w:t>
            </w:r>
          </w:p>
        </w:tc>
      </w:tr>
      <w:tr>
        <w:tblPrEx>
          <w:tblLayout w:type="fixed"/>
          <w:tblCellMar>
            <w:top w:w="0" w:type="dxa"/>
            <w:left w:w="108" w:type="dxa"/>
            <w:bottom w:w="0" w:type="dxa"/>
            <w:right w:w="108" w:type="dxa"/>
          </w:tblCellMar>
        </w:tblPrEx>
        <w:trPr>
          <w:jc w:val="center"/>
        </w:trPr>
        <w:tc>
          <w:tcPr>
            <w:tcW w:w="1288" w:type="dxa"/>
            <w:vMerge w:val="continue"/>
            <w:tcBorders>
              <w:left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ascii="宋体" w:hAnsi="宋体" w:cs="宋体"/>
                <w:b/>
                <w:color w:val="000000" w:themeColor="text1"/>
                <w:sz w:val="24"/>
                <w14:textFill>
                  <w14:solidFill>
                    <w14:schemeClr w14:val="tx1"/>
                  </w14:solidFill>
                </w14:textFill>
              </w:rPr>
            </w:pPr>
          </w:p>
        </w:tc>
        <w:tc>
          <w:tcPr>
            <w:tcW w:w="1246" w:type="dxa"/>
            <w:tcBorders>
              <w:top w:val="single" w:color="000000" w:sz="4" w:space="0"/>
              <w:left w:val="single" w:color="auto" w:sz="4" w:space="0"/>
              <w:bottom w:val="single" w:color="auto" w:sz="4" w:space="0"/>
              <w:right w:val="single" w:color="000000" w:sz="4" w:space="0"/>
            </w:tcBorders>
            <w:shd w:val="clear" w:color="000000" w:fill="FFFFFF"/>
            <w:tcMar>
              <w:left w:w="80" w:type="dxa"/>
              <w:right w:w="80" w:type="dxa"/>
            </w:tcMar>
            <w:vAlign w:val="center"/>
          </w:tcPr>
          <w:p>
            <w:pPr>
              <w:spacing w:line="460" w:lineRule="exact"/>
              <w:contextualSpacing/>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投标人</w:t>
            </w:r>
          </w:p>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保险购买情况</w:t>
            </w:r>
          </w:p>
        </w:tc>
        <w:tc>
          <w:tcPr>
            <w:tcW w:w="6360"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 xml:space="preserve">对正在经营的餐饮单位购买保险： </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1、公众责任险：得 1 分； </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2、员工意外伤害险：得1 分； </w:t>
            </w:r>
          </w:p>
          <w:p>
            <w:pPr>
              <w:spacing w:line="460" w:lineRule="exact"/>
              <w:contextualSpacing/>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3、食品安全险：得 1 分</w:t>
            </w:r>
            <w:r>
              <w:rPr>
                <w:rFonts w:hint="eastAsia" w:ascii="宋体" w:hAnsi="宋体" w:cs="宋体"/>
                <w:color w:val="000000" w:themeColor="text1"/>
                <w:sz w:val="24"/>
                <w:lang w:eastAsia="zh-CN"/>
                <w14:textFill>
                  <w14:solidFill>
                    <w14:schemeClr w14:val="tx1"/>
                  </w14:solidFill>
                </w14:textFill>
              </w:rPr>
              <w:t>；</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4、雇主责任险 ：得 1 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满分 4 分，需提供各项保险的购买发票或保单等证明材料。</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4分</w:t>
            </w:r>
          </w:p>
        </w:tc>
      </w:tr>
      <w:tr>
        <w:tblPrEx>
          <w:tblLayout w:type="fixed"/>
          <w:tblCellMar>
            <w:top w:w="0" w:type="dxa"/>
            <w:left w:w="108" w:type="dxa"/>
            <w:bottom w:w="0" w:type="dxa"/>
            <w:right w:w="108" w:type="dxa"/>
          </w:tblCellMar>
        </w:tblPrEx>
        <w:trPr>
          <w:jc w:val="center"/>
        </w:trPr>
        <w:tc>
          <w:tcPr>
            <w:tcW w:w="1288" w:type="dxa"/>
            <w:vMerge w:val="continue"/>
            <w:tcBorders>
              <w:left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ascii="宋体" w:hAnsi="宋体" w:cs="宋体"/>
                <w:b/>
                <w:color w:val="000000" w:themeColor="text1"/>
                <w:sz w:val="24"/>
                <w14:textFill>
                  <w14:solidFill>
                    <w14:schemeClr w14:val="tx1"/>
                  </w14:solidFill>
                </w14:textFill>
              </w:rPr>
            </w:pPr>
          </w:p>
        </w:tc>
        <w:tc>
          <w:tcPr>
            <w:tcW w:w="1246" w:type="dxa"/>
            <w:vMerge w:val="restart"/>
            <w:tcBorders>
              <w:top w:val="single" w:color="auto" w:sz="4" w:space="0"/>
              <w:left w:val="single" w:color="auto" w:sz="4" w:space="0"/>
              <w:bottom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投标人</w:t>
            </w:r>
          </w:p>
          <w:p>
            <w:pPr>
              <w:spacing w:line="460" w:lineRule="exact"/>
              <w:contextualSpacing/>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实力</w:t>
            </w:r>
          </w:p>
        </w:tc>
        <w:tc>
          <w:tcPr>
            <w:tcW w:w="6360" w:type="dxa"/>
            <w:tcBorders>
              <w:top w:val="single" w:color="000000" w:sz="4" w:space="0"/>
              <w:left w:val="single" w:color="auto"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企业注册资金＜1000 万，</w:t>
            </w:r>
            <w:r>
              <w:rPr>
                <w:rFonts w:hint="eastAsia" w:ascii="宋体" w:hAnsi="宋体" w:cs="宋体"/>
                <w:color w:val="000000" w:themeColor="text1"/>
                <w:sz w:val="24"/>
                <w14:textFill>
                  <w14:solidFill>
                    <w14:schemeClr w14:val="tx1"/>
                  </w14:solidFill>
                </w14:textFill>
              </w:rPr>
              <w:t xml:space="preserve">得 </w:t>
            </w:r>
            <w:r>
              <w:rPr>
                <w:rFonts w:hint="eastAsia" w:ascii="宋体" w:hAnsi="宋体" w:cs="宋体"/>
                <w:color w:val="000000" w:themeColor="text1"/>
                <w:sz w:val="24"/>
                <w:lang w:val="en-US" w:eastAsia="zh-CN"/>
                <w14:textFill>
                  <w14:solidFill>
                    <w14:schemeClr w14:val="tx1"/>
                  </w14:solidFill>
                </w14:textFill>
              </w:rPr>
              <w:t>1</w:t>
            </w:r>
            <w:r>
              <w:rPr>
                <w:rFonts w:ascii="宋体" w:hAnsi="宋体" w:cs="宋体"/>
                <w:color w:val="000000" w:themeColor="text1"/>
                <w:sz w:val="24"/>
                <w14:textFill>
                  <w14:solidFill>
                    <w14:schemeClr w14:val="tx1"/>
                  </w14:solidFill>
                </w14:textFill>
              </w:rPr>
              <w:t>分；</w:t>
            </w:r>
          </w:p>
          <w:p>
            <w:pPr>
              <w:spacing w:line="460" w:lineRule="exact"/>
              <w:contextualSpacing/>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1000 万</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企业注册资金</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3000 万，</w:t>
            </w:r>
            <w:r>
              <w:rPr>
                <w:rFonts w:hint="eastAsia" w:ascii="宋体" w:hAnsi="宋体" w:cs="宋体"/>
                <w:color w:val="000000" w:themeColor="text1"/>
                <w:sz w:val="24"/>
                <w14:textFill>
                  <w14:solidFill>
                    <w14:schemeClr w14:val="tx1"/>
                  </w14:solidFill>
                </w14:textFill>
              </w:rPr>
              <w:t xml:space="preserve">得 </w:t>
            </w:r>
            <w:r>
              <w:rPr>
                <w:rFonts w:hint="eastAsia" w:ascii="宋体" w:hAnsi="宋体" w:cs="宋体"/>
                <w:color w:val="000000" w:themeColor="text1"/>
                <w:sz w:val="24"/>
                <w:lang w:val="en-US" w:eastAsia="zh-CN"/>
                <w14:textFill>
                  <w14:solidFill>
                    <w14:schemeClr w14:val="tx1"/>
                  </w14:solidFill>
                </w14:textFill>
              </w:rPr>
              <w:t>2</w:t>
            </w:r>
            <w:r>
              <w:rPr>
                <w:rFonts w:ascii="宋体" w:hAnsi="宋体" w:cs="宋体"/>
                <w:color w:val="000000" w:themeColor="text1"/>
                <w:sz w:val="24"/>
                <w14:textFill>
                  <w14:solidFill>
                    <w14:schemeClr w14:val="tx1"/>
                  </w14:solidFill>
                </w14:textFill>
              </w:rPr>
              <w:t xml:space="preserve"> 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3000</w:t>
            </w:r>
            <w:r>
              <w:rPr>
                <w:rFonts w:ascii="宋体" w:hAnsi="宋体" w:cs="宋体"/>
                <w:color w:val="000000" w:themeColor="text1"/>
                <w:sz w:val="24"/>
                <w14:textFill>
                  <w14:solidFill>
                    <w14:schemeClr w14:val="tx1"/>
                  </w14:solidFill>
                </w14:textFill>
              </w:rPr>
              <w:t>万</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企业注册资金</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000 万</w:t>
            </w:r>
            <w:r>
              <w:rPr>
                <w:rFonts w:hint="eastAsia" w:ascii="宋体" w:hAnsi="宋体" w:cs="宋体"/>
                <w:color w:val="000000" w:themeColor="text1"/>
                <w:sz w:val="24"/>
                <w14:textFill>
                  <w14:solidFill>
                    <w14:schemeClr w14:val="tx1"/>
                  </w14:solidFill>
                </w14:textFill>
              </w:rPr>
              <w:t xml:space="preserve">，得 </w:t>
            </w:r>
            <w:r>
              <w:rPr>
                <w:rFonts w:hint="eastAsia" w:ascii="宋体" w:hAnsi="宋体" w:cs="宋体"/>
                <w:color w:val="000000" w:themeColor="text1"/>
                <w:sz w:val="24"/>
                <w:lang w:val="en-US" w:eastAsia="zh-CN"/>
                <w14:textFill>
                  <w14:solidFill>
                    <w14:schemeClr w14:val="tx1"/>
                  </w14:solidFill>
                </w14:textFill>
              </w:rPr>
              <w:t>4</w:t>
            </w:r>
            <w:r>
              <w:rPr>
                <w:rFonts w:ascii="宋体" w:hAnsi="宋体" w:cs="宋体"/>
                <w:color w:val="000000" w:themeColor="text1"/>
                <w:sz w:val="24"/>
                <w14:textFill>
                  <w14:solidFill>
                    <w14:schemeClr w14:val="tx1"/>
                  </w14:solidFill>
                </w14:textFill>
              </w:rPr>
              <w:t xml:space="preserve">分； </w:t>
            </w:r>
          </w:p>
          <w:p>
            <w:pPr>
              <w:spacing w:line="460" w:lineRule="exact"/>
              <w:contextualSpacing/>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企业注册资金≥5000 万，计 </w:t>
            </w:r>
            <w:r>
              <w:rPr>
                <w:rFonts w:hint="eastAsia" w:ascii="宋体" w:hAnsi="宋体" w:cs="宋体"/>
                <w:color w:val="000000" w:themeColor="text1"/>
                <w:sz w:val="24"/>
                <w:lang w:val="en-US" w:eastAsia="zh-CN"/>
                <w14:textFill>
                  <w14:solidFill>
                    <w14:schemeClr w14:val="tx1"/>
                  </w14:solidFill>
                </w14:textFill>
              </w:rPr>
              <w:t xml:space="preserve">5 </w:t>
            </w:r>
            <w:r>
              <w:rPr>
                <w:rFonts w:ascii="宋体" w:hAnsi="宋体" w:cs="宋体"/>
                <w:color w:val="000000" w:themeColor="text1"/>
                <w:sz w:val="24"/>
                <w14:textFill>
                  <w14:solidFill>
                    <w14:schemeClr w14:val="tx1"/>
                  </w14:solidFill>
                </w14:textFill>
              </w:rPr>
              <w:t>分。</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分</w:t>
            </w:r>
          </w:p>
        </w:tc>
      </w:tr>
      <w:tr>
        <w:tblPrEx>
          <w:tblLayout w:type="fixed"/>
          <w:tblCellMar>
            <w:top w:w="0" w:type="dxa"/>
            <w:left w:w="108" w:type="dxa"/>
            <w:bottom w:w="0" w:type="dxa"/>
            <w:right w:w="108" w:type="dxa"/>
          </w:tblCellMar>
        </w:tblPrEx>
        <w:trPr>
          <w:jc w:val="center"/>
        </w:trPr>
        <w:tc>
          <w:tcPr>
            <w:tcW w:w="1288" w:type="dxa"/>
            <w:vMerge w:val="continue"/>
            <w:tcBorders>
              <w:left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ascii="宋体" w:hAnsi="宋体" w:cs="宋体"/>
                <w:b/>
                <w:color w:val="000000" w:themeColor="text1"/>
                <w:sz w:val="24"/>
                <w14:textFill>
                  <w14:solidFill>
                    <w14:schemeClr w14:val="tx1"/>
                  </w14:solidFill>
                </w14:textFill>
              </w:rPr>
            </w:pPr>
          </w:p>
        </w:tc>
        <w:tc>
          <w:tcPr>
            <w:tcW w:w="1246" w:type="dxa"/>
            <w:vMerge w:val="continue"/>
            <w:tcBorders>
              <w:left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hint="eastAsia" w:ascii="宋体" w:hAnsi="宋体" w:cs="宋体"/>
                <w:color w:val="000000" w:themeColor="text1"/>
                <w:sz w:val="24"/>
                <w:lang w:val="en-US" w:eastAsia="zh-CN"/>
                <w14:textFill>
                  <w14:solidFill>
                    <w14:schemeClr w14:val="tx1"/>
                  </w14:solidFill>
                </w14:textFill>
              </w:rPr>
            </w:pPr>
          </w:p>
        </w:tc>
        <w:tc>
          <w:tcPr>
            <w:tcW w:w="6360" w:type="dxa"/>
            <w:tcBorders>
              <w:top w:val="single" w:color="000000" w:sz="4" w:space="0"/>
              <w:left w:val="single" w:color="auto"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投标人提供三方征信机构出具的AAA级信用企业证书，每个得1分，最高得5分。</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5分</w:t>
            </w:r>
          </w:p>
        </w:tc>
      </w:tr>
      <w:tr>
        <w:tblPrEx>
          <w:tblLayout w:type="fixed"/>
          <w:tblCellMar>
            <w:top w:w="0" w:type="dxa"/>
            <w:left w:w="108" w:type="dxa"/>
            <w:bottom w:w="0" w:type="dxa"/>
            <w:right w:w="108" w:type="dxa"/>
          </w:tblCellMar>
        </w:tblPrEx>
        <w:trPr>
          <w:jc w:val="center"/>
        </w:trPr>
        <w:tc>
          <w:tcPr>
            <w:tcW w:w="1288" w:type="dxa"/>
            <w:vMerge w:val="continue"/>
            <w:tcBorders>
              <w:left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ascii="宋体" w:hAnsi="宋体" w:cs="宋体"/>
                <w:b/>
                <w:color w:val="000000" w:themeColor="text1"/>
                <w:sz w:val="24"/>
                <w14:textFill>
                  <w14:solidFill>
                    <w14:schemeClr w14:val="tx1"/>
                  </w14:solidFill>
                </w14:textFill>
              </w:rPr>
            </w:pPr>
          </w:p>
        </w:tc>
        <w:tc>
          <w:tcPr>
            <w:tcW w:w="1246" w:type="dxa"/>
            <w:vMerge w:val="continue"/>
            <w:tcBorders>
              <w:left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hint="eastAsia" w:ascii="宋体" w:hAnsi="宋体" w:cs="宋体"/>
                <w:color w:val="000000" w:themeColor="text1"/>
                <w:sz w:val="24"/>
                <w14:textFill>
                  <w14:solidFill>
                    <w14:schemeClr w14:val="tx1"/>
                  </w14:solidFill>
                </w14:textFill>
              </w:rPr>
            </w:pPr>
          </w:p>
        </w:tc>
        <w:tc>
          <w:tcPr>
            <w:tcW w:w="6360" w:type="dxa"/>
            <w:tcBorders>
              <w:top w:val="single" w:color="000000" w:sz="4" w:space="0"/>
              <w:left w:val="single" w:color="auto"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rPr>
                <w:rFonts w:hint="default" w:ascii="宋体" w:hAnsi="宋体" w:cs="宋体"/>
                <w:color w:val="000000" w:themeColor="text1"/>
                <w:sz w:val="24"/>
                <w:lang w:val="en-US"/>
                <w14:textFill>
                  <w14:solidFill>
                    <w14:schemeClr w14:val="tx1"/>
                  </w14:solidFill>
                </w14:textFill>
              </w:rPr>
            </w:pPr>
            <w:r>
              <w:rPr>
                <w:rFonts w:hint="eastAsia" w:ascii="宋体" w:hAnsi="宋体" w:eastAsia="宋体" w:cs="宋体"/>
                <w:color w:val="auto"/>
                <w:sz w:val="24"/>
                <w:szCs w:val="24"/>
                <w:highlight w:val="none"/>
              </w:rPr>
              <w:t>投标人</w:t>
            </w:r>
            <w:r>
              <w:rPr>
                <w:rFonts w:hint="eastAsia" w:ascii="宋体" w:hAnsi="宋体" w:cs="宋体"/>
                <w:color w:val="auto"/>
                <w:sz w:val="24"/>
                <w:szCs w:val="24"/>
                <w:highlight w:val="none"/>
                <w:lang w:val="en-US" w:eastAsia="zh-CN"/>
              </w:rPr>
              <w:t>提供</w:t>
            </w:r>
            <w:r>
              <w:rPr>
                <w:rFonts w:hint="eastAsia" w:ascii="宋体" w:hAnsi="宋体" w:eastAsia="宋体" w:cs="宋体"/>
                <w:color w:val="auto"/>
                <w:sz w:val="24"/>
                <w:szCs w:val="24"/>
                <w:highlight w:val="none"/>
              </w:rPr>
              <w:t>201</w:t>
            </w:r>
            <w:r>
              <w:rPr>
                <w:rFonts w:hint="eastAsia" w:ascii="宋体" w:hAnsi="宋体" w:cs="宋体"/>
                <w:color w:val="auto"/>
                <w:sz w:val="24"/>
                <w:szCs w:val="24"/>
                <w:highlight w:val="none"/>
                <w:lang w:val="en-US" w:eastAsia="zh-CN"/>
              </w:rPr>
              <w:t>9以来，获得行业协会颁发的</w:t>
            </w:r>
            <w:r>
              <w:rPr>
                <w:rFonts w:hint="eastAsia" w:ascii="宋体" w:hAnsi="宋体" w:eastAsia="宋体" w:cs="宋体"/>
                <w:color w:val="auto"/>
                <w:sz w:val="24"/>
                <w:szCs w:val="24"/>
                <w:highlight w:val="none"/>
              </w:rPr>
              <w:t>餐饮业</w:t>
            </w:r>
            <w:r>
              <w:rPr>
                <w:rFonts w:hint="eastAsia" w:ascii="宋体" w:hAnsi="宋体" w:cs="宋体"/>
                <w:color w:val="auto"/>
                <w:sz w:val="24"/>
                <w:szCs w:val="24"/>
                <w:highlight w:val="none"/>
                <w:lang w:val="en-US" w:eastAsia="zh-CN"/>
              </w:rPr>
              <w:t>品牌认证</w:t>
            </w:r>
            <w:r>
              <w:rPr>
                <w:rFonts w:hint="eastAsia" w:ascii="宋体" w:hAnsi="宋体" w:eastAsia="宋体" w:cs="宋体"/>
                <w:color w:val="auto"/>
                <w:sz w:val="24"/>
                <w:szCs w:val="24"/>
                <w:highlight w:val="none"/>
                <w:lang w:val="en-US" w:eastAsia="zh-CN"/>
              </w:rPr>
              <w:t>证书</w:t>
            </w:r>
            <w:r>
              <w:rPr>
                <w:rFonts w:hint="eastAsia" w:ascii="宋体" w:hAnsi="宋体" w:cs="宋体"/>
                <w:color w:val="auto"/>
                <w:sz w:val="24"/>
                <w:szCs w:val="24"/>
                <w:highlight w:val="none"/>
                <w:lang w:val="en-US" w:eastAsia="zh-CN"/>
              </w:rPr>
              <w:t>，每个得1分，最高得5分。</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5分</w:t>
            </w:r>
          </w:p>
        </w:tc>
      </w:tr>
      <w:tr>
        <w:tblPrEx>
          <w:tblLayout w:type="fixed"/>
          <w:tblCellMar>
            <w:top w:w="0" w:type="dxa"/>
            <w:left w:w="108" w:type="dxa"/>
            <w:bottom w:w="0" w:type="dxa"/>
            <w:right w:w="108" w:type="dxa"/>
          </w:tblCellMar>
        </w:tblPrEx>
        <w:trPr>
          <w:trHeight w:val="90" w:hRule="atLeast"/>
          <w:jc w:val="center"/>
        </w:trPr>
        <w:tc>
          <w:tcPr>
            <w:tcW w:w="1288" w:type="dxa"/>
            <w:vMerge w:val="continue"/>
            <w:tcBorders>
              <w:left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p>
        </w:tc>
        <w:tc>
          <w:tcPr>
            <w:tcW w:w="1246" w:type="dxa"/>
            <w:vMerge w:val="continue"/>
            <w:tcBorders>
              <w:top w:val="single" w:color="auto" w:sz="4" w:space="0"/>
              <w:left w:val="single" w:color="auto" w:sz="4" w:space="0"/>
              <w:bottom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p>
        </w:tc>
        <w:tc>
          <w:tcPr>
            <w:tcW w:w="6360" w:type="dxa"/>
            <w:tcBorders>
              <w:top w:val="single" w:color="auto" w:sz="4" w:space="0"/>
              <w:left w:val="single" w:color="auto" w:sz="4" w:space="0"/>
              <w:bottom w:val="single" w:color="auto" w:sz="4" w:space="0"/>
              <w:right w:val="single" w:color="auto" w:sz="4" w:space="0"/>
            </w:tcBorders>
            <w:shd w:val="clear" w:color="000000" w:fill="FFFFFF"/>
            <w:tcMar>
              <w:left w:w="80" w:type="dxa"/>
              <w:right w:w="80" w:type="dxa"/>
            </w:tcMar>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提供20</w:t>
            </w:r>
            <w:r>
              <w:rPr>
                <w:rFonts w:hint="eastAsia" w:ascii="宋体" w:hAnsi="宋体" w:cs="宋体"/>
                <w:color w:val="000000" w:themeColor="text1"/>
                <w:sz w:val="24"/>
                <w:lang w:val="en-US" w:eastAsia="zh-CN"/>
                <w14:textFill>
                  <w14:solidFill>
                    <w14:schemeClr w14:val="tx1"/>
                  </w14:solidFill>
                </w14:textFill>
              </w:rPr>
              <w:t>21</w:t>
            </w:r>
            <w:r>
              <w:rPr>
                <w:rFonts w:hint="eastAsia" w:ascii="宋体" w:hAnsi="宋体" w:cs="宋体"/>
                <w:color w:val="000000" w:themeColor="text1"/>
                <w:sz w:val="24"/>
                <w14:textFill>
                  <w14:solidFill>
                    <w14:schemeClr w14:val="tx1"/>
                  </w14:solidFill>
                </w14:textFill>
              </w:rPr>
              <w:t>年1月1日以来与</w:t>
            </w:r>
            <w:r>
              <w:rPr>
                <w:rFonts w:hint="eastAsia" w:ascii="宋体" w:hAnsi="宋体" w:cs="宋体"/>
                <w:color w:val="000000" w:themeColor="text1"/>
                <w:sz w:val="24"/>
                <w:lang w:val="en-US" w:eastAsia="zh-CN"/>
                <w14:textFill>
                  <w14:solidFill>
                    <w14:schemeClr w14:val="tx1"/>
                  </w14:solidFill>
                </w14:textFill>
              </w:rPr>
              <w:t>高</w:t>
            </w:r>
            <w:r>
              <w:rPr>
                <w:rFonts w:hint="eastAsia" w:ascii="宋体" w:hAnsi="宋体" w:cs="宋体"/>
                <w:color w:val="000000" w:themeColor="text1"/>
                <w:sz w:val="24"/>
                <w14:textFill>
                  <w14:solidFill>
                    <w14:schemeClr w14:val="tx1"/>
                  </w14:solidFill>
                </w14:textFill>
              </w:rPr>
              <w:t>校</w:t>
            </w:r>
            <w:r>
              <w:rPr>
                <w:rFonts w:hint="eastAsia" w:ascii="宋体" w:hAnsi="宋体" w:cs="宋体"/>
                <w:color w:val="000000" w:themeColor="text1"/>
                <w:sz w:val="24"/>
                <w:lang w:val="en-US"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的业绩合同、合同期内1个月的转账发票、服务好评证明。提供得</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缺项</w:t>
            </w:r>
            <w:r>
              <w:rPr>
                <w:rFonts w:hint="eastAsia" w:ascii="宋体" w:hAnsi="宋体" w:cs="宋体"/>
                <w:color w:val="000000" w:themeColor="text1"/>
                <w:sz w:val="24"/>
                <w:lang w:val="en-US" w:eastAsia="zh-CN"/>
                <w14:textFill>
                  <w14:solidFill>
                    <w14:schemeClr w14:val="tx1"/>
                  </w14:solidFill>
                </w14:textFill>
              </w:rPr>
              <w:t>或不提供</w:t>
            </w:r>
            <w:r>
              <w:rPr>
                <w:rFonts w:hint="eastAsia" w:ascii="宋体" w:hAnsi="宋体" w:cs="宋体"/>
                <w:color w:val="000000" w:themeColor="text1"/>
                <w:sz w:val="24"/>
                <w14:textFill>
                  <w14:solidFill>
                    <w14:schemeClr w14:val="tx1"/>
                  </w14:solidFill>
                </w14:textFill>
              </w:rPr>
              <w:t>不得分。</w:t>
            </w:r>
          </w:p>
        </w:tc>
        <w:tc>
          <w:tcPr>
            <w:tcW w:w="882" w:type="dxa"/>
            <w:tcBorders>
              <w:top w:val="single" w:color="auto" w:sz="4" w:space="0"/>
              <w:left w:val="single" w:color="auto" w:sz="4" w:space="0"/>
              <w:bottom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分</w:t>
            </w:r>
          </w:p>
        </w:tc>
      </w:tr>
      <w:tr>
        <w:tblPrEx>
          <w:tblLayout w:type="fixed"/>
          <w:tblCellMar>
            <w:top w:w="0" w:type="dxa"/>
            <w:left w:w="108" w:type="dxa"/>
            <w:bottom w:w="0" w:type="dxa"/>
            <w:right w:w="108" w:type="dxa"/>
          </w:tblCellMar>
        </w:tblPrEx>
        <w:trPr>
          <w:trHeight w:val="90" w:hRule="atLeast"/>
          <w:jc w:val="center"/>
        </w:trPr>
        <w:tc>
          <w:tcPr>
            <w:tcW w:w="1288" w:type="dxa"/>
            <w:vMerge w:val="continue"/>
            <w:tcBorders>
              <w:left w:val="single" w:color="auto" w:sz="4" w:space="0"/>
              <w:bottom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p>
        </w:tc>
        <w:tc>
          <w:tcPr>
            <w:tcW w:w="1246" w:type="dxa"/>
            <w:tcBorders>
              <w:top w:val="single" w:color="auto" w:sz="4" w:space="0"/>
              <w:left w:val="single" w:color="auto" w:sz="4" w:space="0"/>
              <w:bottom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投标人社会责任</w:t>
            </w:r>
          </w:p>
        </w:tc>
        <w:tc>
          <w:tcPr>
            <w:tcW w:w="6360" w:type="dxa"/>
            <w:tcBorders>
              <w:top w:val="single" w:color="auto" w:sz="4" w:space="0"/>
              <w:left w:val="single" w:color="auto" w:sz="4" w:space="0"/>
              <w:bottom w:val="single" w:color="auto" w:sz="4" w:space="0"/>
              <w:right w:val="single" w:color="auto" w:sz="4" w:space="0"/>
            </w:tcBorders>
            <w:shd w:val="clear" w:color="000000" w:fill="FFFFFF"/>
            <w:tcMar>
              <w:left w:w="80" w:type="dxa"/>
              <w:right w:w="80" w:type="dxa"/>
            </w:tcMar>
            <w:vAlign w:val="center"/>
          </w:tcPr>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投标人2020年1月1日以来向服务单位提供过物资捐赠的，提供相关证明得3分，无证明不得分。</w:t>
            </w:r>
          </w:p>
        </w:tc>
        <w:tc>
          <w:tcPr>
            <w:tcW w:w="882" w:type="dxa"/>
            <w:tcBorders>
              <w:top w:val="single" w:color="auto" w:sz="4" w:space="0"/>
              <w:left w:val="single" w:color="auto" w:sz="4" w:space="0"/>
              <w:bottom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3分</w:t>
            </w:r>
          </w:p>
        </w:tc>
      </w:tr>
      <w:tr>
        <w:tblPrEx>
          <w:tblLayout w:type="fixed"/>
          <w:tblCellMar>
            <w:top w:w="0" w:type="dxa"/>
            <w:left w:w="108" w:type="dxa"/>
            <w:bottom w:w="0" w:type="dxa"/>
            <w:right w:w="108" w:type="dxa"/>
          </w:tblCellMar>
        </w:tblPrEx>
        <w:trPr>
          <w:trHeight w:val="1133" w:hRule="atLeast"/>
          <w:jc w:val="center"/>
        </w:trPr>
        <w:tc>
          <w:tcPr>
            <w:tcW w:w="1288" w:type="dxa"/>
            <w:vMerge w:val="restart"/>
            <w:tcBorders>
              <w:top w:val="single" w:color="auto" w:sz="4" w:space="0"/>
              <w:left w:val="single" w:color="auto" w:sz="4" w:space="0"/>
              <w:bottom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技术分</w:t>
            </w:r>
          </w:p>
          <w:p>
            <w:pPr>
              <w:spacing w:line="460" w:lineRule="exact"/>
              <w:contextualSpacing/>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（7</w:t>
            </w:r>
            <w:r>
              <w:rPr>
                <w:rFonts w:hint="eastAsia" w:ascii="宋体" w:hAnsi="宋体" w:cs="宋体"/>
                <w:b/>
                <w:color w:val="000000" w:themeColor="text1"/>
                <w:sz w:val="24"/>
                <w:lang w:val="en-US" w:eastAsia="zh-CN"/>
                <w14:textFill>
                  <w14:solidFill>
                    <w14:schemeClr w14:val="tx1"/>
                  </w14:solidFill>
                </w14:textFill>
              </w:rPr>
              <w:t>2</w:t>
            </w:r>
            <w:r>
              <w:rPr>
                <w:rFonts w:hint="eastAsia" w:ascii="宋体" w:hAnsi="宋体" w:cs="宋体"/>
                <w:b/>
                <w:color w:val="000000" w:themeColor="text1"/>
                <w:sz w:val="24"/>
                <w14:textFill>
                  <w14:solidFill>
                    <w14:schemeClr w14:val="tx1"/>
                  </w14:solidFill>
                </w14:textFill>
              </w:rPr>
              <w:t>分）</w:t>
            </w:r>
          </w:p>
        </w:tc>
        <w:tc>
          <w:tcPr>
            <w:tcW w:w="1246" w:type="dxa"/>
            <w:tcBorders>
              <w:top w:val="single" w:color="auto" w:sz="4" w:space="0"/>
              <w:left w:val="single" w:color="auto" w:sz="4" w:space="0"/>
              <w:bottom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制度建设</w:t>
            </w:r>
          </w:p>
        </w:tc>
        <w:tc>
          <w:tcPr>
            <w:tcW w:w="6360" w:type="dxa"/>
            <w:tcBorders>
              <w:top w:val="single" w:color="auto" w:sz="4" w:space="0"/>
              <w:left w:val="single" w:color="auto" w:sz="4" w:space="0"/>
              <w:bottom w:val="single" w:color="auto" w:sz="4" w:space="0"/>
              <w:right w:val="single" w:color="auto" w:sz="4" w:space="0"/>
            </w:tcBorders>
            <w:shd w:val="clear" w:color="000000" w:fill="FFFFFF"/>
            <w:tcMar>
              <w:left w:w="80" w:type="dxa"/>
              <w:right w:w="80" w:type="dxa"/>
            </w:tcMar>
            <w:vAlign w:val="center"/>
          </w:tcPr>
          <w:p>
            <w:pPr>
              <w:spacing w:line="460" w:lineRule="exact"/>
              <w:contextualSpacing/>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eastAsia="zh-CN"/>
                <w14:textFill>
                  <w14:solidFill>
                    <w14:schemeClr w14:val="tx1"/>
                  </w14:solidFill>
                </w14:textFill>
              </w:rPr>
              <w:t>投标人</w:t>
            </w:r>
            <w:r>
              <w:rPr>
                <w:rFonts w:hint="eastAsia" w:ascii="宋体" w:hAnsi="宋体" w:cs="宋体"/>
                <w:b/>
                <w:bCs/>
                <w:color w:val="000000" w:themeColor="text1"/>
                <w:sz w:val="24"/>
                <w14:textFill>
                  <w14:solidFill>
                    <w14:schemeClr w14:val="tx1"/>
                  </w14:solidFill>
                </w14:textFill>
              </w:rPr>
              <w:t>基于本项目特点及难点，建立有利于本项目管理的相关管理制度。</w:t>
            </w:r>
          </w:p>
          <w:p>
            <w:pPr>
              <w:spacing w:line="460" w:lineRule="exact"/>
              <w:contextualSpacing/>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1、具有健全的安全管理制度，包含但不限于水电气、消防、食品、生产、设备管理等方面，详细完善、操作可行，按其响应程度得0-2分</w:t>
            </w:r>
            <w:r>
              <w:rPr>
                <w:rFonts w:hint="eastAsia" w:ascii="宋体" w:hAnsi="宋体" w:cs="宋体"/>
                <w:color w:val="000000" w:themeColor="text1"/>
                <w:sz w:val="24"/>
                <w:lang w:eastAsia="zh-CN"/>
                <w14:textFill>
                  <w14:solidFill>
                    <w14:schemeClr w14:val="tx1"/>
                  </w14:solidFill>
                </w14:textFill>
              </w:rPr>
              <w:t>；</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2、具有健全的人员管理制度，包含管理团队考核奖励资金分配制度、从业人员健康管理制度等，详细完善、操作可行，按其响应程度得0-2分；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3、具有健全的服务质量管理制度，包含但不限于投诉受理制度，详细完善、操作可行，按其响应程度得0-2分；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4、具有健全的内控管理制度，包含但不限于联营方引入与退出制度、餐饮公司自查与巡检制度等，详细完善、操作可行，按其响应程度得0-2分。</w:t>
            </w:r>
          </w:p>
        </w:tc>
        <w:tc>
          <w:tcPr>
            <w:tcW w:w="882" w:type="dxa"/>
            <w:tcBorders>
              <w:top w:val="single" w:color="auto" w:sz="4" w:space="0"/>
              <w:left w:val="single" w:color="auto" w:sz="4" w:space="0"/>
              <w:bottom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8分</w:t>
            </w:r>
          </w:p>
        </w:tc>
      </w:tr>
      <w:tr>
        <w:tblPrEx>
          <w:tblLayout w:type="fixed"/>
          <w:tblCellMar>
            <w:top w:w="0" w:type="dxa"/>
            <w:left w:w="108" w:type="dxa"/>
            <w:bottom w:w="0" w:type="dxa"/>
            <w:right w:w="108" w:type="dxa"/>
          </w:tblCellMar>
        </w:tblPrEx>
        <w:trPr>
          <w:jc w:val="center"/>
        </w:trPr>
        <w:tc>
          <w:tcPr>
            <w:tcW w:w="1288" w:type="dxa"/>
            <w:vMerge w:val="continue"/>
            <w:tcBorders>
              <w:top w:val="single" w:color="auto" w:sz="4" w:space="0"/>
              <w:left w:val="single" w:color="auto" w:sz="4" w:space="0"/>
              <w:bottom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ascii="宋体" w:hAnsi="宋体" w:cs="宋体"/>
                <w:b/>
                <w:color w:val="000000" w:themeColor="text1"/>
                <w:sz w:val="24"/>
                <w14:textFill>
                  <w14:solidFill>
                    <w14:schemeClr w14:val="tx1"/>
                  </w14:solidFill>
                </w14:textFill>
              </w:rPr>
            </w:pPr>
          </w:p>
        </w:tc>
        <w:tc>
          <w:tcPr>
            <w:tcW w:w="1246" w:type="dxa"/>
            <w:tcBorders>
              <w:top w:val="single" w:color="auto" w:sz="4" w:space="0"/>
              <w:left w:val="single" w:color="auto"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人员配置方案</w:t>
            </w:r>
          </w:p>
        </w:tc>
        <w:tc>
          <w:tcPr>
            <w:tcW w:w="6360"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360" w:lineRule="auto"/>
              <w:contextualSpacing/>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1、根据拟派本项目人员的组织架构、岗位分工情况及民族人员占比进行综合评审（3分）</w:t>
            </w:r>
          </w:p>
          <w:p>
            <w:pPr>
              <w:spacing w:line="360" w:lineRule="auto"/>
              <w:contextualSpacing/>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（1）拟派人员架构合理、岗位分工明确合理，民族人员占比大于30%，人员考评细则具体，考核标准健全的得2-3分；</w:t>
            </w:r>
          </w:p>
          <w:p>
            <w:pPr>
              <w:spacing w:line="360" w:lineRule="auto"/>
              <w:contextualSpacing/>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（2）拟派人员架构合理、岗位分工较为明确合理，民族人员占比大于30%，人员考评细则较具体，考核标准较健全的得1-2分；</w:t>
            </w:r>
          </w:p>
          <w:p>
            <w:pPr>
              <w:spacing w:line="360" w:lineRule="auto"/>
              <w:contextualSpacing/>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（3）拟派人员架构分工较差或未提供的不得分。</w:t>
            </w:r>
          </w:p>
          <w:p>
            <w:pPr>
              <w:spacing w:line="460" w:lineRule="exact"/>
              <w:contextualSpacing/>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2</w:t>
            </w:r>
            <w:r>
              <w:rPr>
                <w:rFonts w:hint="eastAsia" w:ascii="宋体" w:hAnsi="宋体" w:cs="宋体"/>
                <w:b/>
                <w:bCs/>
                <w:color w:val="000000" w:themeColor="text1"/>
                <w:sz w:val="24"/>
                <w14:textFill>
                  <w14:solidFill>
                    <w14:schemeClr w14:val="tx1"/>
                  </w14:solidFill>
                </w14:textFill>
              </w:rPr>
              <w:t>、根据本项目配备人员资历情况进行综合评审（</w:t>
            </w:r>
            <w:r>
              <w:rPr>
                <w:rFonts w:hint="eastAsia" w:ascii="宋体" w:hAnsi="宋体" w:cs="宋体"/>
                <w:b/>
                <w:bCs/>
                <w:color w:val="000000" w:themeColor="text1"/>
                <w:sz w:val="24"/>
                <w:lang w:val="en-US" w:eastAsia="zh-CN"/>
                <w14:textFill>
                  <w14:solidFill>
                    <w14:schemeClr w14:val="tx1"/>
                  </w14:solidFill>
                </w14:textFill>
              </w:rPr>
              <w:t>8</w:t>
            </w:r>
            <w:r>
              <w:rPr>
                <w:rFonts w:hint="eastAsia" w:ascii="宋体" w:hAnsi="宋体" w:cs="宋体"/>
                <w:b/>
                <w:bCs/>
                <w:color w:val="000000" w:themeColor="text1"/>
                <w:sz w:val="24"/>
                <w14:textFill>
                  <w14:solidFill>
                    <w14:schemeClr w14:val="tx1"/>
                  </w14:solidFill>
                </w14:textFill>
              </w:rPr>
              <w:t>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（1）项目经理取得国家认可的相关证书（中式烹调师/营养师/中式面点师等）</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具有5年及以上食堂餐饮服务项目经理管理业绩</w:t>
            </w:r>
            <w:r>
              <w:rPr>
                <w:rFonts w:hint="eastAsia" w:ascii="宋体" w:hAnsi="宋体" w:cs="宋体"/>
                <w:color w:val="000000" w:themeColor="text1"/>
                <w:sz w:val="24"/>
                <w:lang w:val="en-US" w:eastAsia="zh-CN"/>
                <w14:textFill>
                  <w14:solidFill>
                    <w14:schemeClr w14:val="tx1"/>
                  </w14:solidFill>
                </w14:textFill>
              </w:rPr>
              <w:t>的得</w:t>
            </w:r>
            <w:r>
              <w:rPr>
                <w:rFonts w:hint="eastAsia" w:ascii="宋体" w:hAnsi="宋体" w:cs="宋体"/>
                <w:color w:val="000000" w:themeColor="text1"/>
                <w:sz w:val="24"/>
                <w14:textFill>
                  <w14:solidFill>
                    <w14:schemeClr w14:val="tx1"/>
                  </w14:solidFill>
                </w14:textFill>
              </w:rPr>
              <w:t>3分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否则不得分；</w:t>
            </w:r>
          </w:p>
          <w:p>
            <w:pPr>
              <w:spacing w:line="460" w:lineRule="exact"/>
              <w:contextualSpacing/>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（2）2名楼层主管均取得国家认可的相关证书（中式烹调师/营养师/中式面点师等），具有3年及以上同等岗位管理经验的</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每项得1分，最高得2分</w:t>
            </w:r>
            <w:r>
              <w:rPr>
                <w:rFonts w:hint="eastAsia" w:ascii="宋体" w:hAnsi="宋体" w:cs="宋体"/>
                <w:color w:val="000000" w:themeColor="text1"/>
                <w:sz w:val="24"/>
                <w:lang w:eastAsia="zh-CN"/>
                <w14:textFill>
                  <w14:solidFill>
                    <w14:schemeClr w14:val="tx1"/>
                  </w14:solidFill>
                </w14:textFill>
              </w:rPr>
              <w:t>；</w:t>
            </w:r>
          </w:p>
          <w:p>
            <w:pPr>
              <w:spacing w:line="460" w:lineRule="exact"/>
              <w:contextualSpacing/>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（3）厨师长具有三年及以上同等岗位工作经验、具有国家二级中式烹调师证，每项得</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分，最高</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分</w:t>
            </w:r>
            <w:r>
              <w:rPr>
                <w:rFonts w:hint="eastAsia" w:ascii="宋体" w:hAnsi="宋体" w:cs="宋体"/>
                <w:color w:val="000000" w:themeColor="text1"/>
                <w:sz w:val="24"/>
                <w:lang w:eastAsia="zh-CN"/>
                <w14:textFill>
                  <w14:solidFill>
                    <w14:schemeClr w14:val="tx1"/>
                  </w14:solidFill>
                </w14:textFill>
              </w:rPr>
              <w:t>；</w:t>
            </w:r>
          </w:p>
          <w:p>
            <w:pPr>
              <w:spacing w:line="460" w:lineRule="exact"/>
              <w:contextualSpacing/>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（4）质量监督管理员、仓库管理员、工程人员均具有两年以上同岗位工作经验，具有</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要求的职业证书，得</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分，否则不得分。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r>
              <w:rPr>
                <w:rFonts w:hint="eastAsia" w:ascii="宋体" w:hAnsi="宋体" w:cs="宋体"/>
                <w:color w:val="000000" w:themeColor="text1"/>
                <w:kern w:val="0"/>
                <w:sz w:val="24"/>
                <w14:textFill>
                  <w14:solidFill>
                    <w14:schemeClr w14:val="tx1"/>
                  </w14:solidFill>
                </w14:textFill>
              </w:rPr>
              <w:t>①投标文件中须提供上述人员证书复印件</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身份证复印件</w:t>
            </w:r>
            <w:r>
              <w:rPr>
                <w:rFonts w:hint="eastAsia" w:ascii="宋体" w:hAnsi="宋体" w:cs="宋体"/>
                <w:color w:val="000000" w:themeColor="text1"/>
                <w:kern w:val="0"/>
                <w:sz w:val="24"/>
                <w14:textFill>
                  <w14:solidFill>
                    <w14:schemeClr w14:val="tx1"/>
                  </w14:solidFill>
                </w14:textFill>
              </w:rPr>
              <w:t>及</w:t>
            </w:r>
            <w:r>
              <w:rPr>
                <w:rFonts w:hint="eastAsia" w:ascii="宋体" w:hAnsi="宋体" w:cs="宋体"/>
                <w:color w:val="000000" w:themeColor="text1"/>
                <w:kern w:val="0"/>
                <w:sz w:val="24"/>
                <w:lang w:eastAsia="zh-CN"/>
                <w14:textFill>
                  <w14:solidFill>
                    <w14:schemeClr w14:val="tx1"/>
                  </w14:solidFill>
                </w14:textFill>
              </w:rPr>
              <w:t>投标人</w:t>
            </w:r>
            <w:r>
              <w:rPr>
                <w:rFonts w:hint="eastAsia" w:ascii="宋体" w:hAnsi="宋体" w:cs="宋体"/>
                <w:color w:val="000000" w:themeColor="text1"/>
                <w:kern w:val="0"/>
                <w:sz w:val="24"/>
                <w14:textFill>
                  <w14:solidFill>
                    <w14:schemeClr w14:val="tx1"/>
                  </w14:solidFill>
                </w14:textFill>
              </w:rPr>
              <w:t>为其缴纳近半年内</w:t>
            </w:r>
            <w:r>
              <w:rPr>
                <w:rFonts w:hint="eastAsia" w:ascii="宋体" w:hAnsi="宋体" w:cs="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个月的社保证明材料。未提供或提供不全不得分。②投标文件中须提供中式烹调师、中式面点师、营养师、食品安全管理师证书证明。</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分</w:t>
            </w:r>
          </w:p>
        </w:tc>
      </w:tr>
      <w:tr>
        <w:tblPrEx>
          <w:tblLayout w:type="fixed"/>
          <w:tblCellMar>
            <w:top w:w="0" w:type="dxa"/>
            <w:left w:w="108" w:type="dxa"/>
            <w:bottom w:w="0" w:type="dxa"/>
            <w:right w:w="108" w:type="dxa"/>
          </w:tblCellMar>
        </w:tblPrEx>
        <w:trPr>
          <w:jc w:val="center"/>
        </w:trPr>
        <w:tc>
          <w:tcPr>
            <w:tcW w:w="1288" w:type="dxa"/>
            <w:vMerge w:val="continue"/>
            <w:tcBorders>
              <w:top w:val="single" w:color="auto" w:sz="4" w:space="0"/>
              <w:left w:val="single" w:color="auto" w:sz="4" w:space="0"/>
              <w:bottom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ascii="宋体" w:hAnsi="宋体" w:cs="宋体"/>
                <w:b/>
                <w:color w:val="000000" w:themeColor="text1"/>
                <w:sz w:val="24"/>
                <w14:textFill>
                  <w14:solidFill>
                    <w14:schemeClr w14:val="tx1"/>
                  </w14:solidFill>
                </w14:textFill>
              </w:rPr>
            </w:pPr>
          </w:p>
        </w:tc>
        <w:tc>
          <w:tcPr>
            <w:tcW w:w="1246" w:type="dxa"/>
            <w:tcBorders>
              <w:top w:val="single" w:color="000000" w:sz="4" w:space="0"/>
              <w:left w:val="single" w:color="auto"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运行管理及服务保障方案</w:t>
            </w:r>
          </w:p>
        </w:tc>
        <w:tc>
          <w:tcPr>
            <w:tcW w:w="6360"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1、根据</w:t>
            </w:r>
            <w:r>
              <w:rPr>
                <w:rFonts w:hint="eastAsia" w:ascii="宋体" w:hAnsi="宋体" w:cs="宋体"/>
                <w:b/>
                <w:bCs/>
                <w:color w:val="000000" w:themeColor="text1"/>
                <w:sz w:val="24"/>
                <w:lang w:eastAsia="zh-CN"/>
                <w14:textFill>
                  <w14:solidFill>
                    <w14:schemeClr w14:val="tx1"/>
                  </w14:solidFill>
                </w14:textFill>
              </w:rPr>
              <w:t>投标人</w:t>
            </w:r>
            <w:r>
              <w:rPr>
                <w:rFonts w:hint="eastAsia" w:ascii="宋体" w:hAnsi="宋体" w:cs="宋体"/>
                <w:b/>
                <w:bCs/>
                <w:color w:val="000000" w:themeColor="text1"/>
                <w:sz w:val="24"/>
                <w14:textFill>
                  <w14:solidFill>
                    <w14:schemeClr w14:val="tx1"/>
                  </w14:solidFill>
                </w14:textFill>
              </w:rPr>
              <w:t>提供的运行方案，从经营理念、经营措施、运行成本测算等方面进行综合评审（2分）</w:t>
            </w:r>
          </w:p>
          <w:p>
            <w:pPr>
              <w:spacing w:line="460" w:lineRule="exact"/>
              <w:contextualSpacing/>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方案对本项目运行特点、经营定位及需求理解准确，分析到位，经营理念符合招标文件要求，体现环境育人、服务育人、文化育人的功能。餐饮管理运行全过程成本测算及成本费用分析合理，能确保项目良好运转。最高得2分。</w:t>
            </w:r>
          </w:p>
          <w:p>
            <w:pPr>
              <w:spacing w:line="460" w:lineRule="exact"/>
              <w:contextualSpacing/>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2、根据</w:t>
            </w:r>
            <w:r>
              <w:rPr>
                <w:rFonts w:hint="eastAsia" w:ascii="宋体" w:hAnsi="宋体" w:cs="宋体"/>
                <w:b/>
                <w:bCs/>
                <w:color w:val="000000" w:themeColor="text1"/>
                <w:sz w:val="24"/>
                <w:lang w:eastAsia="zh-CN"/>
                <w14:textFill>
                  <w14:solidFill>
                    <w14:schemeClr w14:val="tx1"/>
                  </w14:solidFill>
                </w14:textFill>
              </w:rPr>
              <w:t>投标人</w:t>
            </w:r>
            <w:r>
              <w:rPr>
                <w:rFonts w:hint="eastAsia" w:ascii="宋体" w:hAnsi="宋体" w:cs="宋体"/>
                <w:b/>
                <w:bCs/>
                <w:color w:val="000000" w:themeColor="text1"/>
                <w:sz w:val="24"/>
                <w14:textFill>
                  <w14:solidFill>
                    <w14:schemeClr w14:val="tx1"/>
                  </w14:solidFill>
                </w14:textFill>
              </w:rPr>
              <w:t>提供的内控管理方案，从本地化服务、人员培训、公司巡检、人事考核、人员激励、经营管理等方面的贴切性、合理性、优劣性进行综合评审（4分）</w:t>
            </w:r>
          </w:p>
          <w:p>
            <w:pPr>
              <w:spacing w:line="460" w:lineRule="exact"/>
              <w:contextualSpacing/>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（1）方案对本项目管理特点及本项目对内控管理的实际需求理解准确、分析到位，能很好的发挥公司及项目团队的两级管理职能，确保食堂平稳运行的得2-4分；</w:t>
            </w:r>
          </w:p>
          <w:p>
            <w:pPr>
              <w:spacing w:line="460" w:lineRule="exact"/>
              <w:contextualSpacing/>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（2）方案较为贴切合理，能较好的发挥公司及项目团队的两级管理职能的得1-2分；</w:t>
            </w:r>
          </w:p>
          <w:p>
            <w:pPr>
              <w:spacing w:line="460" w:lineRule="exact"/>
              <w:contextualSpacing/>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方案较差得0-1分；未提供的不得分。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3、根据</w:t>
            </w:r>
            <w:r>
              <w:rPr>
                <w:rFonts w:hint="eastAsia" w:ascii="宋体" w:hAnsi="宋体" w:cs="宋体"/>
                <w:b/>
                <w:bCs/>
                <w:color w:val="000000" w:themeColor="text1"/>
                <w:sz w:val="24"/>
                <w:lang w:eastAsia="zh-CN"/>
                <w14:textFill>
                  <w14:solidFill>
                    <w14:schemeClr w14:val="tx1"/>
                  </w14:solidFill>
                </w14:textFill>
              </w:rPr>
              <w:t>投标人</w:t>
            </w:r>
            <w:r>
              <w:rPr>
                <w:rFonts w:hint="eastAsia" w:ascii="宋体" w:hAnsi="宋体" w:cs="宋体"/>
                <w:b/>
                <w:bCs/>
                <w:color w:val="000000" w:themeColor="text1"/>
                <w:sz w:val="24"/>
                <w14:textFill>
                  <w14:solidFill>
                    <w14:schemeClr w14:val="tx1"/>
                  </w14:solidFill>
                </w14:textFill>
              </w:rPr>
              <w:t>提供的产品结构布局方案，从窗口设置、饭菜价格、伙食质量等方面进行综合评审（5分）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（1）方案符合本项目要求，窗口设备、产品布局合理，自营窗口占比超过30%，菜品成本核算符合毛利率要求</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菜品价格体现公益性原则，菜品</w:t>
            </w:r>
            <w:r>
              <w:rPr>
                <w:rFonts w:ascii="宋体" w:hAnsi="宋体" w:cs="宋体"/>
                <w:color w:val="000000" w:themeColor="text1"/>
                <w:sz w:val="24"/>
                <w14:textFill>
                  <w14:solidFill>
                    <w14:schemeClr w14:val="tx1"/>
                  </w14:solidFill>
                </w14:textFill>
              </w:rPr>
              <w:t>种</w:t>
            </w:r>
            <w:r>
              <w:rPr>
                <w:rFonts w:hint="eastAsia" w:ascii="宋体" w:hAnsi="宋体" w:cs="宋体"/>
                <w:color w:val="000000" w:themeColor="text1"/>
                <w:sz w:val="24"/>
                <w14:textFill>
                  <w14:solidFill>
                    <w14:schemeClr w14:val="tx1"/>
                  </w14:solidFill>
                </w14:textFill>
              </w:rPr>
              <w:t>类丰富</w:t>
            </w:r>
            <w:r>
              <w:rPr>
                <w:rFonts w:ascii="宋体" w:hAnsi="宋体" w:cs="宋体"/>
                <w:color w:val="000000" w:themeColor="text1"/>
                <w:sz w:val="24"/>
                <w14:textFill>
                  <w14:solidFill>
                    <w14:schemeClr w14:val="tx1"/>
                  </w14:solidFill>
                </w14:textFill>
              </w:rPr>
              <w:t>、营养搭配</w:t>
            </w:r>
            <w:r>
              <w:rPr>
                <w:rFonts w:hint="eastAsia" w:ascii="宋体" w:hAnsi="宋体" w:cs="宋体"/>
                <w:color w:val="000000" w:themeColor="text1"/>
                <w:sz w:val="24"/>
                <w14:textFill>
                  <w14:solidFill>
                    <w14:schemeClr w14:val="tx1"/>
                  </w14:solidFill>
                </w14:textFill>
              </w:rPr>
              <w:t>合理、体现地方特色餐饮文化的得3</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5分；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（2）方案基本符合本项目要求，窗口设置较为合理、菜品价格较能体现公益性，菜品种类较丰富的得1</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3分；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（3）方案较差得0-1分；未提供的不得分。</w:t>
            </w:r>
          </w:p>
          <w:p>
            <w:pPr>
              <w:spacing w:line="460" w:lineRule="exact"/>
              <w:contextualSpacing/>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4、根据</w:t>
            </w:r>
            <w:r>
              <w:rPr>
                <w:rFonts w:hint="eastAsia" w:ascii="宋体" w:hAnsi="宋体" w:cs="宋体"/>
                <w:b/>
                <w:bCs/>
                <w:color w:val="000000" w:themeColor="text1"/>
                <w:sz w:val="24"/>
                <w:lang w:eastAsia="zh-CN"/>
                <w14:textFill>
                  <w14:solidFill>
                    <w14:schemeClr w14:val="tx1"/>
                  </w14:solidFill>
                </w14:textFill>
              </w:rPr>
              <w:t>投标人</w:t>
            </w:r>
            <w:r>
              <w:rPr>
                <w:rFonts w:hint="eastAsia" w:ascii="宋体" w:hAnsi="宋体" w:cs="宋体"/>
                <w:b/>
                <w:bCs/>
                <w:color w:val="000000" w:themeColor="text1"/>
                <w:sz w:val="24"/>
                <w14:textFill>
                  <w14:solidFill>
                    <w14:schemeClr w14:val="tx1"/>
                  </w14:solidFill>
                </w14:textFill>
              </w:rPr>
              <w:t>提供的供餐保障方案，从基本大伙保障、风味小吃保障、延伸服务保障等方面进行综合评审（5分）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方案体现本项目供餐保障的特点，贴切合理，很好的保障低价早餐、低价套餐、基本大伙就餐需求及多元化就餐需求，体现食堂公益性原则；很好的满足师生应急就餐及夜宵就餐需求，各类活动创新性强的得3-5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（2）方案较为贴切合理，能较好的保障基本大伙就餐需求及多元化就餐需求，较好的满足师生应急就餐及夜宵就餐需求，各类活动创新性较强的1-3分；</w:t>
            </w:r>
          </w:p>
          <w:p>
            <w:pPr>
              <w:spacing w:line="460" w:lineRule="exact"/>
              <w:contextualSpacing/>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（3）方案较差得0-1分；未提供的不得分。</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16分</w:t>
            </w:r>
          </w:p>
        </w:tc>
      </w:tr>
      <w:tr>
        <w:tblPrEx>
          <w:tblLayout w:type="fixed"/>
          <w:tblCellMar>
            <w:top w:w="0" w:type="dxa"/>
            <w:left w:w="108" w:type="dxa"/>
            <w:bottom w:w="0" w:type="dxa"/>
            <w:right w:w="108" w:type="dxa"/>
          </w:tblCellMar>
        </w:tblPrEx>
        <w:trPr>
          <w:trHeight w:val="90" w:hRule="atLeast"/>
          <w:jc w:val="center"/>
        </w:trPr>
        <w:tc>
          <w:tcPr>
            <w:tcW w:w="1288" w:type="dxa"/>
            <w:vMerge w:val="continue"/>
            <w:tcBorders>
              <w:top w:val="single" w:color="auto" w:sz="4" w:space="0"/>
              <w:left w:val="single" w:color="auto" w:sz="4" w:space="0"/>
              <w:bottom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p>
        </w:tc>
        <w:tc>
          <w:tcPr>
            <w:tcW w:w="1246" w:type="dxa"/>
            <w:tcBorders>
              <w:top w:val="single" w:color="000000" w:sz="4" w:space="0"/>
              <w:left w:val="single" w:color="auto"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服务及食品质量管理控制</w:t>
            </w:r>
          </w:p>
        </w:tc>
        <w:tc>
          <w:tcPr>
            <w:tcW w:w="6360"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1、根据</w:t>
            </w:r>
            <w:r>
              <w:rPr>
                <w:rFonts w:hint="eastAsia" w:ascii="宋体" w:hAnsi="宋体" w:cs="宋体"/>
                <w:b/>
                <w:bCs/>
                <w:color w:val="000000" w:themeColor="text1"/>
                <w:sz w:val="24"/>
                <w:lang w:eastAsia="zh-CN"/>
                <w14:textFill>
                  <w14:solidFill>
                    <w14:schemeClr w14:val="tx1"/>
                  </w14:solidFill>
                </w14:textFill>
              </w:rPr>
              <w:t>投标人</w:t>
            </w:r>
            <w:r>
              <w:rPr>
                <w:rFonts w:hint="eastAsia" w:ascii="宋体" w:hAnsi="宋体" w:cs="宋体"/>
                <w:b/>
                <w:bCs/>
                <w:color w:val="000000" w:themeColor="text1"/>
                <w:sz w:val="24"/>
                <w14:textFill>
                  <w14:solidFill>
                    <w14:schemeClr w14:val="tx1"/>
                  </w14:solidFill>
                </w14:textFill>
              </w:rPr>
              <w:t>提供的《服务及食品质量管理控制方案》，从原材料采购、食品生产加工等方面进行综合评审（6分）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（1）方案体现本项目服务特点，贴切合理，能很好的对原材料采购贮存、食品加工生产环节进行管控，确保食品安全质量的得4</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6分；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（2）方案较为贴切合理，能较好的对原材料采购贮存、食品加工生产环节进行管控的得1-4分；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（3）方案较差得0-1分；未提供的不得分。</w:t>
            </w:r>
          </w:p>
          <w:p>
            <w:pPr>
              <w:spacing w:line="460" w:lineRule="exact"/>
              <w:contextualSpacing/>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2、根据</w:t>
            </w:r>
            <w:r>
              <w:rPr>
                <w:rFonts w:hint="eastAsia" w:ascii="宋体" w:hAnsi="宋体" w:cs="宋体"/>
                <w:b/>
                <w:bCs/>
                <w:color w:val="000000" w:themeColor="text1"/>
                <w:sz w:val="24"/>
                <w:lang w:eastAsia="zh-CN"/>
                <w14:textFill>
                  <w14:solidFill>
                    <w14:schemeClr w14:val="tx1"/>
                  </w14:solidFill>
                </w14:textFill>
              </w:rPr>
              <w:t>投标人</w:t>
            </w:r>
            <w:r>
              <w:rPr>
                <w:rFonts w:hint="eastAsia" w:ascii="宋体" w:hAnsi="宋体" w:cs="宋体"/>
                <w:b/>
                <w:bCs/>
                <w:color w:val="000000" w:themeColor="text1"/>
                <w:sz w:val="24"/>
                <w14:textFill>
                  <w14:solidFill>
                    <w14:schemeClr w14:val="tx1"/>
                  </w14:solidFill>
                </w14:textFill>
              </w:rPr>
              <w:t>提供的《服务及食品质量管理控制方案》，从基本大伙、风味小吃、接待用餐服务质量控制，学生投诉处理等方面进行综合评审（6分）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（1）方案体现本项目服务特点，贴切合理，承诺为师生堂食、打包、接待用餐等提供服务的得4</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6分；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（2）方案较为贴切，管理制度较完善，流程较规范，承诺为师生堂食、打包、接待用餐等提供服务的得1-4分；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（3）方案较差得0-1分；未提供的不得分。</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12分</w:t>
            </w:r>
          </w:p>
        </w:tc>
      </w:tr>
      <w:tr>
        <w:tblPrEx>
          <w:tblLayout w:type="fixed"/>
          <w:tblCellMar>
            <w:top w:w="0" w:type="dxa"/>
            <w:left w:w="108" w:type="dxa"/>
            <w:bottom w:w="0" w:type="dxa"/>
            <w:right w:w="108" w:type="dxa"/>
          </w:tblCellMar>
        </w:tblPrEx>
        <w:trPr>
          <w:trHeight w:val="90" w:hRule="atLeast"/>
          <w:jc w:val="center"/>
        </w:trPr>
        <w:tc>
          <w:tcPr>
            <w:tcW w:w="1288" w:type="dxa"/>
            <w:vMerge w:val="continue"/>
            <w:tcBorders>
              <w:top w:val="single" w:color="auto" w:sz="4" w:space="0"/>
              <w:left w:val="single" w:color="auto" w:sz="4" w:space="0"/>
              <w:bottom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p>
        </w:tc>
        <w:tc>
          <w:tcPr>
            <w:tcW w:w="1246" w:type="dxa"/>
            <w:tcBorders>
              <w:top w:val="single" w:color="000000" w:sz="4" w:space="0"/>
              <w:left w:val="single" w:color="auto"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安全及卫生管理控制方案</w:t>
            </w:r>
          </w:p>
        </w:tc>
        <w:tc>
          <w:tcPr>
            <w:tcW w:w="6360"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1、根据</w:t>
            </w:r>
            <w:r>
              <w:rPr>
                <w:rFonts w:hint="eastAsia" w:ascii="宋体" w:hAnsi="宋体" w:cs="宋体"/>
                <w:b/>
                <w:bCs/>
                <w:color w:val="000000" w:themeColor="text1"/>
                <w:sz w:val="24"/>
                <w:lang w:eastAsia="zh-CN"/>
                <w14:textFill>
                  <w14:solidFill>
                    <w14:schemeClr w14:val="tx1"/>
                  </w14:solidFill>
                </w14:textFill>
              </w:rPr>
              <w:t>投标人</w:t>
            </w:r>
            <w:r>
              <w:rPr>
                <w:rFonts w:hint="eastAsia" w:ascii="宋体" w:hAnsi="宋体" w:cs="宋体"/>
                <w:b/>
                <w:bCs/>
                <w:color w:val="000000" w:themeColor="text1"/>
                <w:sz w:val="24"/>
                <w14:textFill>
                  <w14:solidFill>
                    <w14:schemeClr w14:val="tx1"/>
                  </w14:solidFill>
                </w14:textFill>
              </w:rPr>
              <w:t>提供的《安全及卫生管理控制方案》，从环境卫生、餐用具卫生控制方面进行综合评审（6分）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（1）方案贴切合理，</w:t>
            </w:r>
            <w:r>
              <w:rPr>
                <w:rFonts w:ascii="宋体" w:hAnsi="宋体" w:cs="宋体"/>
                <w:color w:val="000000" w:themeColor="text1"/>
                <w:sz w:val="24"/>
                <w14:textFill>
                  <w14:solidFill>
                    <w14:schemeClr w14:val="tx1"/>
                  </w14:solidFill>
                </w14:textFill>
              </w:rPr>
              <w:t>对餐饮用品、清洁材料</w:t>
            </w:r>
            <w:r>
              <w:rPr>
                <w:rFonts w:hint="eastAsia" w:ascii="宋体" w:hAnsi="宋体" w:cs="宋体"/>
                <w:color w:val="000000" w:themeColor="text1"/>
                <w:sz w:val="24"/>
                <w14:textFill>
                  <w14:solidFill>
                    <w14:schemeClr w14:val="tx1"/>
                  </w14:solidFill>
                </w14:textFill>
              </w:rPr>
              <w:t>环境卫生等有严格的质量标准、考核办法，能很好保证食堂内部环境卫生条件及餐用具卫生条件的得4</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6分；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（2）方案较为贴切合理，</w:t>
            </w:r>
            <w:r>
              <w:rPr>
                <w:rFonts w:ascii="宋体" w:hAnsi="宋体" w:cs="宋体"/>
                <w:color w:val="000000" w:themeColor="text1"/>
                <w:sz w:val="24"/>
                <w14:textFill>
                  <w14:solidFill>
                    <w14:schemeClr w14:val="tx1"/>
                  </w14:solidFill>
                </w14:textFill>
              </w:rPr>
              <w:t>对餐饮用品、清洁材料</w:t>
            </w:r>
            <w:r>
              <w:rPr>
                <w:rFonts w:hint="eastAsia" w:ascii="宋体" w:hAnsi="宋体" w:cs="宋体"/>
                <w:color w:val="000000" w:themeColor="text1"/>
                <w:sz w:val="24"/>
                <w14:textFill>
                  <w14:solidFill>
                    <w14:schemeClr w14:val="tx1"/>
                  </w14:solidFill>
                </w14:textFill>
              </w:rPr>
              <w:t>环境卫生等有较严格的质量标准、考核办法，能较好保证食堂内部环境卫生条件及餐用具卫生条件的得1-4分；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（3）方案较差得0-1分；未提供的不得分。</w:t>
            </w:r>
          </w:p>
          <w:p>
            <w:pPr>
              <w:spacing w:line="460" w:lineRule="exact"/>
              <w:contextualSpacing/>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2、根据</w:t>
            </w:r>
            <w:r>
              <w:rPr>
                <w:rFonts w:hint="eastAsia" w:ascii="宋体" w:hAnsi="宋体" w:cs="宋体"/>
                <w:b/>
                <w:bCs/>
                <w:color w:val="000000" w:themeColor="text1"/>
                <w:sz w:val="24"/>
                <w:lang w:eastAsia="zh-CN"/>
                <w14:textFill>
                  <w14:solidFill>
                    <w14:schemeClr w14:val="tx1"/>
                  </w14:solidFill>
                </w14:textFill>
              </w:rPr>
              <w:t>投标人</w:t>
            </w:r>
            <w:r>
              <w:rPr>
                <w:rFonts w:hint="eastAsia" w:ascii="宋体" w:hAnsi="宋体" w:cs="宋体"/>
                <w:b/>
                <w:bCs/>
                <w:color w:val="000000" w:themeColor="text1"/>
                <w:sz w:val="24"/>
                <w14:textFill>
                  <w14:solidFill>
                    <w14:schemeClr w14:val="tx1"/>
                  </w14:solidFill>
                </w14:textFill>
              </w:rPr>
              <w:t>提供的《安全及卫生管理控制方案》，从安全管理方面进行综合评审（6分）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（1）方案</w:t>
            </w:r>
            <w:r>
              <w:rPr>
                <w:rFonts w:hint="eastAsia" w:ascii="宋体" w:hAnsi="宋体"/>
                <w:color w:val="000000" w:themeColor="text1"/>
                <w:sz w:val="24"/>
                <w14:textFill>
                  <w14:solidFill>
                    <w14:schemeClr w14:val="tx1"/>
                  </w14:solidFill>
                </w14:textFill>
              </w:rPr>
              <w:t>细致合理、针对性强，</w:t>
            </w:r>
            <w:r>
              <w:rPr>
                <w:rFonts w:hint="eastAsia" w:ascii="宋体" w:hAnsi="宋体" w:cs="宋体"/>
                <w:color w:val="000000" w:themeColor="text1"/>
                <w:sz w:val="24"/>
                <w14:textFill>
                  <w14:solidFill>
                    <w14:schemeClr w14:val="tx1"/>
                  </w14:solidFill>
                </w14:textFill>
              </w:rPr>
              <w:t>能很好保证食堂安全生产，得4</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6分；</w:t>
            </w:r>
          </w:p>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（2）方案较</w:t>
            </w:r>
            <w:r>
              <w:rPr>
                <w:rFonts w:hint="eastAsia" w:ascii="宋体" w:hAnsi="宋体"/>
                <w:color w:val="000000" w:themeColor="text1"/>
                <w:sz w:val="24"/>
                <w14:textFill>
                  <w14:solidFill>
                    <w14:schemeClr w14:val="tx1"/>
                  </w14:solidFill>
                </w14:textFill>
              </w:rPr>
              <w:t>细致合理、针对性较强，</w:t>
            </w:r>
            <w:r>
              <w:rPr>
                <w:rFonts w:hint="eastAsia" w:ascii="宋体" w:hAnsi="宋体" w:cs="宋体"/>
                <w:color w:val="000000" w:themeColor="text1"/>
                <w:sz w:val="24"/>
                <w14:textFill>
                  <w14:solidFill>
                    <w14:schemeClr w14:val="tx1"/>
                  </w14:solidFill>
                </w14:textFill>
              </w:rPr>
              <w:t>能较好保证食堂安全生产，得1</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4分；</w:t>
            </w:r>
          </w:p>
          <w:p>
            <w:pPr>
              <w:spacing w:line="460" w:lineRule="exact"/>
              <w:contextualSpacing/>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（3）方案较差得0-1分；未提供的不得分。</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12分</w:t>
            </w:r>
          </w:p>
        </w:tc>
      </w:tr>
      <w:tr>
        <w:tblPrEx>
          <w:tblLayout w:type="fixed"/>
          <w:tblCellMar>
            <w:top w:w="0" w:type="dxa"/>
            <w:left w:w="108" w:type="dxa"/>
            <w:bottom w:w="0" w:type="dxa"/>
            <w:right w:w="108" w:type="dxa"/>
          </w:tblCellMar>
        </w:tblPrEx>
        <w:trPr>
          <w:trHeight w:val="465" w:hRule="atLeast"/>
          <w:jc w:val="center"/>
        </w:trPr>
        <w:tc>
          <w:tcPr>
            <w:tcW w:w="1288" w:type="dxa"/>
            <w:vMerge w:val="continue"/>
            <w:tcBorders>
              <w:top w:val="single" w:color="auto" w:sz="4" w:space="0"/>
              <w:left w:val="single" w:color="auto" w:sz="4" w:space="0"/>
              <w:bottom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p>
        </w:tc>
        <w:tc>
          <w:tcPr>
            <w:tcW w:w="1246" w:type="dxa"/>
            <w:tcBorders>
              <w:top w:val="single" w:color="000000" w:sz="4" w:space="0"/>
              <w:left w:val="single" w:color="auto"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其他管理控制方案</w:t>
            </w:r>
          </w:p>
        </w:tc>
        <w:tc>
          <w:tcPr>
            <w:tcW w:w="6360"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eastAsia="zh-CN"/>
                <w14:textFill>
                  <w14:solidFill>
                    <w14:schemeClr w14:val="tx1"/>
                  </w14:solidFill>
                </w14:textFill>
              </w:rPr>
              <w:t>投标人</w:t>
            </w:r>
            <w:r>
              <w:rPr>
                <w:rFonts w:hint="eastAsia" w:ascii="宋体" w:hAnsi="宋体" w:cs="宋体"/>
                <w:b/>
                <w:bCs/>
                <w:color w:val="000000" w:themeColor="text1"/>
                <w:sz w:val="24"/>
                <w14:textFill>
                  <w14:solidFill>
                    <w14:schemeClr w14:val="tx1"/>
                  </w14:solidFill>
                </w14:textFill>
              </w:rPr>
              <w:t>根据本项目情况制定其他管理控制方案：</w:t>
            </w:r>
          </w:p>
          <w:p>
            <w:pPr>
              <w:numPr>
                <w:ilvl w:val="0"/>
                <w:numId w:val="4"/>
              </w:numPr>
              <w:spacing w:line="460" w:lineRule="exact"/>
              <w:contextualSpacing/>
              <w:rPr>
                <w:rFonts w:ascii="宋体" w:hAnsi="宋体" w:cs="宋体"/>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原材料采购管理方案</w:t>
            </w:r>
            <w:r>
              <w:rPr>
                <w:rFonts w:hint="eastAsia" w:ascii="宋体" w:hAnsi="宋体" w:cs="宋体"/>
                <w:b/>
                <w:bCs/>
                <w:color w:val="000000" w:themeColor="text1"/>
                <w:sz w:val="24"/>
                <w14:textFill>
                  <w14:solidFill>
                    <w14:schemeClr w14:val="tx1"/>
                  </w14:solidFill>
                </w14:textFill>
              </w:rPr>
              <w:t>及应急物资贮备方案</w:t>
            </w:r>
            <w:r>
              <w:rPr>
                <w:rFonts w:ascii="宋体" w:hAnsi="宋体" w:cs="宋体"/>
                <w:color w:val="000000" w:themeColor="text1"/>
                <w:sz w:val="24"/>
                <w14:textFill>
                  <w14:solidFill>
                    <w14:schemeClr w14:val="tx1"/>
                  </w14:solidFill>
                </w14:textFill>
              </w:rPr>
              <w:t>切实可行，符合本项目的要求，根据响应情况</w:t>
            </w:r>
            <w:r>
              <w:rPr>
                <w:rFonts w:hint="eastAsia" w:ascii="宋体" w:hAnsi="宋体" w:cs="宋体"/>
                <w:color w:val="000000" w:themeColor="text1"/>
                <w:sz w:val="24"/>
                <w14:textFill>
                  <w14:solidFill>
                    <w14:schemeClr w14:val="tx1"/>
                  </w14:solidFill>
                </w14:textFill>
              </w:rPr>
              <w:t>最高得2</w:t>
            </w:r>
            <w:r>
              <w:rPr>
                <w:rFonts w:ascii="宋体" w:hAnsi="宋体" w:cs="宋体"/>
                <w:color w:val="000000" w:themeColor="text1"/>
                <w:sz w:val="24"/>
                <w14:textFill>
                  <w14:solidFill>
                    <w14:schemeClr w14:val="tx1"/>
                  </w14:solidFill>
                </w14:textFill>
              </w:rPr>
              <w:t>分。</w:t>
            </w:r>
          </w:p>
          <w:p>
            <w:pPr>
              <w:numPr>
                <w:ilvl w:val="0"/>
                <w:numId w:val="4"/>
              </w:num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固定资产管理方案</w:t>
            </w:r>
            <w:r>
              <w:rPr>
                <w:rFonts w:hint="eastAsia" w:ascii="宋体" w:hAnsi="宋体" w:cs="宋体"/>
                <w:color w:val="000000" w:themeColor="text1"/>
                <w:sz w:val="24"/>
                <w14:textFill>
                  <w14:solidFill>
                    <w14:schemeClr w14:val="tx1"/>
                  </w14:solidFill>
                </w14:textFill>
              </w:rPr>
              <w:t>包含但不限于对固定资产的管理维护内容、标准、频次、措施等方面，方案合理可行，</w:t>
            </w:r>
            <w:r>
              <w:rPr>
                <w:rFonts w:ascii="宋体" w:hAnsi="宋体" w:cs="宋体"/>
                <w:color w:val="000000" w:themeColor="text1"/>
                <w:sz w:val="24"/>
                <w14:textFill>
                  <w14:solidFill>
                    <w14:schemeClr w14:val="tx1"/>
                  </w14:solidFill>
                </w14:textFill>
              </w:rPr>
              <w:t>根据响应情况</w:t>
            </w:r>
            <w:r>
              <w:rPr>
                <w:rFonts w:hint="eastAsia" w:ascii="宋体" w:hAnsi="宋体" w:cs="宋体"/>
                <w:color w:val="000000" w:themeColor="text1"/>
                <w:sz w:val="24"/>
                <w14:textFill>
                  <w14:solidFill>
                    <w14:schemeClr w14:val="tx1"/>
                  </w14:solidFill>
                </w14:textFill>
              </w:rPr>
              <w:t>最高得2</w:t>
            </w:r>
            <w:r>
              <w:rPr>
                <w:rFonts w:ascii="宋体" w:hAnsi="宋体" w:cs="宋体"/>
                <w:color w:val="000000" w:themeColor="text1"/>
                <w:sz w:val="24"/>
                <w14:textFill>
                  <w14:solidFill>
                    <w14:schemeClr w14:val="tx1"/>
                  </w14:solidFill>
                </w14:textFill>
              </w:rPr>
              <w:t>分。</w:t>
            </w:r>
          </w:p>
          <w:p>
            <w:pPr>
              <w:numPr>
                <w:ilvl w:val="0"/>
                <w:numId w:val="4"/>
              </w:num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疫情保障运行方案</w:t>
            </w:r>
            <w:r>
              <w:rPr>
                <w:rFonts w:hint="eastAsia" w:ascii="宋体" w:hAnsi="宋体" w:cs="宋体"/>
                <w:color w:val="000000" w:themeColor="text1"/>
                <w:sz w:val="24"/>
                <w14:textFill>
                  <w14:solidFill>
                    <w14:schemeClr w14:val="tx1"/>
                  </w14:solidFill>
                </w14:textFill>
              </w:rPr>
              <w:t>包含但不限于防疫总体预案、人员健康管理、环境卫生消杀、物资贮备、运行保障措施、特殊人员处理等方面。</w:t>
            </w:r>
            <w:r>
              <w:rPr>
                <w:rFonts w:ascii="宋体" w:hAnsi="宋体" w:cs="宋体"/>
                <w:color w:val="000000" w:themeColor="text1"/>
                <w:sz w:val="24"/>
                <w14:textFill>
                  <w14:solidFill>
                    <w14:schemeClr w14:val="tx1"/>
                  </w14:solidFill>
                </w14:textFill>
              </w:rPr>
              <w:t>根据响应情况</w:t>
            </w:r>
            <w:r>
              <w:rPr>
                <w:rFonts w:hint="eastAsia" w:ascii="宋体" w:hAnsi="宋体" w:cs="宋体"/>
                <w:color w:val="000000" w:themeColor="text1"/>
                <w:sz w:val="24"/>
                <w14:textFill>
                  <w14:solidFill>
                    <w14:schemeClr w14:val="tx1"/>
                  </w14:solidFill>
                </w14:textFill>
              </w:rPr>
              <w:t>最高得2</w:t>
            </w:r>
            <w:r>
              <w:rPr>
                <w:rFonts w:ascii="宋体" w:hAnsi="宋体" w:cs="宋体"/>
                <w:color w:val="000000" w:themeColor="text1"/>
                <w:sz w:val="24"/>
                <w14:textFill>
                  <w14:solidFill>
                    <w14:schemeClr w14:val="tx1"/>
                  </w14:solidFill>
                </w14:textFill>
              </w:rPr>
              <w:t>分。</w:t>
            </w:r>
          </w:p>
          <w:p>
            <w:pPr>
              <w:spacing w:line="460" w:lineRule="exact"/>
              <w:contextualSpacing/>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b/>
                <w:bCs/>
                <w:color w:val="000000" w:themeColor="text1"/>
                <w:sz w:val="24"/>
                <w14:textFill>
                  <w14:solidFill>
                    <w14:schemeClr w14:val="tx1"/>
                  </w14:solidFill>
                </w14:textFill>
              </w:rPr>
              <w:t>节能方案</w:t>
            </w:r>
            <w:r>
              <w:rPr>
                <w:rFonts w:hint="eastAsia" w:ascii="宋体" w:hAnsi="宋体" w:cs="宋体"/>
                <w:color w:val="000000" w:themeColor="text1"/>
                <w:sz w:val="24"/>
                <w14:textFill>
                  <w14:solidFill>
                    <w14:schemeClr w14:val="tx1"/>
                  </w14:solidFill>
                </w14:textFill>
              </w:rPr>
              <w:t>包含但不限于节约能源、资源、原材料、生产耗材等方面。</w:t>
            </w:r>
            <w:r>
              <w:rPr>
                <w:rFonts w:ascii="宋体" w:hAnsi="宋体" w:cs="宋体"/>
                <w:color w:val="000000" w:themeColor="text1"/>
                <w:sz w:val="24"/>
                <w14:textFill>
                  <w14:solidFill>
                    <w14:schemeClr w14:val="tx1"/>
                  </w14:solidFill>
                </w14:textFill>
              </w:rPr>
              <w:t>根据响应情况</w:t>
            </w:r>
            <w:r>
              <w:rPr>
                <w:rFonts w:hint="eastAsia" w:ascii="宋体" w:hAnsi="宋体" w:cs="宋体"/>
                <w:color w:val="000000" w:themeColor="text1"/>
                <w:sz w:val="24"/>
                <w14:textFill>
                  <w14:solidFill>
                    <w14:schemeClr w14:val="tx1"/>
                  </w14:solidFill>
                </w14:textFill>
              </w:rPr>
              <w:t>最高得</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 xml:space="preserve"> 分。</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8分</w:t>
            </w:r>
          </w:p>
        </w:tc>
      </w:tr>
      <w:tr>
        <w:tblPrEx>
          <w:tblLayout w:type="fixed"/>
          <w:tblCellMar>
            <w:top w:w="0" w:type="dxa"/>
            <w:left w:w="108" w:type="dxa"/>
            <w:bottom w:w="0" w:type="dxa"/>
            <w:right w:w="108" w:type="dxa"/>
          </w:tblCellMar>
        </w:tblPrEx>
        <w:trPr>
          <w:trHeight w:val="1075" w:hRule="atLeast"/>
          <w:jc w:val="center"/>
        </w:trPr>
        <w:tc>
          <w:tcPr>
            <w:tcW w:w="1288" w:type="dxa"/>
            <w:tcBorders>
              <w:top w:val="single" w:color="auto" w:sz="4" w:space="0"/>
              <w:left w:val="single" w:color="auto" w:sz="4" w:space="0"/>
              <w:bottom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p>
        </w:tc>
        <w:tc>
          <w:tcPr>
            <w:tcW w:w="1246" w:type="dxa"/>
            <w:tcBorders>
              <w:top w:val="single" w:color="000000" w:sz="4" w:space="0"/>
              <w:left w:val="single" w:color="auto"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应急预案</w:t>
            </w:r>
          </w:p>
        </w:tc>
        <w:tc>
          <w:tcPr>
            <w:tcW w:w="6360"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应急预案</w:t>
            </w:r>
            <w:r>
              <w:rPr>
                <w:rFonts w:hint="eastAsia" w:ascii="宋体" w:hAnsi="宋体" w:cs="宋体"/>
                <w:color w:val="000000" w:themeColor="text1"/>
                <w:sz w:val="24"/>
                <w14:textFill>
                  <w14:solidFill>
                    <w14:schemeClr w14:val="tx1"/>
                  </w14:solidFill>
                </w14:textFill>
              </w:rPr>
              <w:t>包含但不限于突发公共卫生事件、餐饮舆情、自然灾害、工伤事故、消防事故、停水停电停气等特殊情况处理。根据预案可行性综合评审，最高得2分。</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2分</w:t>
            </w:r>
          </w:p>
        </w:tc>
      </w:tr>
      <w:tr>
        <w:tblPrEx>
          <w:tblLayout w:type="fixed"/>
          <w:tblCellMar>
            <w:top w:w="0" w:type="dxa"/>
            <w:left w:w="108" w:type="dxa"/>
            <w:bottom w:w="0" w:type="dxa"/>
            <w:right w:w="108" w:type="dxa"/>
          </w:tblCellMar>
        </w:tblPrEx>
        <w:trPr>
          <w:trHeight w:val="1075" w:hRule="atLeast"/>
          <w:jc w:val="center"/>
        </w:trPr>
        <w:tc>
          <w:tcPr>
            <w:tcW w:w="1288" w:type="dxa"/>
            <w:tcBorders>
              <w:top w:val="single" w:color="auto" w:sz="4" w:space="0"/>
              <w:left w:val="single" w:color="auto" w:sz="4" w:space="0"/>
              <w:bottom w:val="single" w:color="auto" w:sz="4" w:space="0"/>
              <w:right w:val="single" w:color="auto"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p>
        </w:tc>
        <w:tc>
          <w:tcPr>
            <w:tcW w:w="1246" w:type="dxa"/>
            <w:tcBorders>
              <w:top w:val="single" w:color="000000" w:sz="4" w:space="0"/>
              <w:left w:val="single" w:color="auto"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服务承诺</w:t>
            </w:r>
          </w:p>
        </w:tc>
        <w:tc>
          <w:tcPr>
            <w:tcW w:w="6360"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rPr>
                <w:rFonts w:ascii="宋体" w:hAnsi="宋体" w:cs="宋体"/>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服务承诺及保障措施</w:t>
            </w:r>
            <w:r>
              <w:rPr>
                <w:rFonts w:ascii="宋体" w:hAnsi="宋体" w:cs="宋体"/>
                <w:color w:val="000000" w:themeColor="text1"/>
                <w:sz w:val="24"/>
                <w14:textFill>
                  <w14:solidFill>
                    <w14:schemeClr w14:val="tx1"/>
                  </w14:solidFill>
                </w14:textFill>
              </w:rPr>
              <w:t>包含</w:t>
            </w:r>
            <w:r>
              <w:rPr>
                <w:rFonts w:hint="eastAsia" w:ascii="宋体" w:hAnsi="宋体" w:cs="宋体"/>
                <w:color w:val="000000" w:themeColor="text1"/>
                <w:sz w:val="24"/>
                <w14:textFill>
                  <w14:solidFill>
                    <w14:schemeClr w14:val="tx1"/>
                  </w14:solidFill>
                </w14:textFill>
              </w:rPr>
              <w:t>但不限于安全、保障、稳定、服务、采购、应急物资贮备、</w:t>
            </w:r>
            <w:r>
              <w:rPr>
                <w:rFonts w:ascii="宋体" w:hAnsi="宋体" w:cs="宋体"/>
                <w:color w:val="000000" w:themeColor="text1"/>
                <w:sz w:val="24"/>
                <w14:textFill>
                  <w14:solidFill>
                    <w14:schemeClr w14:val="tx1"/>
                  </w14:solidFill>
                </w14:textFill>
              </w:rPr>
              <w:t>服务育人功能的发挥</w:t>
            </w:r>
            <w:r>
              <w:rPr>
                <w:rFonts w:hint="eastAsia" w:ascii="宋体" w:hAnsi="宋体" w:cs="宋体"/>
                <w:color w:val="000000" w:themeColor="text1"/>
                <w:sz w:val="24"/>
                <w14:textFill>
                  <w14:solidFill>
                    <w14:schemeClr w14:val="tx1"/>
                  </w14:solidFill>
                </w14:textFill>
              </w:rPr>
              <w:t>等方面的相关承诺、支持力度、优惠条件，实质性响应内容的承诺，开餐时间的承诺，安全风险承诺等。根据承诺的可信性及可行性综合评审，最高得3分。</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3分</w:t>
            </w:r>
          </w:p>
        </w:tc>
      </w:tr>
      <w:tr>
        <w:tblPrEx>
          <w:tblLayout w:type="fixed"/>
          <w:tblCellMar>
            <w:top w:w="0" w:type="dxa"/>
            <w:left w:w="108" w:type="dxa"/>
            <w:bottom w:w="0" w:type="dxa"/>
            <w:right w:w="108" w:type="dxa"/>
          </w:tblCellMar>
        </w:tblPrEx>
        <w:trPr>
          <w:trHeight w:val="720" w:hRule="atLeast"/>
          <w:jc w:val="center"/>
        </w:trPr>
        <w:tc>
          <w:tcPr>
            <w:tcW w:w="8894" w:type="dxa"/>
            <w:gridSpan w:val="3"/>
            <w:tcBorders>
              <w:top w:val="single" w:color="auto" w:sz="4" w:space="0"/>
              <w:left w:val="single" w:color="000000" w:sz="4" w:space="0"/>
              <w:bottom w:val="single" w:color="auto" w:sz="4" w:space="0"/>
              <w:right w:val="single" w:color="000000" w:sz="4" w:space="0"/>
            </w:tcBorders>
            <w:shd w:val="clear" w:color="000000" w:fill="FFFFFF"/>
            <w:tcMar>
              <w:left w:w="80" w:type="dxa"/>
              <w:right w:w="80" w:type="dxa"/>
            </w:tcMar>
            <w:vAlign w:val="center"/>
          </w:tcPr>
          <w:p>
            <w:pPr>
              <w:pStyle w:val="12"/>
              <w:spacing w:after="0" w:line="460" w:lineRule="exact"/>
              <w:ind w:left="0" w:leftChars="0" w:firstLine="0" w:firstLineChars="0"/>
              <w:contextualSpacing/>
              <w:jc w:val="center"/>
              <w:rPr>
                <w:rFonts w:cs="宋体"/>
                <w:b/>
                <w:color w:val="000000" w:themeColor="text1"/>
                <w:sz w:val="24"/>
                <w14:textFill>
                  <w14:solidFill>
                    <w14:schemeClr w14:val="tx1"/>
                  </w14:solidFill>
                </w14:textFill>
              </w:rPr>
            </w:pPr>
            <w:r>
              <w:rPr>
                <w:rFonts w:hint="eastAsia" w:cs="宋体"/>
                <w:b/>
                <w:color w:val="000000" w:themeColor="text1"/>
                <w:sz w:val="24"/>
                <w14:textFill>
                  <w14:solidFill>
                    <w14:schemeClr w14:val="tx1"/>
                  </w14:solidFill>
                </w14:textFill>
              </w:rPr>
              <w:t>合计</w:t>
            </w:r>
          </w:p>
        </w:tc>
        <w:tc>
          <w:tcPr>
            <w:tcW w:w="882" w:type="dxa"/>
            <w:tcBorders>
              <w:top w:val="single" w:color="000000" w:sz="4" w:space="0"/>
              <w:left w:val="single" w:color="000000" w:sz="4" w:space="0"/>
              <w:bottom w:val="single" w:color="auto" w:sz="4" w:space="0"/>
              <w:right w:val="single" w:color="000000" w:sz="4" w:space="0"/>
            </w:tcBorders>
            <w:shd w:val="clear" w:color="000000" w:fill="FFFFFF"/>
            <w:tcMar>
              <w:left w:w="80" w:type="dxa"/>
              <w:right w:w="80" w:type="dxa"/>
            </w:tcMar>
            <w:vAlign w:val="center"/>
          </w:tcPr>
          <w:p>
            <w:pPr>
              <w:spacing w:line="460" w:lineRule="exact"/>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100分</w:t>
            </w:r>
          </w:p>
        </w:tc>
      </w:tr>
    </w:tbl>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spacing w:line="360" w:lineRule="auto"/>
        <w:rPr>
          <w:rFonts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jc w:val="center"/>
        <w:rPr>
          <w:rFonts w:hint="default" w:ascii="宋体" w:hAnsi="宋体" w:cs="宋体"/>
          <w:b/>
          <w:bCs/>
          <w:color w:val="000000" w:themeColor="text1"/>
          <w:sz w:val="32"/>
          <w:szCs w:val="32"/>
          <w14:textFill>
            <w14:solidFill>
              <w14:schemeClr w14:val="tx1"/>
            </w14:solidFill>
          </w14:textFill>
        </w:rPr>
      </w:pPr>
      <w:r>
        <w:rPr>
          <w:rFonts w:ascii="宋体" w:hAnsi="宋体" w:eastAsia="宋体" w:cs="宋体"/>
          <w:b/>
          <w:bCs/>
          <w:color w:val="000000" w:themeColor="text1"/>
          <w:kern w:val="2"/>
          <w:sz w:val="36"/>
          <w:szCs w:val="32"/>
          <w14:textFill>
            <w14:solidFill>
              <w14:schemeClr w14:val="tx1"/>
            </w14:solidFill>
          </w14:textFill>
        </w:rPr>
        <w:t>第四章 合同条款</w:t>
      </w: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西安交通大学创新港学生食堂委托经营合同</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甲方：西安交通大学</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甲方执行单位：西安交通大学后勤保障部</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p>
    <w:p>
      <w:pPr>
        <w:spacing w:line="360" w:lineRule="auto"/>
        <w:ind w:firstLine="480" w:firstLineChars="200"/>
        <w:rPr>
          <w:rFonts w:ascii="宋体" w:hAnsi="宋体" w:cs="宋体"/>
          <w:color w:val="000000" w:themeColor="text1"/>
          <w:sz w:val="24"/>
          <w14:textFill>
            <w14:solidFill>
              <w14:schemeClr w14:val="tx1"/>
            </w14:solidFill>
          </w14:textFill>
        </w:rPr>
      </w:pP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根据西安交通大学创新港校区学生食堂委托经营项目公开招标（招标编号：）第五标段结果，甲乙双方本着诚信合作、平等自愿、共同发展的原则，经协商签订委托经营合同，双方共同遵守。</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第一条、委托经营原则：</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食堂是以为师生和教学科研服务为宗旨的公益性食堂，乙方经营过程中应按照中国高等教育学会后勤管理分会《高等学校学生食堂伙食结构及成本核算指导意见》（伙〔2012〕2号）进行成本核算，严格遵守公益性原则，微利经营，菜品结构保证高中低档菜品比例为3：5：2，严格按照甲方审核通过的成本核算进行售卖，确保学生利益。</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第二条、委托经营地点：</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西安交通大学创新港校区</w:t>
      </w:r>
      <w:r>
        <w:rPr>
          <w:rFonts w:hint="eastAsia" w:ascii="宋体" w:hAnsi="宋体" w:cs="宋体"/>
          <w:color w:val="000000" w:themeColor="text1"/>
          <w:sz w:val="24"/>
          <w:u w:val="single"/>
          <w14:textFill>
            <w14:solidFill>
              <w14:schemeClr w14:val="tx1"/>
            </w14:solidFill>
          </w14:textFill>
        </w:rPr>
        <w:t xml:space="preserve"> 涵英楼餐厅、惠风苑餐厅二层（甲方指定区域）及2号移动售餐车</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第三条、经营品种：</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中餐、基本大伙保障类、特色风味、小吃、快餐、西餐、西点、民族风味、饮料等</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第四条、委托期限： </w:t>
      </w:r>
    </w:p>
    <w:p>
      <w:pPr>
        <w:autoSpaceDE w:val="0"/>
        <w:autoSpaceDN w:val="0"/>
        <w:spacing w:line="360" w:lineRule="auto"/>
        <w:ind w:firstLine="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合同有效期</w:t>
      </w:r>
      <w:r>
        <w:rPr>
          <w:rFonts w:hint="eastAsia" w:ascii="宋体" w:hAnsi="宋体" w:cs="宋体"/>
          <w:color w:val="000000" w:themeColor="text1"/>
          <w:sz w:val="24"/>
          <w:u w:val="single"/>
          <w14:textFill>
            <w14:solidFill>
              <w14:schemeClr w14:val="tx1"/>
            </w14:solidFill>
          </w14:textFill>
        </w:rPr>
        <w:t xml:space="preserve"> 壹 </w:t>
      </w:r>
      <w:r>
        <w:rPr>
          <w:rFonts w:hint="eastAsia" w:ascii="宋体" w:hAnsi="宋体" w:cs="宋体"/>
          <w:color w:val="000000" w:themeColor="text1"/>
          <w:sz w:val="24"/>
          <w14:textFill>
            <w14:solidFill>
              <w14:schemeClr w14:val="tx1"/>
            </w14:solidFill>
          </w14:textFill>
        </w:rPr>
        <w:t>年，承包经营期以最终签订的合同为准。本合同有效期限自  2022年  月   日起至 2023年  月   日止。</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第五条、委托费用及付款方式：</w:t>
      </w:r>
    </w:p>
    <w:p>
      <w:pPr>
        <w:autoSpaceDE w:val="0"/>
        <w:autoSpaceDN w:val="0"/>
        <w:spacing w:line="360" w:lineRule="auto"/>
        <w:ind w:firstLine="56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1.本协议签订前，乙方须向甲方缴纳本协议约定的履约保证金人民币60万元。</w:t>
      </w:r>
      <w:r>
        <w:rPr>
          <w:rFonts w:hint="eastAsia" w:ascii="宋体" w:hAnsi="宋体" w:cs="宋体"/>
          <w:color w:val="000000" w:themeColor="text1"/>
          <w:sz w:val="24"/>
          <w:lang w:val="zh-CN"/>
          <w14:textFill>
            <w14:solidFill>
              <w14:schemeClr w14:val="tx1"/>
            </w14:solidFill>
          </w14:textFill>
        </w:rPr>
        <w:t>本协议解除或终止后，在乙方结清水、电、</w:t>
      </w:r>
      <w:r>
        <w:rPr>
          <w:rFonts w:hint="eastAsia" w:ascii="宋体" w:hAnsi="宋体" w:cs="宋体"/>
          <w:color w:val="000000" w:themeColor="text1"/>
          <w:sz w:val="24"/>
          <w14:textFill>
            <w14:solidFill>
              <w14:schemeClr w14:val="tx1"/>
            </w14:solidFill>
          </w14:textFill>
        </w:rPr>
        <w:t>设备使用费</w:t>
      </w:r>
      <w:r>
        <w:rPr>
          <w:rFonts w:hint="eastAsia" w:ascii="宋体" w:hAnsi="宋体" w:cs="宋体"/>
          <w:color w:val="000000" w:themeColor="text1"/>
          <w:sz w:val="24"/>
          <w:lang w:val="zh-CN"/>
          <w14:textFill>
            <w14:solidFill>
              <w14:schemeClr w14:val="tx1"/>
            </w14:solidFill>
          </w14:textFill>
        </w:rPr>
        <w:t>等相关费用且与甲方无任何经济纠纷后，甲方退还剩余的</w:t>
      </w:r>
      <w:r>
        <w:rPr>
          <w:rFonts w:hint="eastAsia" w:ascii="宋体" w:hAnsi="宋体" w:cs="宋体"/>
          <w:color w:val="000000" w:themeColor="text1"/>
          <w:sz w:val="24"/>
          <w14:textFill>
            <w14:solidFill>
              <w14:schemeClr w14:val="tx1"/>
            </w14:solidFill>
          </w14:textFill>
        </w:rPr>
        <w:t>履约保证金</w:t>
      </w:r>
      <w:r>
        <w:rPr>
          <w:rFonts w:hint="eastAsia" w:ascii="宋体" w:hAnsi="宋体" w:cs="宋体"/>
          <w:color w:val="000000" w:themeColor="text1"/>
          <w:sz w:val="24"/>
          <w:lang w:val="zh-CN"/>
          <w14:textFill>
            <w14:solidFill>
              <w14:schemeClr w14:val="tx1"/>
            </w14:solidFill>
          </w14:textFill>
        </w:rPr>
        <w:t>（不计利息）。</w:t>
      </w:r>
    </w:p>
    <w:p>
      <w:pPr>
        <w:autoSpaceDE w:val="0"/>
        <w:autoSpaceDN w:val="0"/>
        <w:spacing w:line="360" w:lineRule="auto"/>
        <w:ind w:firstLine="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2.乙方需按照管理团队人员数量，缴纳团队考核专项资金，标准为1000元/月/人。管理团队配置表如下：</w:t>
      </w:r>
    </w:p>
    <w:p>
      <w:pPr>
        <w:pStyle w:val="2"/>
        <w:ind w:firstLine="480"/>
        <w:rPr>
          <w:rFonts w:hint="default" w:ascii="宋体" w:hAnsi="宋体" w:eastAsia="宋体" w:cs="宋体"/>
          <w:color w:val="000000" w:themeColor="text1"/>
          <w:sz w:val="24"/>
          <w:szCs w:val="22"/>
          <w14:textFill>
            <w14:solidFill>
              <w14:schemeClr w14:val="tx1"/>
            </w14:solidFill>
          </w14:textFill>
        </w:rPr>
      </w:pPr>
    </w:p>
    <w:tbl>
      <w:tblPr>
        <w:tblStyle w:val="20"/>
        <w:tblW w:w="4998"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2840"/>
        <w:gridCol w:w="2840"/>
      </w:tblGrid>
      <w:tr>
        <w:tblPrEx>
          <w:tblLayout w:type="fixed"/>
          <w:tblCellMar>
            <w:top w:w="0" w:type="dxa"/>
            <w:left w:w="108" w:type="dxa"/>
            <w:bottom w:w="0" w:type="dxa"/>
            <w:right w:w="108" w:type="dxa"/>
          </w:tblCellMar>
        </w:tblPrEx>
        <w:trPr>
          <w:trHeight w:val="397" w:hRule="atLeast"/>
          <w:jc w:val="center"/>
        </w:trPr>
        <w:tc>
          <w:tcPr>
            <w:tcW w:w="2839"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r>
              <w:rPr>
                <w:rFonts w:ascii="宋体" w:hAnsi="宋体" w:eastAsia="宋体" w:cs="宋体"/>
                <w:color w:val="000000" w:themeColor="text1"/>
                <w:sz w:val="24"/>
                <w:szCs w:val="22"/>
                <w14:textFill>
                  <w14:solidFill>
                    <w14:schemeClr w14:val="tx1"/>
                  </w14:solidFill>
                </w14:textFill>
              </w:rPr>
              <w:t>岗位名称</w:t>
            </w:r>
          </w:p>
        </w:tc>
        <w:tc>
          <w:tcPr>
            <w:tcW w:w="2840"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r>
              <w:rPr>
                <w:rFonts w:ascii="宋体" w:hAnsi="宋体" w:eastAsia="宋体" w:cs="宋体"/>
                <w:color w:val="000000" w:themeColor="text1"/>
                <w:sz w:val="24"/>
                <w:szCs w:val="22"/>
                <w14:textFill>
                  <w14:solidFill>
                    <w14:schemeClr w14:val="tx1"/>
                  </w14:solidFill>
                </w14:textFill>
              </w:rPr>
              <w:t>岗位人数</w:t>
            </w:r>
          </w:p>
        </w:tc>
        <w:tc>
          <w:tcPr>
            <w:tcW w:w="2840"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r>
              <w:rPr>
                <w:rFonts w:ascii="宋体" w:hAnsi="宋体" w:eastAsia="宋体" w:cs="宋体"/>
                <w:color w:val="000000" w:themeColor="text1"/>
                <w:sz w:val="24"/>
                <w:szCs w:val="22"/>
                <w14:textFill>
                  <w14:solidFill>
                    <w14:schemeClr w14:val="tx1"/>
                  </w14:solidFill>
                </w14:textFill>
              </w:rPr>
              <w:t>配备人员</w:t>
            </w:r>
          </w:p>
        </w:tc>
      </w:tr>
      <w:tr>
        <w:tblPrEx>
          <w:tblLayout w:type="fixed"/>
          <w:tblCellMar>
            <w:top w:w="0" w:type="dxa"/>
            <w:left w:w="108" w:type="dxa"/>
            <w:bottom w:w="0" w:type="dxa"/>
            <w:right w:w="108" w:type="dxa"/>
          </w:tblCellMar>
        </w:tblPrEx>
        <w:trPr>
          <w:trHeight w:val="397" w:hRule="atLeast"/>
          <w:jc w:val="center"/>
        </w:trPr>
        <w:tc>
          <w:tcPr>
            <w:tcW w:w="2839"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r>
              <w:rPr>
                <w:rFonts w:ascii="宋体" w:hAnsi="宋体" w:eastAsia="宋体" w:cs="宋体"/>
                <w:color w:val="000000" w:themeColor="text1"/>
                <w:sz w:val="24"/>
                <w:szCs w:val="22"/>
                <w14:textFill>
                  <w14:solidFill>
                    <w14:schemeClr w14:val="tx1"/>
                  </w14:solidFill>
                </w14:textFill>
              </w:rPr>
              <w:t>项目经理</w:t>
            </w:r>
          </w:p>
        </w:tc>
        <w:tc>
          <w:tcPr>
            <w:tcW w:w="2840"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p>
        </w:tc>
        <w:tc>
          <w:tcPr>
            <w:tcW w:w="2840"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p>
        </w:tc>
      </w:tr>
      <w:tr>
        <w:tblPrEx>
          <w:tblLayout w:type="fixed"/>
          <w:tblCellMar>
            <w:top w:w="0" w:type="dxa"/>
            <w:left w:w="108" w:type="dxa"/>
            <w:bottom w:w="0" w:type="dxa"/>
            <w:right w:w="108" w:type="dxa"/>
          </w:tblCellMar>
        </w:tblPrEx>
        <w:trPr>
          <w:trHeight w:val="397" w:hRule="atLeast"/>
          <w:jc w:val="center"/>
        </w:trPr>
        <w:tc>
          <w:tcPr>
            <w:tcW w:w="2839"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r>
              <w:rPr>
                <w:rFonts w:ascii="宋体" w:hAnsi="宋体" w:eastAsia="宋体" w:cs="宋体"/>
                <w:color w:val="000000" w:themeColor="text1"/>
                <w:sz w:val="24"/>
                <w:szCs w:val="22"/>
                <w14:textFill>
                  <w14:solidFill>
                    <w14:schemeClr w14:val="tx1"/>
                  </w14:solidFill>
                </w14:textFill>
              </w:rPr>
              <w:t>楼层主管</w:t>
            </w:r>
          </w:p>
        </w:tc>
        <w:tc>
          <w:tcPr>
            <w:tcW w:w="2840"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p>
        </w:tc>
        <w:tc>
          <w:tcPr>
            <w:tcW w:w="2840"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p>
        </w:tc>
      </w:tr>
      <w:tr>
        <w:tblPrEx>
          <w:tblLayout w:type="fixed"/>
          <w:tblCellMar>
            <w:top w:w="0" w:type="dxa"/>
            <w:left w:w="108" w:type="dxa"/>
            <w:bottom w:w="0" w:type="dxa"/>
            <w:right w:w="108" w:type="dxa"/>
          </w:tblCellMar>
        </w:tblPrEx>
        <w:trPr>
          <w:trHeight w:val="397" w:hRule="atLeast"/>
          <w:jc w:val="center"/>
        </w:trPr>
        <w:tc>
          <w:tcPr>
            <w:tcW w:w="2839"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r>
              <w:rPr>
                <w:rFonts w:ascii="宋体" w:hAnsi="宋体" w:eastAsia="宋体" w:cs="宋体"/>
                <w:color w:val="000000" w:themeColor="text1"/>
                <w:sz w:val="24"/>
                <w:szCs w:val="22"/>
                <w14:textFill>
                  <w14:solidFill>
                    <w14:schemeClr w14:val="tx1"/>
                  </w14:solidFill>
                </w14:textFill>
              </w:rPr>
              <w:t>厨师长</w:t>
            </w:r>
          </w:p>
        </w:tc>
        <w:tc>
          <w:tcPr>
            <w:tcW w:w="2840"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p>
        </w:tc>
        <w:tc>
          <w:tcPr>
            <w:tcW w:w="2840"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p>
        </w:tc>
      </w:tr>
      <w:tr>
        <w:tblPrEx>
          <w:tblLayout w:type="fixed"/>
          <w:tblCellMar>
            <w:top w:w="0" w:type="dxa"/>
            <w:left w:w="108" w:type="dxa"/>
            <w:bottom w:w="0" w:type="dxa"/>
            <w:right w:w="108" w:type="dxa"/>
          </w:tblCellMar>
        </w:tblPrEx>
        <w:trPr>
          <w:trHeight w:val="397" w:hRule="atLeast"/>
          <w:jc w:val="center"/>
        </w:trPr>
        <w:tc>
          <w:tcPr>
            <w:tcW w:w="2839"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r>
              <w:rPr>
                <w:rFonts w:ascii="宋体" w:hAnsi="宋体" w:eastAsia="宋体" w:cs="宋体"/>
                <w:color w:val="000000" w:themeColor="text1"/>
                <w:sz w:val="24"/>
                <w:szCs w:val="22"/>
                <w14:textFill>
                  <w14:solidFill>
                    <w14:schemeClr w14:val="tx1"/>
                  </w14:solidFill>
                </w14:textFill>
              </w:rPr>
              <w:t>质量监督管理员</w:t>
            </w:r>
          </w:p>
        </w:tc>
        <w:tc>
          <w:tcPr>
            <w:tcW w:w="2840"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p>
        </w:tc>
        <w:tc>
          <w:tcPr>
            <w:tcW w:w="2840"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p>
        </w:tc>
      </w:tr>
      <w:tr>
        <w:tblPrEx>
          <w:tblLayout w:type="fixed"/>
          <w:tblCellMar>
            <w:top w:w="0" w:type="dxa"/>
            <w:left w:w="108" w:type="dxa"/>
            <w:bottom w:w="0" w:type="dxa"/>
            <w:right w:w="108" w:type="dxa"/>
          </w:tblCellMar>
        </w:tblPrEx>
        <w:trPr>
          <w:trHeight w:val="397" w:hRule="atLeast"/>
          <w:jc w:val="center"/>
        </w:trPr>
        <w:tc>
          <w:tcPr>
            <w:tcW w:w="2839"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r>
              <w:rPr>
                <w:rFonts w:ascii="宋体" w:hAnsi="宋体" w:eastAsia="宋体" w:cs="宋体"/>
                <w:color w:val="000000" w:themeColor="text1"/>
                <w:sz w:val="24"/>
                <w:szCs w:val="22"/>
                <w14:textFill>
                  <w14:solidFill>
                    <w14:schemeClr w14:val="tx1"/>
                  </w14:solidFill>
                </w14:textFill>
              </w:rPr>
              <w:t>会计</w:t>
            </w:r>
          </w:p>
        </w:tc>
        <w:tc>
          <w:tcPr>
            <w:tcW w:w="2840"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p>
        </w:tc>
        <w:tc>
          <w:tcPr>
            <w:tcW w:w="2840"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p>
        </w:tc>
      </w:tr>
      <w:tr>
        <w:tblPrEx>
          <w:tblLayout w:type="fixed"/>
          <w:tblCellMar>
            <w:top w:w="0" w:type="dxa"/>
            <w:left w:w="108" w:type="dxa"/>
            <w:bottom w:w="0" w:type="dxa"/>
            <w:right w:w="108" w:type="dxa"/>
          </w:tblCellMar>
        </w:tblPrEx>
        <w:trPr>
          <w:trHeight w:val="397" w:hRule="atLeast"/>
          <w:jc w:val="center"/>
        </w:trPr>
        <w:tc>
          <w:tcPr>
            <w:tcW w:w="2839"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r>
              <w:rPr>
                <w:rFonts w:ascii="宋体" w:hAnsi="宋体" w:eastAsia="宋体" w:cs="宋体"/>
                <w:color w:val="000000" w:themeColor="text1"/>
                <w:sz w:val="24"/>
                <w:szCs w:val="22"/>
                <w14:textFill>
                  <w14:solidFill>
                    <w14:schemeClr w14:val="tx1"/>
                  </w14:solidFill>
                </w14:textFill>
              </w:rPr>
              <w:t>库管</w:t>
            </w:r>
          </w:p>
        </w:tc>
        <w:tc>
          <w:tcPr>
            <w:tcW w:w="2840"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p>
        </w:tc>
        <w:tc>
          <w:tcPr>
            <w:tcW w:w="2840"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p>
        </w:tc>
      </w:tr>
      <w:tr>
        <w:tblPrEx>
          <w:tblLayout w:type="fixed"/>
          <w:tblCellMar>
            <w:top w:w="0" w:type="dxa"/>
            <w:left w:w="108" w:type="dxa"/>
            <w:bottom w:w="0" w:type="dxa"/>
            <w:right w:w="108" w:type="dxa"/>
          </w:tblCellMar>
        </w:tblPrEx>
        <w:trPr>
          <w:trHeight w:val="397" w:hRule="atLeast"/>
          <w:jc w:val="center"/>
        </w:trPr>
        <w:tc>
          <w:tcPr>
            <w:tcW w:w="2839"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r>
              <w:rPr>
                <w:rFonts w:ascii="宋体" w:hAnsi="宋体" w:eastAsia="宋体" w:cs="宋体"/>
                <w:color w:val="000000" w:themeColor="text1"/>
                <w:sz w:val="24"/>
                <w:szCs w:val="22"/>
                <w14:textFill>
                  <w14:solidFill>
                    <w14:schemeClr w14:val="tx1"/>
                  </w14:solidFill>
                </w14:textFill>
              </w:rPr>
              <w:t>工程人员</w:t>
            </w:r>
          </w:p>
        </w:tc>
        <w:tc>
          <w:tcPr>
            <w:tcW w:w="2840"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p>
        </w:tc>
        <w:tc>
          <w:tcPr>
            <w:tcW w:w="2840"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p>
        </w:tc>
      </w:tr>
      <w:tr>
        <w:tblPrEx>
          <w:tblLayout w:type="fixed"/>
          <w:tblCellMar>
            <w:top w:w="0" w:type="dxa"/>
            <w:left w:w="108" w:type="dxa"/>
            <w:bottom w:w="0" w:type="dxa"/>
            <w:right w:w="108" w:type="dxa"/>
          </w:tblCellMar>
        </w:tblPrEx>
        <w:trPr>
          <w:trHeight w:val="397" w:hRule="atLeast"/>
          <w:jc w:val="center"/>
        </w:trPr>
        <w:tc>
          <w:tcPr>
            <w:tcW w:w="2839"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r>
              <w:rPr>
                <w:rFonts w:ascii="宋体" w:hAnsi="宋体" w:eastAsia="宋体" w:cs="宋体"/>
                <w:color w:val="000000" w:themeColor="text1"/>
                <w:sz w:val="24"/>
                <w:szCs w:val="22"/>
                <w14:textFill>
                  <w14:solidFill>
                    <w14:schemeClr w14:val="tx1"/>
                  </w14:solidFill>
                </w14:textFill>
              </w:rPr>
              <w:t>合计</w:t>
            </w:r>
          </w:p>
        </w:tc>
        <w:tc>
          <w:tcPr>
            <w:tcW w:w="2840"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p>
        </w:tc>
        <w:tc>
          <w:tcPr>
            <w:tcW w:w="2840" w:type="dxa"/>
            <w:vAlign w:val="center"/>
          </w:tcPr>
          <w:p>
            <w:pPr>
              <w:pStyle w:val="2"/>
              <w:jc w:val="center"/>
              <w:rPr>
                <w:rFonts w:hint="default" w:ascii="宋体" w:hAnsi="宋体" w:eastAsia="宋体" w:cs="宋体"/>
                <w:color w:val="000000" w:themeColor="text1"/>
                <w:sz w:val="24"/>
                <w:szCs w:val="22"/>
                <w14:textFill>
                  <w14:solidFill>
                    <w14:schemeClr w14:val="tx1"/>
                  </w14:solidFill>
                </w14:textFill>
              </w:rPr>
            </w:pPr>
          </w:p>
        </w:tc>
      </w:tr>
    </w:tbl>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2.甲方按乙方餐厅营业额收取学校设施设备使用费，明细为：</w:t>
      </w:r>
    </w:p>
    <w:tbl>
      <w:tblPr>
        <w:tblStyle w:val="19"/>
        <w:tblW w:w="4345"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118"/>
        <w:gridCol w:w="1475"/>
        <w:gridCol w:w="2509"/>
      </w:tblGrid>
      <w:tr>
        <w:tblPrEx>
          <w:tblLayout w:type="fixed"/>
          <w:tblCellMar>
            <w:top w:w="0" w:type="dxa"/>
            <w:left w:w="108" w:type="dxa"/>
            <w:bottom w:w="0" w:type="dxa"/>
            <w:right w:w="108" w:type="dxa"/>
          </w:tblCellMar>
        </w:tblPrEx>
        <w:trPr>
          <w:jc w:val="center"/>
        </w:trPr>
        <w:tc>
          <w:tcPr>
            <w:tcW w:w="1304" w:type="dxa"/>
            <w:vAlign w:val="center"/>
          </w:tcPr>
          <w:p>
            <w:pPr>
              <w:spacing w:line="360" w:lineRule="auto"/>
              <w:contextualSpacing/>
              <w:jc w:val="center"/>
              <w:outlineLvl w:val="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标段</w:t>
            </w:r>
          </w:p>
        </w:tc>
        <w:tc>
          <w:tcPr>
            <w:tcW w:w="2118" w:type="dxa"/>
            <w:vAlign w:val="center"/>
          </w:tcPr>
          <w:p>
            <w:pPr>
              <w:spacing w:line="360" w:lineRule="auto"/>
              <w:contextualSpacing/>
              <w:jc w:val="center"/>
              <w:outlineLvl w:val="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食堂</w:t>
            </w:r>
          </w:p>
        </w:tc>
        <w:tc>
          <w:tcPr>
            <w:tcW w:w="1475" w:type="dxa"/>
            <w:vAlign w:val="center"/>
          </w:tcPr>
          <w:p>
            <w:pPr>
              <w:spacing w:line="360" w:lineRule="auto"/>
              <w:contextualSpacing/>
              <w:jc w:val="center"/>
              <w:outlineLvl w:val="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经营品种</w:t>
            </w:r>
          </w:p>
        </w:tc>
        <w:tc>
          <w:tcPr>
            <w:tcW w:w="2509" w:type="dxa"/>
            <w:vAlign w:val="center"/>
          </w:tcPr>
          <w:p>
            <w:pPr>
              <w:spacing w:line="360" w:lineRule="auto"/>
              <w:contextualSpacing/>
              <w:jc w:val="center"/>
              <w:outlineLvl w:val="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设备使用费收取比例</w:t>
            </w:r>
          </w:p>
        </w:tc>
      </w:tr>
      <w:tr>
        <w:tblPrEx>
          <w:tblLayout w:type="fixed"/>
          <w:tblCellMar>
            <w:top w:w="0" w:type="dxa"/>
            <w:left w:w="108" w:type="dxa"/>
            <w:bottom w:w="0" w:type="dxa"/>
            <w:right w:w="108" w:type="dxa"/>
          </w:tblCellMar>
        </w:tblPrEx>
        <w:trPr>
          <w:trHeight w:val="695" w:hRule="atLeast"/>
          <w:jc w:val="center"/>
        </w:trPr>
        <w:tc>
          <w:tcPr>
            <w:tcW w:w="1304" w:type="dxa"/>
            <w:vMerge w:val="restart"/>
            <w:vAlign w:val="center"/>
          </w:tcPr>
          <w:p>
            <w:pPr>
              <w:spacing w:line="360" w:lineRule="auto"/>
              <w:contextualSpacing/>
              <w:jc w:val="center"/>
              <w:outlineLvl w:val="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第五标段</w:t>
            </w:r>
          </w:p>
        </w:tc>
        <w:tc>
          <w:tcPr>
            <w:tcW w:w="2118" w:type="dxa"/>
            <w:vMerge w:val="restart"/>
            <w:vAlign w:val="center"/>
          </w:tcPr>
          <w:p>
            <w:pPr>
              <w:spacing w:line="360" w:lineRule="auto"/>
              <w:contextualSpacing/>
              <w:jc w:val="center"/>
              <w:outlineLvl w:val="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涵英楼餐厅</w:t>
            </w:r>
          </w:p>
          <w:p>
            <w:pPr>
              <w:spacing w:line="360" w:lineRule="auto"/>
              <w:contextualSpacing/>
              <w:jc w:val="center"/>
              <w:outlineLvl w:val="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惠风苑二层</w:t>
            </w:r>
          </w:p>
          <w:p>
            <w:pPr>
              <w:spacing w:line="360" w:lineRule="auto"/>
              <w:contextualSpacing/>
              <w:jc w:val="center"/>
              <w:outlineLvl w:val="0"/>
            </w:pPr>
            <w:r>
              <w:rPr>
                <w:rFonts w:hint="eastAsia" w:hAnsi="宋体"/>
                <w:color w:val="000000" w:themeColor="text1"/>
                <w:sz w:val="24"/>
                <w14:textFill>
                  <w14:solidFill>
                    <w14:schemeClr w14:val="tx1"/>
                  </w14:solidFill>
                </w14:textFill>
              </w:rPr>
              <w:t>2号移动售餐车</w:t>
            </w:r>
          </w:p>
        </w:tc>
        <w:tc>
          <w:tcPr>
            <w:tcW w:w="1475" w:type="dxa"/>
            <w:vAlign w:val="center"/>
          </w:tcPr>
          <w:p>
            <w:pPr>
              <w:spacing w:line="360" w:lineRule="auto"/>
              <w:contextualSpacing/>
              <w:jc w:val="center"/>
              <w:outlineLvl w:val="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基本大伙</w:t>
            </w:r>
          </w:p>
        </w:tc>
        <w:tc>
          <w:tcPr>
            <w:tcW w:w="2509" w:type="dxa"/>
            <w:vAlign w:val="center"/>
          </w:tcPr>
          <w:p>
            <w:pPr>
              <w:spacing w:line="360" w:lineRule="auto"/>
              <w:contextualSpacing/>
              <w:jc w:val="center"/>
              <w:outlineLvl w:val="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0%</w:t>
            </w:r>
          </w:p>
        </w:tc>
      </w:tr>
      <w:tr>
        <w:tblPrEx>
          <w:tblLayout w:type="fixed"/>
          <w:tblCellMar>
            <w:top w:w="0" w:type="dxa"/>
            <w:left w:w="108" w:type="dxa"/>
            <w:bottom w:w="0" w:type="dxa"/>
            <w:right w:w="108" w:type="dxa"/>
          </w:tblCellMar>
        </w:tblPrEx>
        <w:trPr>
          <w:jc w:val="center"/>
        </w:trPr>
        <w:tc>
          <w:tcPr>
            <w:tcW w:w="1304" w:type="dxa"/>
            <w:vMerge w:val="continue"/>
            <w:vAlign w:val="center"/>
          </w:tcPr>
          <w:p>
            <w:pPr>
              <w:spacing w:line="360" w:lineRule="auto"/>
              <w:contextualSpacing/>
              <w:jc w:val="center"/>
              <w:outlineLvl w:val="0"/>
              <w:rPr>
                <w:rFonts w:hAnsi="宋体"/>
                <w:color w:val="000000" w:themeColor="text1"/>
                <w:sz w:val="24"/>
                <w14:textFill>
                  <w14:solidFill>
                    <w14:schemeClr w14:val="tx1"/>
                  </w14:solidFill>
                </w14:textFill>
              </w:rPr>
            </w:pPr>
          </w:p>
        </w:tc>
        <w:tc>
          <w:tcPr>
            <w:tcW w:w="2118" w:type="dxa"/>
            <w:vMerge w:val="continue"/>
            <w:vAlign w:val="center"/>
          </w:tcPr>
          <w:p>
            <w:pPr>
              <w:spacing w:line="360" w:lineRule="auto"/>
              <w:contextualSpacing/>
              <w:jc w:val="center"/>
              <w:outlineLvl w:val="0"/>
              <w:rPr>
                <w:rFonts w:hAnsi="宋体"/>
                <w:color w:val="000000" w:themeColor="text1"/>
                <w:sz w:val="24"/>
                <w14:textFill>
                  <w14:solidFill>
                    <w14:schemeClr w14:val="tx1"/>
                  </w14:solidFill>
                </w14:textFill>
              </w:rPr>
            </w:pPr>
          </w:p>
        </w:tc>
        <w:tc>
          <w:tcPr>
            <w:tcW w:w="1475" w:type="dxa"/>
            <w:vAlign w:val="center"/>
          </w:tcPr>
          <w:p>
            <w:pPr>
              <w:spacing w:line="360" w:lineRule="auto"/>
              <w:contextualSpacing/>
              <w:jc w:val="center"/>
              <w:outlineLvl w:val="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风味小吃</w:t>
            </w:r>
          </w:p>
        </w:tc>
        <w:tc>
          <w:tcPr>
            <w:tcW w:w="2509" w:type="dxa"/>
            <w:vAlign w:val="center"/>
          </w:tcPr>
          <w:p>
            <w:pPr>
              <w:spacing w:line="360" w:lineRule="auto"/>
              <w:contextualSpacing/>
              <w:jc w:val="center"/>
              <w:outlineLvl w:val="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w:t>
            </w:r>
          </w:p>
        </w:tc>
      </w:tr>
    </w:tbl>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3.乙方经营期内应使用校园一卡通系统收费，严禁采用支付宝、微信、现金等付款方式，特殊支付情况须经甲方饮食管理办公室许可。</w:t>
      </w:r>
    </w:p>
    <w:p>
      <w:pPr>
        <w:pStyle w:val="6"/>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4.乙方承担</w:t>
      </w:r>
      <w:r>
        <w:rPr>
          <w:rFonts w:hint="eastAsia"/>
          <w:color w:val="000000" w:themeColor="text1"/>
          <w:sz w:val="24"/>
          <w14:textFill>
            <w14:solidFill>
              <w14:schemeClr w14:val="tx1"/>
            </w14:solidFill>
          </w14:textFill>
        </w:rPr>
        <w:t>自身经营产生的水、电、</w:t>
      </w:r>
      <w:r>
        <w:rPr>
          <w:rFonts w:hint="eastAsia" w:ascii="宋体" w:hAnsi="宋体" w:cs="宋体"/>
          <w:color w:val="000000" w:themeColor="text1"/>
          <w:sz w:val="24"/>
          <w14:textFill>
            <w14:solidFill>
              <w14:schemeClr w14:val="tx1"/>
            </w14:solidFill>
          </w14:textFill>
        </w:rPr>
        <w:t>天然气、垃圾清运、设备使用费、低值易耗品采购及</w:t>
      </w:r>
      <w:r>
        <w:rPr>
          <w:rFonts w:hint="eastAsia" w:ascii="宋体" w:hAnsi="宋体" w:cs="宋体"/>
          <w:color w:val="000000" w:themeColor="text1"/>
          <w:sz w:val="24"/>
          <w:lang w:eastAsia="zh-CN"/>
          <w14:textFill>
            <w14:solidFill>
              <w14:schemeClr w14:val="tx1"/>
            </w14:solidFill>
          </w14:textFill>
        </w:rPr>
        <w:t>其他</w:t>
      </w:r>
      <w:r>
        <w:rPr>
          <w:rFonts w:hint="eastAsia" w:ascii="宋体" w:hAnsi="宋体" w:cs="宋体"/>
          <w:color w:val="000000" w:themeColor="text1"/>
          <w:sz w:val="24"/>
          <w14:textFill>
            <w14:solidFill>
              <w14:schemeClr w14:val="tx1"/>
            </w14:solidFill>
          </w14:textFill>
        </w:rPr>
        <w:t>运行中产生的费用，并按时向学校及政府相关部门缴纳经营中产生的各种费用。</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5.甲方根据《西安交通大学水电管理办法》收取乙方水电费用，乙方应根据甲方每月出具的水电费缴费单自行去财务处指定收费点缴纳（或购买）水电费。</w:t>
      </w:r>
    </w:p>
    <w:p>
      <w:pPr>
        <w:spacing w:line="360" w:lineRule="auto"/>
        <w:ind w:firstLine="480" w:firstLineChars="200"/>
        <w:contextualSpacing/>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6.甲方代收取的乙方营业收入，扣除乙方违约金及设备使用费后，余额次月返还。乙方需出具委托书请甲方代收乙方的营业收入。营业收入以西安交通大学校园</w:t>
      </w:r>
      <w:r>
        <w:rPr>
          <w:rFonts w:hint="eastAsia" w:ascii="宋体" w:hAnsi="宋体" w:cs="宋体"/>
          <w:color w:val="000000" w:themeColor="text1"/>
          <w:sz w:val="24"/>
          <w:u w:val="single"/>
          <w14:textFill>
            <w14:solidFill>
              <w14:schemeClr w14:val="tx1"/>
            </w14:solidFill>
          </w14:textFill>
        </w:rPr>
        <w:t xml:space="preserve">   卡务中心   </w:t>
      </w:r>
      <w:r>
        <w:rPr>
          <w:rFonts w:hint="eastAsia" w:ascii="宋体" w:hAnsi="宋体" w:cs="宋体"/>
          <w:color w:val="000000" w:themeColor="text1"/>
          <w:sz w:val="24"/>
          <w14:textFill>
            <w14:solidFill>
              <w14:schemeClr w14:val="tx1"/>
            </w14:solidFill>
          </w14:textFill>
        </w:rPr>
        <w:t>部门提供的数据为准，并以此数据为结算依据。每月扣除相关费用后，余额由甲方</w:t>
      </w:r>
      <w:r>
        <w:rPr>
          <w:rFonts w:hint="eastAsia" w:ascii="宋体" w:hAnsi="宋体" w:cs="宋体"/>
          <w:color w:val="000000" w:themeColor="text1"/>
          <w:sz w:val="24"/>
          <w:u w:val="single"/>
          <w14:textFill>
            <w14:solidFill>
              <w14:schemeClr w14:val="tx1"/>
            </w14:solidFill>
          </w14:textFill>
        </w:rPr>
        <w:t xml:space="preserve">  财务  </w:t>
      </w:r>
      <w:r>
        <w:rPr>
          <w:rFonts w:hint="eastAsia" w:ascii="宋体" w:hAnsi="宋体" w:cs="宋体"/>
          <w:color w:val="000000" w:themeColor="text1"/>
          <w:sz w:val="24"/>
          <w14:textFill>
            <w14:solidFill>
              <w14:schemeClr w14:val="tx1"/>
            </w14:solidFill>
          </w14:textFill>
        </w:rPr>
        <w:t>部门划拨给乙方，乙方</w:t>
      </w:r>
      <w:r>
        <w:rPr>
          <w:rFonts w:hint="eastAsia" w:ascii="宋体" w:hAnsi="宋体" w:cs="宋体"/>
          <w:color w:val="000000" w:themeColor="text1"/>
          <w:sz w:val="24"/>
          <w:lang w:eastAsia="zh-CN"/>
          <w14:textFill>
            <w14:solidFill>
              <w14:schemeClr w14:val="tx1"/>
            </w14:solidFill>
          </w14:textFill>
        </w:rPr>
        <w:t>开具</w:t>
      </w:r>
      <w:r>
        <w:rPr>
          <w:rFonts w:hint="eastAsia" w:ascii="宋体" w:hAnsi="宋体" w:cs="宋体"/>
          <w:color w:val="000000" w:themeColor="text1"/>
          <w:sz w:val="24"/>
          <w14:textFill>
            <w14:solidFill>
              <w14:schemeClr w14:val="tx1"/>
            </w14:solidFill>
          </w14:textFill>
        </w:rPr>
        <w:t>加盖发票专用章的正式增值税普通发票，并提供上月联营窗口结款证明及供货商结款证明。</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乙方应妥善保管甲方开具的交款收据。</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第六条、经营要求及标准</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应严格按照甲方招标文件要求及乙方投标文件承诺进行经营。乙方必须按照《餐饮服务食品安全操作规范》从事餐饮服务生产经营活动；严格按照政府及创新港后勤管理部门要求，做好各项疫情防控工作。乙方只能在合同约定范围内进行经营活动，并向甲方提供完整的食堂经营管理方案。</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2.乙方不得以任何形式或理由转包，自营比例需达到30%以上，联营窗口的合同签订须在甲方监督下实施，并在甲方备案，所收取联营窗口的综合管理费</w:t>
      </w:r>
      <w:r>
        <w:rPr>
          <w:rFonts w:hint="eastAsia" w:ascii="宋体" w:hAnsi="宋体" w:cs="宋体"/>
          <w:color w:val="000000" w:themeColor="text1"/>
          <w:sz w:val="24"/>
          <w:u w:val="single"/>
          <w14:textFill>
            <w14:solidFill>
              <w14:schemeClr w14:val="tx1"/>
            </w14:solidFill>
          </w14:textFill>
        </w:rPr>
        <w:t>不得超过2</w:t>
      </w:r>
      <w:r>
        <w:rPr>
          <w:rFonts w:ascii="宋体" w:hAnsi="宋体" w:cs="宋体"/>
          <w:color w:val="000000" w:themeColor="text1"/>
          <w:sz w:val="24"/>
          <w:u w:val="single"/>
          <w14:textFill>
            <w14:solidFill>
              <w14:schemeClr w14:val="tx1"/>
            </w14:solidFill>
          </w14:textFill>
        </w:rPr>
        <w:t>5</w:t>
      </w:r>
      <w:r>
        <w:rPr>
          <w:rFonts w:hint="eastAsia" w:ascii="宋体" w:hAnsi="宋体" w:cs="宋体"/>
          <w:color w:val="000000" w:themeColor="text1"/>
          <w:sz w:val="24"/>
          <w:u w:val="single"/>
          <w14:textFill>
            <w14:solidFill>
              <w14:schemeClr w14:val="tx1"/>
            </w14:solidFill>
          </w14:textFill>
        </w:rPr>
        <w:t>%（不得收取其他费</w:t>
      </w:r>
      <w:r>
        <w:rPr>
          <w:rFonts w:hint="eastAsia" w:ascii="宋体" w:hAnsi="宋体" w:cs="宋体"/>
          <w:color w:val="000000" w:themeColor="text1"/>
          <w:sz w:val="24"/>
          <w14:textFill>
            <w14:solidFill>
              <w14:schemeClr w14:val="tx1"/>
            </w14:solidFill>
          </w14:textFill>
        </w:rPr>
        <w:t>用）。若乙方联营窗口不符合甲方管理要求，甲方有权要求直接清退，乙方需无条件服从。</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3.乙方需根据食堂实际需求及投标文件承诺对本项目进行装修改造，包括统筹布局各加工间、更新灯箱、改造线路、增设灯具、改造售餐台、以及更新其他设备设施等。并承诺该费用不分摊在饭菜价格中。</w:t>
      </w:r>
    </w:p>
    <w:p>
      <w:pPr>
        <w:spacing w:line="360" w:lineRule="auto"/>
        <w:ind w:firstLine="48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人员要求及标准：乙方应按照招标文件配备管理人员及厨师队伍，依法为乙方所有员工缴纳社会保险费，对所有人员开展入职背景审查，提供无犯罪记录证明以及相关资质、健康证明；乙方应按甲方要求建立人员健康档案，配合甲方及相关部门对人员进出校园、疫情防控等的管理；乙方应对员工进行业务素质、职业道德以及法律观念的教育培训，至少每学期组织员工进行5次食品卫生安全培训及1次消防演练；乙方企业法人应出具餐厅责任人委托书，明确餐厅第一及第二责任人，餐厅经理作为餐厅第一责任人负责餐厅全部管理事宜，保证餐厅安全平稳运行。餐厅责任人应全天候在餐厅处理各项事宜，因事外出应履行请假手续；经营期乙方管理人员严禁更换。</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Style w:val="24"/>
          <w:rFonts w:hint="eastAsia"/>
          <w:color w:val="000000" w:themeColor="text1"/>
          <w:lang w:val="en-US" w:eastAsia="zh-CN"/>
          <w14:textFill>
            <w14:solidFill>
              <w14:schemeClr w14:val="tx1"/>
            </w14:solidFill>
          </w14:textFill>
        </w:rPr>
        <w:t>制度管理及要求：</w:t>
      </w:r>
      <w:r>
        <w:rPr>
          <w:rFonts w:hint="eastAsia" w:ascii="宋体" w:hAnsi="宋体" w:cs="宋体"/>
          <w:color w:val="000000" w:themeColor="text1"/>
          <w:sz w:val="24"/>
          <w14:textFill>
            <w14:solidFill>
              <w14:schemeClr w14:val="tx1"/>
            </w14:solidFill>
          </w14:textFill>
        </w:rPr>
        <w:t>乙方需制定详细的、科学的经营服务管理方案及实施保证措施。建立健全财务、人事、采购、服务、保洁等日常管理制度，建立《联营方引入与退出机制》《管理团队考核奖励资金分配制度》《投诉受理制度》《餐饮公司自查与巡检制度》等有利于创新港食堂安全管理的各项制度、实施细则、管理规范。每月至少两次对交大创新港项目进行巡检、考核，并及时向甲方反馈巡检问题、当月财务报表等各项数据，加强企业内部的管理，做好稳定餐饮供应的质量和安全工作。严格食堂值班责任制，夜间安排餐厅经理在餐厅值班，协调处理夜间事项，严格遵守值班纪律，不脱岗、不违规使用电器，及时处理值班期间发生的问题。</w:t>
      </w:r>
    </w:p>
    <w:p>
      <w:pPr>
        <w:spacing w:line="360" w:lineRule="auto"/>
        <w:ind w:firstLine="480" w:firstLineChars="200"/>
        <w:rPr>
          <w:rFonts w:eastAsia="黑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6.产品布局要求：除基本大伙外，整栋楼的窗口产品不得重复，确保产品种类丰富，满足多元化就餐需求；涵英楼餐厅须有5个窗口经营早餐；餐饮公司自营基本大伙窗口比例不得低于30%，服务人次需占总就餐人次的30%以上。各层的产品布局应完全按照甲方招标文件及乙方投标文件执行。</w:t>
      </w:r>
    </w:p>
    <w:p>
      <w:pPr>
        <w:pStyle w:val="25"/>
        <w:spacing w:line="360" w:lineRule="auto"/>
        <w:ind w:left="-2" w:leftChars="-1"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供应要求及标准：乙方应根据甲方招标文件要求及乙方投标文件承诺供应早午晚餐，保证学生基本就餐需求及多元化就餐需求。乙方严格落实甲方要求的菜品价格、菜品结构（高中低档菜品为3：5：2比例）、供应时间以及服务承诺，严格按照成本核算进行售卖，明码标价，保持售卖菜品质量价格稳定。</w:t>
      </w:r>
    </w:p>
    <w:p>
      <w:pPr>
        <w:spacing w:line="360" w:lineRule="auto"/>
        <w:ind w:firstLine="480" w:firstLineChars="200"/>
        <w:rPr>
          <w:rStyle w:val="24"/>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8.档口管理要求及标准：乙方应定期对档口进行考评；档口因事停餐，乙方须提前书面申请，说明停餐原因、时间、停餐期间补充方案，待甲方</w:t>
      </w:r>
      <w:r>
        <w:rPr>
          <w:rStyle w:val="24"/>
          <w:color w:val="000000" w:themeColor="text1"/>
          <w14:textFill>
            <w14:solidFill>
              <w14:schemeClr w14:val="tx1"/>
            </w14:solidFill>
          </w14:textFill>
        </w:rPr>
        <w:t>审核通过后</w:t>
      </w:r>
      <w:r>
        <w:rPr>
          <w:rFonts w:hint="eastAsia" w:ascii="宋体" w:hAnsi="宋体" w:cs="宋体"/>
          <w:color w:val="000000" w:themeColor="text1"/>
          <w:sz w:val="24"/>
          <w14:textFill>
            <w14:solidFill>
              <w14:schemeClr w14:val="tx1"/>
            </w14:solidFill>
          </w14:textFill>
        </w:rPr>
        <w:t>方可停餐。在停餐期间，不允许有空置窗口；</w:t>
      </w:r>
      <w:r>
        <w:rPr>
          <w:rStyle w:val="24"/>
          <w:color w:val="000000" w:themeColor="text1"/>
          <w14:textFill>
            <w14:solidFill>
              <w14:schemeClr w14:val="tx1"/>
            </w14:solidFill>
          </w14:textFill>
        </w:rPr>
        <w:t>档口上新</w:t>
      </w:r>
      <w:r>
        <w:rPr>
          <w:rStyle w:val="26"/>
          <w:rFonts w:ascii="宋体" w:hAnsi="宋体" w:cs="宋体"/>
          <w:color w:val="000000" w:themeColor="text1"/>
          <w:sz w:val="24"/>
          <w14:textFill>
            <w14:solidFill>
              <w14:schemeClr w14:val="tx1"/>
            </w14:solidFill>
          </w14:textFill>
        </w:rPr>
        <w:t>/</w:t>
      </w:r>
      <w:r>
        <w:rPr>
          <w:rStyle w:val="24"/>
          <w:color w:val="000000" w:themeColor="text1"/>
          <w14:textFill>
            <w14:solidFill>
              <w14:schemeClr w14:val="tx1"/>
            </w14:solidFill>
          </w14:textFill>
        </w:rPr>
        <w:t>菜品上新须提前</w:t>
      </w:r>
      <w:r>
        <w:rPr>
          <w:rStyle w:val="24"/>
          <w:rFonts w:hint="eastAsia"/>
          <w:color w:val="000000" w:themeColor="text1"/>
          <w:lang w:val="en-US" w:eastAsia="zh-CN"/>
          <w14:textFill>
            <w14:solidFill>
              <w14:schemeClr w14:val="tx1"/>
            </w14:solidFill>
          </w14:textFill>
        </w:rPr>
        <w:t>书面申请</w:t>
      </w:r>
      <w:r>
        <w:rPr>
          <w:rStyle w:val="24"/>
          <w:color w:val="000000" w:themeColor="text1"/>
          <w14:textFill>
            <w14:solidFill>
              <w14:schemeClr w14:val="tx1"/>
            </w14:solidFill>
          </w14:textFill>
        </w:rPr>
        <w:t>，提供成本核算表、</w:t>
      </w:r>
      <w:r>
        <w:rPr>
          <w:rStyle w:val="24"/>
          <w:rFonts w:hint="eastAsia"/>
          <w:color w:val="000000" w:themeColor="text1"/>
          <w:lang w:eastAsia="zh-CN"/>
          <w14:textFill>
            <w14:solidFill>
              <w14:schemeClr w14:val="tx1"/>
            </w14:solidFill>
          </w14:textFill>
        </w:rPr>
        <w:t>厨师队伍、</w:t>
      </w:r>
      <w:r>
        <w:rPr>
          <w:rStyle w:val="24"/>
          <w:color w:val="000000" w:themeColor="text1"/>
          <w14:textFill>
            <w14:solidFill>
              <w14:schemeClr w14:val="tx1"/>
            </w14:solidFill>
          </w14:textFill>
        </w:rPr>
        <w:t>人员健康证、新品申请表，</w:t>
      </w:r>
      <w:r>
        <w:rPr>
          <w:rStyle w:val="24"/>
          <w:rFonts w:hint="eastAsia"/>
          <w:color w:val="000000" w:themeColor="text1"/>
          <w:lang w:eastAsia="zh-CN"/>
          <w14:textFill>
            <w14:solidFill>
              <w14:schemeClr w14:val="tx1"/>
            </w14:solidFill>
          </w14:textFill>
        </w:rPr>
        <w:t>由厨师队伍进行试厨，</w:t>
      </w:r>
      <w:r>
        <w:rPr>
          <w:rStyle w:val="24"/>
          <w:color w:val="000000" w:themeColor="text1"/>
          <w14:textFill>
            <w14:solidFill>
              <w14:schemeClr w14:val="tx1"/>
            </w14:solidFill>
          </w14:textFill>
        </w:rPr>
        <w:t>在经过</w:t>
      </w:r>
      <w:r>
        <w:rPr>
          <w:rStyle w:val="24"/>
          <w:rFonts w:hint="eastAsia"/>
          <w:color w:val="000000" w:themeColor="text1"/>
          <w:lang w:eastAsia="zh-CN"/>
          <w14:textFill>
            <w14:solidFill>
              <w14:schemeClr w14:val="tx1"/>
            </w14:solidFill>
          </w14:textFill>
        </w:rPr>
        <w:t>学生试餐以及甲方</w:t>
      </w:r>
      <w:r>
        <w:rPr>
          <w:rStyle w:val="24"/>
          <w:color w:val="000000" w:themeColor="text1"/>
          <w14:textFill>
            <w14:solidFill>
              <w14:schemeClr w14:val="tx1"/>
            </w14:solidFill>
          </w14:textFill>
        </w:rPr>
        <w:t>审核通过后，方可售卖</w:t>
      </w:r>
      <w:r>
        <w:rPr>
          <w:rStyle w:val="24"/>
          <w:rFonts w:hint="eastAsia"/>
          <w:color w:val="000000" w:themeColor="text1"/>
          <w:lang w:eastAsia="zh-CN"/>
          <w14:textFill>
            <w14:solidFill>
              <w14:schemeClr w14:val="tx1"/>
            </w14:solidFill>
          </w14:textFill>
        </w:rPr>
        <w:t>；</w:t>
      </w:r>
      <w:r>
        <w:rPr>
          <w:rStyle w:val="24"/>
          <w:rFonts w:hint="eastAsia"/>
          <w:color w:val="000000" w:themeColor="text1"/>
          <w:lang w:val="en-US" w:eastAsia="zh-CN"/>
          <w14:textFill>
            <w14:solidFill>
              <w14:schemeClr w14:val="tx1"/>
            </w14:solidFill>
          </w14:textFill>
        </w:rPr>
        <w:t>档口退出，乙方须提前书面申请，说明退出原因、时间、档口补充方案，</w:t>
      </w:r>
      <w:r>
        <w:rPr>
          <w:rFonts w:hint="eastAsia" w:ascii="宋体" w:hAnsi="宋体" w:cs="宋体"/>
          <w:color w:val="000000" w:themeColor="text1"/>
          <w:sz w:val="24"/>
          <w14:textFill>
            <w14:solidFill>
              <w14:schemeClr w14:val="tx1"/>
            </w14:solidFill>
          </w14:textFill>
        </w:rPr>
        <w:t>待甲方</w:t>
      </w:r>
      <w:r>
        <w:rPr>
          <w:rStyle w:val="24"/>
          <w:color w:val="000000" w:themeColor="text1"/>
          <w14:textFill>
            <w14:solidFill>
              <w14:schemeClr w14:val="tx1"/>
            </w14:solidFill>
          </w14:textFill>
        </w:rPr>
        <w:t>审核通过后</w:t>
      </w:r>
      <w:r>
        <w:rPr>
          <w:rFonts w:hint="eastAsia" w:ascii="宋体" w:hAnsi="宋体" w:cs="宋体"/>
          <w:color w:val="000000" w:themeColor="text1"/>
          <w:sz w:val="24"/>
          <w14:textFill>
            <w14:solidFill>
              <w14:schemeClr w14:val="tx1"/>
            </w14:solidFill>
          </w14:textFill>
        </w:rPr>
        <w:t>方可退档。</w:t>
      </w:r>
      <w:r>
        <w:rPr>
          <w:rStyle w:val="24"/>
          <w:rFonts w:hint="eastAsia"/>
          <w:color w:val="000000" w:themeColor="text1"/>
          <w:lang w:val="en-US" w:eastAsia="zh-CN"/>
          <w14:textFill>
            <w14:solidFill>
              <w14:schemeClr w14:val="tx1"/>
            </w14:solidFill>
          </w14:textFill>
        </w:rPr>
        <w:t>档口退出后新档口补充不得中断，乙方必须在一周内完成新档口补充工作，不能影响日常供餐保障；</w:t>
      </w:r>
      <w:r>
        <w:rPr>
          <w:rStyle w:val="24"/>
          <w:color w:val="000000" w:themeColor="text1"/>
          <w:lang w:eastAsia="zh-CN"/>
          <w14:textFill>
            <w14:solidFill>
              <w14:schemeClr w14:val="tx1"/>
            </w14:solidFill>
          </w14:textFill>
        </w:rPr>
        <w:t>公司与档口签订的协议/合同，需规定具体的水、电、气、保洁、</w:t>
      </w:r>
      <w:r>
        <w:rPr>
          <w:rStyle w:val="24"/>
          <w:color w:val="000000" w:themeColor="text1"/>
          <w:lang w:val="en-US" w:eastAsia="zh-CN"/>
          <w14:textFill>
            <w14:solidFill>
              <w14:schemeClr w14:val="tx1"/>
            </w14:solidFill>
          </w14:textFill>
        </w:rPr>
        <w:t>管理费等</w:t>
      </w:r>
      <w:r>
        <w:rPr>
          <w:rStyle w:val="24"/>
          <w:color w:val="000000" w:themeColor="text1"/>
          <w:lang w:eastAsia="zh-CN"/>
          <w14:textFill>
            <w14:solidFill>
              <w14:schemeClr w14:val="tx1"/>
            </w14:solidFill>
          </w14:textFill>
        </w:rPr>
        <w:t>收费标准</w:t>
      </w:r>
      <w:r>
        <w:rPr>
          <w:rStyle w:val="24"/>
          <w:color w:val="000000" w:themeColor="text1"/>
          <w:lang w:val="en-US" w:eastAsia="zh-CN"/>
          <w14:textFill>
            <w14:solidFill>
              <w14:schemeClr w14:val="tx1"/>
            </w14:solidFill>
          </w14:textFill>
        </w:rPr>
        <w:t>及罚款标准</w:t>
      </w:r>
      <w:r>
        <w:rPr>
          <w:rStyle w:val="24"/>
          <w:color w:val="000000" w:themeColor="text1"/>
          <w:lang w:eastAsia="zh-CN"/>
          <w14:textFill>
            <w14:solidFill>
              <w14:schemeClr w14:val="tx1"/>
            </w14:solidFill>
          </w14:textFill>
        </w:rPr>
        <w:t>，</w:t>
      </w:r>
      <w:r>
        <w:rPr>
          <w:rStyle w:val="24"/>
          <w:color w:val="000000" w:themeColor="text1"/>
          <w:lang w:val="en-US" w:eastAsia="zh-CN"/>
          <w14:textFill>
            <w14:solidFill>
              <w14:schemeClr w14:val="tx1"/>
            </w14:solidFill>
          </w14:textFill>
        </w:rPr>
        <w:t>并向</w:t>
      </w:r>
      <w:r>
        <w:rPr>
          <w:rStyle w:val="24"/>
          <w:rFonts w:hint="eastAsia"/>
          <w:color w:val="000000" w:themeColor="text1"/>
          <w:lang w:val="en-US" w:eastAsia="zh-CN"/>
          <w14:textFill>
            <w14:solidFill>
              <w14:schemeClr w14:val="tx1"/>
            </w14:solidFill>
          </w14:textFill>
        </w:rPr>
        <w:t>甲方</w:t>
      </w:r>
      <w:r>
        <w:rPr>
          <w:rStyle w:val="24"/>
          <w:color w:val="000000" w:themeColor="text1"/>
          <w:lang w:val="en-US" w:eastAsia="zh-CN"/>
          <w14:textFill>
            <w14:solidFill>
              <w14:schemeClr w14:val="tx1"/>
            </w14:solidFill>
          </w14:textFill>
        </w:rPr>
        <w:t>备案，乙方对备案协议/合同真实性负责</w:t>
      </w:r>
      <w:r>
        <w:rPr>
          <w:rStyle w:val="24"/>
          <w:color w:val="000000" w:themeColor="text1"/>
          <w:lang w:eastAsia="zh-CN"/>
          <w14:textFill>
            <w14:solidFill>
              <w14:schemeClr w14:val="tx1"/>
            </w14:solidFill>
          </w14:textFill>
        </w:rPr>
        <w:t>。</w:t>
      </w:r>
    </w:p>
    <w:p>
      <w:pPr>
        <w:spacing w:line="360" w:lineRule="auto"/>
        <w:ind w:firstLine="480" w:firstLineChars="200"/>
        <w:contextualSpacing/>
        <w:rPr>
          <w:rStyle w:val="24"/>
          <w:color w:val="000000" w:themeColor="text1"/>
          <w14:textFill>
            <w14:solidFill>
              <w14:schemeClr w14:val="tx1"/>
            </w14:solidFill>
          </w14:textFill>
        </w:rPr>
      </w:pPr>
      <w:r>
        <w:rPr>
          <w:rStyle w:val="24"/>
          <w:rFonts w:hint="eastAsia"/>
          <w:color w:val="000000" w:themeColor="text1"/>
          <w:lang w:val="en-US" w:eastAsia="zh-CN"/>
          <w14:textFill>
            <w14:solidFill>
              <w14:schemeClr w14:val="tx1"/>
            </w14:solidFill>
          </w14:textFill>
        </w:rPr>
        <w:t>9.</w:t>
      </w:r>
      <w:r>
        <w:rPr>
          <w:rStyle w:val="24"/>
          <w:color w:val="000000" w:themeColor="text1"/>
          <w14:textFill>
            <w14:solidFill>
              <w14:schemeClr w14:val="tx1"/>
            </w14:solidFill>
          </w14:textFill>
        </w:rPr>
        <w:t>原材料管理要求</w:t>
      </w:r>
      <w:r>
        <w:rPr>
          <w:rStyle w:val="24"/>
          <w:rFonts w:hint="eastAsia"/>
          <w:color w:val="000000" w:themeColor="text1"/>
          <w:lang w:val="en-US" w:eastAsia="zh-CN"/>
          <w14:textFill>
            <w14:solidFill>
              <w14:schemeClr w14:val="tx1"/>
            </w14:solidFill>
          </w14:textFill>
        </w:rPr>
        <w:t>及标准</w:t>
      </w:r>
      <w:r>
        <w:rPr>
          <w:rStyle w:val="24"/>
          <w:color w:val="000000" w:themeColor="text1"/>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所有原材料采购、运输、贮存均由乙方负责。甲方建立供货商准入制度，搭建统一采购平台，乙方使用集中采购平台进行原材料采购、出入库，自行完成验收、财务结算等工作，承担平台运行费用，并将采购数据如实报备</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大宗物资（米、面、油、蛋）的供货商及产品品牌、价格由甲方确定；其余原材料的供货商由甲方审核后进入采购平台线上报价，乙方根据不同供货商原材料质量及价格择优下单，月底按标准核算成本。为应对疫情防控等突发情况，乙方应按甲方要求进行物资应急储备。</w:t>
      </w:r>
      <w:r>
        <w:rPr>
          <w:rStyle w:val="24"/>
          <w:rFonts w:hint="eastAsia"/>
          <w:color w:val="000000" w:themeColor="text1"/>
          <w:lang w:val="en-US" w:eastAsia="zh-CN"/>
          <w14:textFill>
            <w14:solidFill>
              <w14:schemeClr w14:val="tx1"/>
            </w14:solidFill>
          </w14:textFill>
        </w:rPr>
        <w:t>甲方</w:t>
      </w:r>
      <w:r>
        <w:rPr>
          <w:rStyle w:val="24"/>
          <w:color w:val="000000" w:themeColor="text1"/>
          <w14:textFill>
            <w14:solidFill>
              <w14:schemeClr w14:val="tx1"/>
            </w14:solidFill>
          </w14:textFill>
        </w:rPr>
        <w:t>将对所有原材料采购贮存、加工进行监督，</w:t>
      </w:r>
      <w:r>
        <w:rPr>
          <w:rStyle w:val="24"/>
          <w:rFonts w:hint="eastAsia"/>
          <w:color w:val="000000" w:themeColor="text1"/>
          <w:lang w:val="en-US" w:eastAsia="zh-CN"/>
          <w14:textFill>
            <w14:solidFill>
              <w14:schemeClr w14:val="tx1"/>
            </w14:solidFill>
          </w14:textFill>
        </w:rPr>
        <w:t>乙方</w:t>
      </w:r>
      <w:r>
        <w:rPr>
          <w:rStyle w:val="24"/>
          <w:color w:val="000000" w:themeColor="text1"/>
          <w14:textFill>
            <w14:solidFill>
              <w14:schemeClr w14:val="tx1"/>
            </w14:solidFill>
          </w14:textFill>
        </w:rPr>
        <w:t>须无条件配合</w:t>
      </w:r>
      <w:r>
        <w:rPr>
          <w:rStyle w:val="24"/>
          <w:rFonts w:hint="eastAsia"/>
          <w:color w:val="000000" w:themeColor="text1"/>
          <w:lang w:val="en-US" w:eastAsia="zh-CN"/>
          <w14:textFill>
            <w14:solidFill>
              <w14:schemeClr w14:val="tx1"/>
            </w14:solidFill>
          </w14:textFill>
        </w:rPr>
        <w:t>甲方</w:t>
      </w:r>
      <w:r>
        <w:rPr>
          <w:rStyle w:val="24"/>
          <w:color w:val="000000" w:themeColor="text1"/>
          <w14:textFill>
            <w14:solidFill>
              <w14:schemeClr w14:val="tx1"/>
            </w14:solidFill>
          </w14:textFill>
        </w:rPr>
        <w:t>的监督工作。</w:t>
      </w:r>
    </w:p>
    <w:p>
      <w:pPr>
        <w:spacing w:line="360" w:lineRule="auto"/>
        <w:ind w:firstLine="480" w:firstLineChars="200"/>
        <w:rPr>
          <w:rStyle w:val="24"/>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服务标准及要求：为了满足突发情况的应急保障需求，乙方应根据甲方要求的时间、地点、形式，提供快速餐饮保障服务。为了营造节日氛围、提升食堂服务质量、提高满意度，乙方应按照投标文件承诺及甲方要求举办师生交流活动，产生的费用由乙方承担。乙方应根据学校统一安排配合学校开展劳育课，产生的费用由乙方承担。乙方应当根据甲方的要求安排工作内容、营业时间，并保证甲方师生员工正常的餐饮供应，不得随意变更。寒暑假食堂经营方式及时间等由甲方统一安排，乙方必须遵照执行。假期停业期间必须安排全天值班。乙方在经营活动中应正当、平等竞争，不随意抬价、压价，破坏经营秩序。</w:t>
      </w:r>
      <w:r>
        <w:rPr>
          <w:rStyle w:val="24"/>
          <w:rFonts w:hint="eastAsia"/>
          <w:color w:val="000000" w:themeColor="text1"/>
          <w:lang w:val="en-US" w:eastAsia="zh-CN"/>
          <w14:textFill>
            <w14:solidFill>
              <w14:schemeClr w14:val="tx1"/>
            </w14:solidFill>
          </w14:textFill>
        </w:rPr>
        <w:t>乙方</w:t>
      </w:r>
      <w:r>
        <w:rPr>
          <w:rStyle w:val="24"/>
          <w:color w:val="000000" w:themeColor="text1"/>
          <w14:textFill>
            <w14:solidFill>
              <w14:schemeClr w14:val="tx1"/>
            </w14:solidFill>
          </w14:textFill>
        </w:rPr>
        <w:t>定期对房屋和食堂内的电、水、燃气主线、管道等设备进行保养、维修。</w:t>
      </w:r>
    </w:p>
    <w:p>
      <w:pPr>
        <w:spacing w:line="360" w:lineRule="auto"/>
        <w:ind w:firstLine="480" w:firstLineChars="200"/>
        <w:rPr>
          <w:rFonts w:ascii="宋体" w:hAnsi="宋体" w:cs="宋体"/>
          <w:color w:val="000000" w:themeColor="text1"/>
          <w:sz w:val="24"/>
          <w14:textFill>
            <w14:solidFill>
              <w14:schemeClr w14:val="tx1"/>
            </w14:solidFill>
          </w14:textFill>
        </w:rPr>
      </w:pPr>
      <w:r>
        <w:rPr>
          <w:rStyle w:val="24"/>
          <w:rFonts w:hint="eastAsia"/>
          <w:color w:val="000000" w:themeColor="text1"/>
          <w:lang w:val="en-US" w:eastAsia="zh-CN"/>
          <w14:textFill>
            <w14:solidFill>
              <w14:schemeClr w14:val="tx1"/>
            </w14:solidFill>
          </w14:textFill>
        </w:rPr>
        <w:t>11.创新港餐饮公司组建餐饮联盟，根据联盟章程选举盟主，盟主负责联盟日常管理、外出调研学习、技能比拼、活动举办、考核专项资金管理分发等事宜。</w:t>
      </w:r>
      <w:r>
        <w:rPr>
          <w:rFonts w:hint="eastAsia" w:ascii="宋体" w:hAnsi="宋体" w:cs="宋体"/>
          <w:color w:val="000000" w:themeColor="text1"/>
          <w:sz w:val="24"/>
          <w14:textFill>
            <w14:solidFill>
              <w14:schemeClr w14:val="tx1"/>
            </w14:solidFill>
          </w14:textFill>
        </w:rPr>
        <w:t>乙方需向盟主缴纳团队考核专项资金，作为管理团队的月度、年度考核奖励资金，由甲方进行定期考核，盟主根据甲方考核下发奖励资金到项目团队。资金额度按照管理团队人员计算，标准为1000元/月/人。</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12.乙方需按招标文件要求及投标文件承诺，提供本地化服务。</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乙方应创建标准化食堂，实现食品安全事故率必须为0，餐饮收费准确及明示率必须为100%，员工持证上岗率必须为100%。按照甲方要求进行线上师生满意度问卷调查，样本量不得低于经营食堂就餐人数的60%，师生综合满意率需达到85%以上。</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.甲方开放线上投诉平台，投诉问题经核实后，按照赔偿机制、质量考核扣款机制处理，投诉情况纳入合同期末考核指标。</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.甲方核算乙方原材料成本占比，占比不符合要求的按质量考核扣款机制处理。甲方按照基本大伙毛利率不高于35%、风味小吃毛利率不高于45%标准核算成本。</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16.乙方必须服从并配合甲方各项管理工作。</w:t>
      </w:r>
    </w:p>
    <w:p>
      <w:pPr>
        <w:spacing w:line="360" w:lineRule="auto"/>
        <w:rPr>
          <w:rStyle w:val="24"/>
          <w:color w:val="000000" w:themeColor="text1"/>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第七条、双方的权利和义务</w:t>
      </w:r>
    </w:p>
    <w:p>
      <w:pPr>
        <w:spacing w:line="360" w:lineRule="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（一）甲方权利与义务</w:t>
      </w:r>
    </w:p>
    <w:p>
      <w:pPr>
        <w:pStyle w:val="25"/>
        <w:tabs>
          <w:tab w:val="left" w:pos="993"/>
        </w:tabs>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甲方有权要求乙方按照《食品安全法》、《消防法》、《劳动法》、《消费者权益法》等相关法律法规要求合法经营餐厅。甲方有权对乙方经营餐厅的食品安全、饭菜质量、服务质量、采供验收、防火安全、生产安全等制定相关规定，并进行全面检查和监督，甲方有权根据乙方经营管理情况要求乙方整改甚至停业整顿。甲方出于对师生饮食健康及公益性的考虑，有权规定主要餐饮物资的等级、质量和类别。</w:t>
      </w:r>
    </w:p>
    <w:p>
      <w:pPr>
        <w:pStyle w:val="25"/>
        <w:tabs>
          <w:tab w:val="left" w:pos="993"/>
        </w:tabs>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甲方有权对乙方的采购流程、财务状况、经营状况、成本核算、服务质量等进行监督检查管理。日常管理依照创新港学生食堂管理制度《西安交通大学餐饮服务食品安全监督量化分级动态等级评定检查表》《陕西省高校“标准化食堂”评估指标体系》执行。甲方主要职责为监督管理乙方的经营范围、食品安全、卫生安全、饭菜质量及价格等，甲方不干预乙方的具体经营及内部管理事宜。</w:t>
      </w:r>
    </w:p>
    <w:p>
      <w:pPr>
        <w:pStyle w:val="25"/>
        <w:tabs>
          <w:tab w:val="left" w:pos="993"/>
        </w:tabs>
        <w:spacing w:line="460" w:lineRule="exact"/>
        <w:ind w:firstLine="480"/>
        <w:rPr>
          <w:rFonts w:ascii="宋体" w:hAnsi="宋体" w:cs="宋体"/>
          <w:color w:val="0000FF"/>
          <w:sz w:val="24"/>
        </w:rPr>
      </w:pPr>
      <w:r>
        <w:rPr>
          <w:rFonts w:hint="eastAsia" w:ascii="宋体" w:hAnsi="宋体" w:cs="宋体"/>
          <w:color w:val="000000"/>
          <w:sz w:val="24"/>
        </w:rPr>
        <w:t>3.甲方可按照本合同内容、《西安交大餐饮服务食品安全监督量化分级动态等级评定检查表》《西安交通大学创新港饮食办公室管理细则》（试行）及学校有</w:t>
      </w:r>
      <w:r>
        <w:rPr>
          <w:rFonts w:hint="eastAsia" w:ascii="宋体" w:hAnsi="宋体" w:cs="宋体"/>
          <w:color w:val="0000FF"/>
          <w:sz w:val="24"/>
        </w:rPr>
        <w:t>关规定对乙方的违约、违规行为扣除乙方缴纳的履约保证金，也可从代收乙方餐厅营业款中直接扣除所有违约金额。</w:t>
      </w:r>
    </w:p>
    <w:p>
      <w:pPr>
        <w:pStyle w:val="25"/>
        <w:tabs>
          <w:tab w:val="left" w:pos="993"/>
        </w:tabs>
        <w:spacing w:line="360" w:lineRule="auto"/>
        <w:ind w:firstLine="480"/>
        <w:rPr>
          <w:rFonts w:hint="eastAsia" w:ascii="宋体" w:hAnsi="宋体" w:cs="宋体"/>
          <w:color w:val="000000"/>
          <w:sz w:val="24"/>
        </w:rPr>
      </w:pPr>
      <w:r>
        <w:rPr>
          <w:rFonts w:hint="eastAsia" w:ascii="宋体" w:hAnsi="宋体" w:cs="宋体"/>
          <w:color w:val="000000"/>
          <w:sz w:val="24"/>
        </w:rPr>
        <w:t>4.甲方有权根据每月动态等级评定检查结果及年终综合评定检查结果，决定乙方是否有续约权和优先中标权。甲方有权要求乙方落实甲方《招标文件》有关内容、乙方《投标文件》有关内容，甲方有权视乙方未落实情况</w:t>
      </w:r>
      <w:r>
        <w:rPr>
          <w:rFonts w:hint="eastAsia" w:ascii="宋体" w:hAnsi="宋体" w:cs="宋体"/>
          <w:color w:val="0000FF"/>
          <w:sz w:val="24"/>
          <w:lang w:val="en-US" w:eastAsia="zh-CN"/>
        </w:rPr>
        <w:t>扣除履约保证金</w:t>
      </w:r>
      <w:r>
        <w:rPr>
          <w:rFonts w:hint="eastAsia" w:ascii="宋体" w:hAnsi="宋体" w:cs="宋体"/>
          <w:color w:val="0000FF"/>
          <w:sz w:val="24"/>
        </w:rPr>
        <w:t>，</w:t>
      </w:r>
      <w:r>
        <w:rPr>
          <w:rFonts w:hint="eastAsia" w:ascii="宋体" w:hAnsi="宋体" w:cs="宋体"/>
          <w:color w:val="000000"/>
          <w:sz w:val="24"/>
        </w:rPr>
        <w:t>甚至解除合同。</w:t>
      </w:r>
    </w:p>
    <w:p>
      <w:pPr>
        <w:pStyle w:val="25"/>
        <w:tabs>
          <w:tab w:val="left" w:pos="993"/>
        </w:tabs>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甲方有权对乙方经营餐厅的食品安全、饭菜质量、服务质量、采供验收、防火安全、生产安全等制定相关规定，并进行全面检查和监督，甲方有权根据乙方经营管理情况要求乙方整改、停业整顿等。若因乙方过失造成甲方遭受不良影响或重大损失时，甲方有权单方中止或解除合同。因乙方原因导致饭菜质量下降的，甲方有权提出整改意见并要求乙方限期整改，如乙方整改不到位或拒不整改并造成恶劣影响的，甲方有权随时中止或解除合同。</w:t>
      </w:r>
    </w:p>
    <w:p>
      <w:pPr>
        <w:pStyle w:val="25"/>
        <w:tabs>
          <w:tab w:val="left" w:pos="993"/>
        </w:tabs>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甲方有权按照乙方承诺伙食净利润要求乙方调整伙食净利润，甲方有权根据实际情况制定饭菜指导价，甲方有权要求乙方提交饭菜菜单、价格表及价格核算单，有权要求乙方对价格单、饭菜价格核算表做出解释说明，有权适当调整乙方饭菜质量、价格、重量。</w:t>
      </w:r>
    </w:p>
    <w:p>
      <w:pPr>
        <w:pStyle w:val="25"/>
        <w:tabs>
          <w:tab w:val="left" w:pos="993"/>
        </w:tabs>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7.甲方有权要求乙方提供各项投入报表、原材料采购明细表、经营报表、饭菜成本核算表等各项经营数据，乙方对各项数据的真实性负责。</w:t>
      </w:r>
    </w:p>
    <w:p>
      <w:pPr>
        <w:pStyle w:val="25"/>
        <w:tabs>
          <w:tab w:val="left" w:pos="993"/>
        </w:tabs>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甲方按照《西安交通大学水电管理办法》，在乙方经营期间保证水、电、暖的正常供给。甲方在职权范围内积极帮助乙方协调食堂经营中遇到的问题。甲方负责办理所在西安交通大学创新港实际经营地点的《食品经营许可证》。</w:t>
      </w:r>
    </w:p>
    <w:p>
      <w:pPr>
        <w:pStyle w:val="25"/>
        <w:tabs>
          <w:tab w:val="left" w:pos="993"/>
        </w:tabs>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9.甲方有权对管理团队的工作能力及管理成效进行考核，并按照考核管理制度分配团队考核专项资金。</w:t>
      </w:r>
    </w:p>
    <w:p>
      <w:pPr>
        <w:spacing w:line="360" w:lineRule="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（二）乙方权利与义务</w:t>
      </w:r>
    </w:p>
    <w:p>
      <w:pPr>
        <w:spacing w:line="360" w:lineRule="auto"/>
        <w:ind w:firstLine="480" w:firstLineChars="200"/>
        <w:rPr>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乙方必须按照《中华人民共和国食品安全法》《中华人民共和国食品安全法实施条例》《餐饮业和集体用餐配送单位卫生规范》《学生食堂与学生集体用餐卫生管理规定》《餐饮服务食品采购索证索票规定》《餐饮服务食品安全操作规范》《陕西省高校“标准化食堂”评估指标体系》《西安交通大学食堂食品安全各项管理规定》《西安交通大学创新港饮食安全责任协议书》等相关法律法规及甲方规定的要求，合法经营餐厅，服从甲方的管理、监督和指导，安全、卫生、合理的开展饮食工作，遵守学校的各种规章制度，并完成甲方安排的各类临时性餐饮接待任务。</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应建立健全各项规章制度，完善财务管理、用工管理、安全管理、卫生保障、员工培训、质量监督、价格核算和文明服务等规范、规程，建立健全生产、消防、食品安全等各类应急管理方案，并予以公示，相应制度应报甲方备案。</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需保障日常师生用餐，甲方规定的部分饭菜价格及配比量乙方必须严格执行，增加饭菜品种必须上报甲方创新港饮食管理部门审核，通过后方可售卖。乙方经营期内，应积极服从甲方管理，并主动配合接受卫生防疫、环保、消防等监督部门的检查。乙方应负责员工的日常管理、教育与培训，确保安全生产、文明服务。</w:t>
      </w:r>
    </w:p>
    <w:p>
      <w:pPr>
        <w:spacing w:line="360" w:lineRule="auto"/>
        <w:ind w:firstLine="480" w:firstLineChars="200"/>
        <w:contextualSpacing/>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应做好食堂日常生产、环境周边、设施设备、人员管理等工作，具体包括但不限于制度建设、原材料采购管理、验收管理、仓库（贮存）管理、台账记录、餐用具洗消、环境及周边保洁消杀、六防管理（防盗、防毒、防鼠、防蚊蝇、防蟑螂、防虫防霉）、节能降耗、成本控制、售价管理、食品卫生、消防安全、生产安全、疫情防控、应急预案及演练、制止餐饮浪费、垃圾分类、固定资产管理、员工管理、团队建设，以及各项登记、统计、计划、总结撰写编制工作等。</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乙方不得随意更改餐厅建筑结构及用途，如需对餐厅内部装修改造，需提出餐厅装修改造方案，并以书面形式上报甲方创新港饮食管理部门同意后方可施工，场所装饰装修改造等相关费用由乙方自行承担，经营期满后，装修等不动产无偿交予甲方。乙方在经营期间，因工作所需添灶具或餐具，费用自理。</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乙方经营期内禁止超负荷使用电器设备，不得擅自改动电路、私接、乱接用电设备，乙方添置任何用电设备需书面报备甲方并得到甲方书面同意后方可实施。乙方禁止擅自接改燃气设备，如需更改，需报备咸阳天然气公司批准。甲方经营场所交付乙方使用的基本的配套设备，如：厨具设施用具、校园一卡通系统、消防设施设备、排风系统、各种食品加工设备、电梯等，交付时需双方共同签字确认。乙方对甲方提供的设备、设施应予以爱护并按规范使用、保养、维修、年检等，相关费用由乙方承担，维修须在7个自然日内完成。甲方交付乙方的设备因人为因素或使用和保养未按设备操作规范和保养要求导致设备损坏的，乙方应照价赔偿（或赔偿相同型号及品牌的设备，赔偿的设备归甲方所有）。</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采购的食品原材料必须确保正规渠道、正规厂家、证照齐全、安全质优，必须建立《食品原料采购台账》，对采购的所有物资进行索票索证、质量验收及检测。乙方主食库房及二级库房实行统一管理，并做好出入库记录。乙方负责台账、记录的日常登记、核对、管理工作。按照相关规定及时、如实登记，不得出现漏填、缺失或内容不符情况。</w:t>
      </w:r>
    </w:p>
    <w:p>
      <w:pPr>
        <w:spacing w:line="360" w:lineRule="auto"/>
        <w:ind w:firstLine="480" w:firstLineChars="200"/>
        <w:jc w:val="left"/>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8.乙方需保证食堂环境卫生干净整洁，做好食堂内外环境的消杀工作。乙方须主动配合甲方，积极保障学校的各类重大活动顺利进行，并提供优质服务。乙方不得利用甲方及西安交通大学的名义进行任何形式的商业活动和经济活动等。</w:t>
      </w:r>
    </w:p>
    <w:p>
      <w:pPr>
        <w:spacing w:line="360" w:lineRule="auto"/>
        <w:ind w:firstLine="480" w:firstLineChars="200"/>
        <w:rPr>
          <w:rFonts w:hint="eastAsia" w:ascii="宋体" w:hAnsi="宋体" w:cs="宋体"/>
          <w:color w:val="0000FF"/>
          <w:sz w:val="24"/>
          <w:lang w:val="en-US" w:eastAsia="zh-CN"/>
        </w:rPr>
      </w:pPr>
      <w:r>
        <w:rPr>
          <w:rFonts w:hint="eastAsia" w:ascii="宋体" w:hAnsi="宋体" w:cs="宋体"/>
          <w:color w:val="0000FF"/>
          <w:sz w:val="24"/>
        </w:rPr>
        <w:t>9</w:t>
      </w:r>
      <w:r>
        <w:rPr>
          <w:rFonts w:ascii="宋体" w:hAnsi="宋体" w:cs="宋体"/>
          <w:color w:val="0000FF"/>
          <w:sz w:val="24"/>
        </w:rPr>
        <w:t>.</w:t>
      </w:r>
      <w:r>
        <w:rPr>
          <w:rFonts w:hint="eastAsia" w:ascii="宋体" w:hAnsi="宋体" w:cs="宋体"/>
          <w:color w:val="0000FF"/>
          <w:sz w:val="24"/>
          <w:lang w:val="en-US" w:eastAsia="zh-CN"/>
        </w:rPr>
        <w:t xml:space="preserve">乙方应建立健全人员管理制度及保密制度，对人员管理提出相关要求，严格遵守学校安全、防疫、门禁等管理制度，遵守和维护学校科研教学秩序，乙方对员工的在岗行为承担责任；乙方及所有聘用员工因履行本合同所取得和接触的甲方信息，未经甲方许可，不得向第三方透漏，非履行合同必要，不得内部传播。  </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乙方所有聘用员工应按照甲方创新港饮食管理部门要求进行备案，乙方对所聘员工负管理责任及连带责任，不得因乙方及所聘员工的任何纠纷</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矛盾对甲方及学校造成影响。乙方及其所聘员工之间的一切纠纷与甲方无关。若因乙方或乙方所聘人员造成甲方损失或纠纷的，乙方承担直接或连带责任。</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1</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乙方需按时足额缴纳服务经营所产生的水电费、燃气费、设备使用费等运行费用。乙方必须遵守政府相关部门和甲方创新港饮食管理部门有关餐厨垃圾处理的相关制度，相关费用由乙方全额承担。</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乙方建立严格的师生投诉事件防范和应急处理预案，切实履行各自职责，并对员工进行投诉处理应急预案培训。乙方应建立餐厅投诉渠道，如投诉意见本、投诉群、投诉二维码等。乙方应及时查看建立的投诉渠道有无师生投诉事件，出现师生投诉事件后，第一时间封存留样，并和投诉人进行沟通解决，并将处理结果上报至主管老师、记录处理投诉台账。因乙方造成投诉人追究赔偿的，由乙方承担赔偿责任。因乙方原因发生各种纠纷及事故时，乙方需立即处理，降低对甲方负面影响，不得影响甲方正常供餐保障。</w:t>
      </w:r>
    </w:p>
    <w:p>
      <w:pPr>
        <w:spacing w:line="360" w:lineRule="auto"/>
        <w:rPr>
          <w:rFonts w:asci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第八条：合同的变更及解除</w:t>
      </w:r>
    </w:p>
    <w:p>
      <w:pPr>
        <w:spacing w:line="360" w:lineRule="auto"/>
        <w:ind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经甲乙双方协商一致，可以变更或者解除本合同。除不可抗力外，无正当理由不得随意变更或解除合同。</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2.乙方如有下列情况之一者，甲方有权单方无条件解除合同，且视为乙方非正常情况退出。</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）不服从甲方的各项管理规定，不积极履行本合同、甲方招标文件、乙方投标文件约定条款，造成恶劣影响的。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（2）未按相关法律法规和本合同约定执行，经营管理混乱的。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（3）发生1次食物中毒或3次及以上疑似食物中毒事件的。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（4）发生1次消防安全事故或3次及以上消防安全事件的。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（5）发生经济、劳动劳务等法律纠纷，在2个自然日内未处理的。</w:t>
      </w:r>
    </w:p>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（6）因乙方或乙方所聘人员（含联营档口员工）造成甲方损失或纠纷的。</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（7）合同期末师生满意度（样本量不得低于1000）低于70%的。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（8）乙方连续一学期未对本项目进行考核管理的（以乙方公司总部向甲方提交的考核文件为准）。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（9）连续3次及以上更换餐厅责任人的。</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（10）不配合校方进行管理、检查，且限期整改不力的。被相关行政部门处罚且限期整改不力的。</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（11）被国家监督部门出具停业整改通知单的。</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（12）擅自提高饭菜价格或因食品卫生安全和服务质量及其他问题引起师生强烈不满而发生群体事件或舆情，影响恶劣的。</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（13）未按合同经营范围经营，限期整改无效的。掺杂使假，销售无证、过期、有害食品或法律法规不允许销售或使用的食品及食品原料，超标准超范围使用食品添加剂或添加国家明令禁止的添加剂情节严重的。</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4）在经营过程中有转包行为的。</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5）未经甲方同意，利用甲方资源从事校外社会餐饮服务的。</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6）未经甲方同意，经营期内一半以上档口停餐或停止营业超过3天的。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7）合同期末考核评定分数低于60分的。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（18）因失信行为被甲方列入失信名单2次以上。具体有：乙方违反招投标文件、合同内容及经营服务承诺的；乙方各项经营数据与实际有重大偏差的；向甲方报备的采购信息、人员信息等数据造假的。</w:t>
      </w:r>
    </w:p>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（19）自营窗口比例不达标的。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w:t>
      </w:r>
      <w:r>
        <w:rPr>
          <w:rFonts w:hint="eastAsia" w:ascii="宋体" w:hAnsi="宋体" w:cs="宋体"/>
          <w:color w:val="000000" w:themeColor="text1"/>
          <w:sz w:val="24"/>
          <w:lang w:eastAsia="zh-CN"/>
          <w14:textFill>
            <w14:solidFill>
              <w14:schemeClr w14:val="tx1"/>
            </w14:solidFill>
          </w14:textFill>
        </w:rPr>
        <w:t>其他</w:t>
      </w:r>
      <w:r>
        <w:rPr>
          <w:rFonts w:hint="eastAsia" w:ascii="宋体" w:hAnsi="宋体" w:cs="宋体"/>
          <w:color w:val="000000" w:themeColor="text1"/>
          <w:sz w:val="24"/>
          <w14:textFill>
            <w14:solidFill>
              <w14:schemeClr w14:val="tx1"/>
            </w14:solidFill>
          </w14:textFill>
        </w:rPr>
        <w:t>严重违规、违约行为。</w:t>
      </w:r>
    </w:p>
    <w:p>
      <w:pPr>
        <w:tabs>
          <w:tab w:val="left" w:pos="312"/>
        </w:tabs>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乙方应发生正常或非正常退出时，应按照投标文件承诺的退出方案进行。结清与档口、保洁、供货商等经济关系方之间的经济纠纷；乙方必须依照资产清单如数归还校方设备资产，设备资产有损坏等情况，乙方承担维修费用，设备资产有丢失等情况，一律按市场价赔偿；乙方在经营中增加的固定装饰装修物等不动产归甲方所有；乙方所添置的设备及可搬离的资产等，经甲方创新港饮食管理部门核实后，归由乙方自行处理；清理自有设备，不得破坏食堂场所布局，如有损坏，乙方承担相关维修费用；甲方有权从履约保证金或营业款中扣除上述相应的维修费用及赔偿款；甲方对乙方添置的设备、前期投入不承担任何责任，不支付任何费用。待乙方完成全部退场工作，甲方返还乙方剩余营业款及履约保证金。</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乙方发生非正常退出情况时，由乙方承担一切经济损失和相关法律责任，并积极配合甲方做好善后事宜，按照甲方规定的时间退场，尽力减轻对甲方造成的影响。甲方可根据乙方造成的影响程度酌情扣减履约保证金，如乙方拒绝配合，履约保证金将不予退还，如因乙方不当行为造成恶劣影响的，将追究法律与经济责任，同时将列入西安交通大学招标餐饮企业“黑名单”，不得参加西安交通大学学生食堂委托经营的投标项目。</w:t>
      </w:r>
    </w:p>
    <w:p>
      <w:pPr>
        <w:spacing w:line="360" w:lineRule="auto"/>
        <w:rPr>
          <w:rFonts w:asci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第九条：违约责任的追究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在经营期内违反本合同规定，甲方有权按《西安交通大学创新港食堂委托经营管理办法》以及本合同追究违约责任，从乙方交纳的履约保证金或甲方代收乙方的营业款中扣除违约金，直至解除合同。由此造成的一切法律经济责任均由乙方承担，不得将责任推卸至其他第三方。</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2.因乙方行为致使甲方遭受损失、对第三人承担赔偿等法律责任的，甲方有权追偿。</w:t>
      </w:r>
    </w:p>
    <w:p>
      <w:pPr>
        <w:pStyle w:val="2"/>
        <w:spacing w:line="360" w:lineRule="auto"/>
        <w:ind w:firstLine="480" w:firstLineChars="200"/>
        <w:rPr>
          <w:rFonts w:hint="default"/>
          <w:color w:val="000000" w:themeColor="text1"/>
          <w14:textFill>
            <w14:solidFill>
              <w14:schemeClr w14:val="tx1"/>
            </w14:solidFill>
          </w14:textFill>
        </w:rPr>
      </w:pPr>
      <w:r>
        <w:rPr>
          <w:rFonts w:ascii="宋体" w:hAnsi="宋体" w:eastAsia="宋体" w:cs="宋体"/>
          <w:color w:val="000000" w:themeColor="text1"/>
          <w:sz w:val="24"/>
          <w:szCs w:val="22"/>
          <w14:textFill>
            <w14:solidFill>
              <w14:schemeClr w14:val="tx1"/>
            </w14:solidFill>
          </w14:textFill>
        </w:rPr>
        <w:t>3.乙方自主经营、自负盈亏，经营期内发生的一切经济纠纷、安全问题等均由乙方负责，并</w:t>
      </w:r>
      <w:r>
        <w:rPr>
          <w:rFonts w:ascii="宋体" w:hAnsi="宋体" w:eastAsia="宋体" w:cs="宋体"/>
          <w:color w:val="000000" w:themeColor="text1"/>
          <w:sz w:val="24"/>
          <w14:textFill>
            <w14:solidFill>
              <w14:schemeClr w14:val="tx1"/>
            </w14:solidFill>
          </w14:textFill>
        </w:rPr>
        <w:t>承担相应法律责任及赔偿责任，由此对</w:t>
      </w:r>
      <w:r>
        <w:rPr>
          <w:rFonts w:hint="eastAsia" w:ascii="宋体" w:hAnsi="宋体" w:eastAsia="宋体" w:cs="宋体"/>
          <w:color w:val="000000" w:themeColor="text1"/>
          <w:sz w:val="24"/>
          <w:lang w:val="en-US" w:eastAsia="zh-CN"/>
          <w14:textFill>
            <w14:solidFill>
              <w14:schemeClr w14:val="tx1"/>
            </w14:solidFill>
          </w14:textFill>
        </w:rPr>
        <w:t>甲方</w:t>
      </w:r>
      <w:r>
        <w:rPr>
          <w:rFonts w:ascii="宋体" w:hAnsi="宋体" w:eastAsia="宋体" w:cs="宋体"/>
          <w:color w:val="000000" w:themeColor="text1"/>
          <w:sz w:val="24"/>
          <w14:textFill>
            <w14:solidFill>
              <w14:schemeClr w14:val="tx1"/>
            </w14:solidFill>
          </w14:textFill>
        </w:rPr>
        <w:t>造成不良影响的，甲方有权扣押未返还的营业款及履约保证金用于相关处罚及赔偿。</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4.如乙方私自违约解除合同，甲方有权扣除乙方所有履约保证金。</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5.甲、乙双方的</w:t>
      </w:r>
      <w:r>
        <w:rPr>
          <w:rFonts w:hint="eastAsia" w:ascii="宋体" w:hAnsi="宋体" w:cs="宋体"/>
          <w:color w:val="000000" w:themeColor="text1"/>
          <w:sz w:val="24"/>
          <w:lang w:eastAsia="zh-CN"/>
          <w14:textFill>
            <w14:solidFill>
              <w14:schemeClr w14:val="tx1"/>
            </w14:solidFill>
          </w14:textFill>
        </w:rPr>
        <w:t>其他</w:t>
      </w:r>
      <w:r>
        <w:rPr>
          <w:rFonts w:hint="eastAsia" w:ascii="宋体" w:hAnsi="宋体" w:cs="宋体"/>
          <w:color w:val="000000" w:themeColor="text1"/>
          <w:sz w:val="24"/>
          <w14:textFill>
            <w14:solidFill>
              <w14:schemeClr w14:val="tx1"/>
            </w14:solidFill>
          </w14:textFill>
        </w:rPr>
        <w:t>违约责任，按照相关法律法规规定执行。</w:t>
      </w:r>
    </w:p>
    <w:p>
      <w:pPr>
        <w:spacing w:line="360" w:lineRule="auto"/>
        <w:rPr>
          <w:rFonts w:asci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第十条：免责声明</w:t>
      </w:r>
    </w:p>
    <w:p>
      <w:pPr>
        <w:spacing w:line="360" w:lineRule="auto"/>
        <w:ind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乙方在经营期内发生的一切债权债务、食品安全、消防安全、顾客投诉、人身伤害及劳资纠纷等均由乙方负责，并承担相应法律责任。</w:t>
      </w:r>
    </w:p>
    <w:p>
      <w:pPr>
        <w:spacing w:line="360" w:lineRule="auto"/>
        <w:ind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发生腹泻等疑似食物中毒事件，乙方应当承担全部责任。</w:t>
      </w:r>
    </w:p>
    <w:p>
      <w:pPr>
        <w:spacing w:line="360" w:lineRule="auto"/>
        <w:ind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乙方发生确诊为食物中毒事件的，由乙方承担全部责任。</w:t>
      </w:r>
    </w:p>
    <w:p>
      <w:pPr>
        <w:spacing w:line="360" w:lineRule="auto"/>
        <w:ind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乙方与所聘人员及任何第三方（指除本合同甲乙双方以外的任何单位、企业、公司、个体工商户及个人等）间产生的任何经济纠纷及矛盾问题与甲方无关。</w:t>
      </w:r>
    </w:p>
    <w:p>
      <w:pPr>
        <w:spacing w:line="360" w:lineRule="auto"/>
        <w:ind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乙方负责食堂及炊事人员的日常管理及安全，乙方所有人员因违规操作或操作不慎造成安全事故的，一切后果及责任由乙方承担。</w:t>
      </w:r>
    </w:p>
    <w:p>
      <w:pPr>
        <w:spacing w:line="360" w:lineRule="auto"/>
        <w:ind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乙方经营场所内由乙方负责全面经营管理，并自负盈亏，出现的任何问题及纠纷甲方概不负责。</w:t>
      </w:r>
    </w:p>
    <w:p>
      <w:pPr>
        <w:spacing w:line="360" w:lineRule="auto"/>
        <w:rPr>
          <w:rFonts w:asci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第十一条：本合同的最终解释权归甲方所有。</w:t>
      </w:r>
    </w:p>
    <w:p>
      <w:pPr>
        <w:spacing w:line="360" w:lineRule="auto"/>
        <w:rPr>
          <w:rFonts w:asci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第十二条：其他条款</w:t>
      </w:r>
    </w:p>
    <w:p>
      <w:pPr>
        <w:spacing w:line="360" w:lineRule="auto"/>
        <w:ind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承包经营期内本合同未尽事宜，由双方协商一致后，可制定补充条款。补充条款与本合同具同等法律效力。</w:t>
      </w:r>
    </w:p>
    <w:p>
      <w:pPr>
        <w:spacing w:line="360" w:lineRule="auto"/>
        <w:ind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本合同发生争议时双方应协商解决，协商不成，可以向甲方所在地的人民法院提起诉讼解决。</w:t>
      </w:r>
    </w:p>
    <w:p>
      <w:pPr>
        <w:spacing w:line="360" w:lineRule="auto"/>
        <w:ind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在一个招标期内，合同到期后，甲方对乙方进行合同期考核，考核合格后续签下一年合同，考核不合格终止续签合同。</w:t>
      </w:r>
    </w:p>
    <w:p>
      <w:pPr>
        <w:spacing w:line="360" w:lineRule="auto"/>
        <w:ind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本合同共一式陆份，甲、乙双方各执叁份，每份具同等法律效力。本合同自双方签字盖章之日起生效。</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合同终止时，乙方应在合同到期之日起</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1</w:t>
      </w:r>
      <w:r>
        <w:rPr>
          <w:rFonts w:hint="eastAsia" w:ascii="宋体" w:hAnsi="宋体" w:cs="宋体"/>
          <w:color w:val="000000" w:themeColor="text1"/>
          <w:sz w:val="24"/>
          <w:u w:val="single"/>
          <w14:textFill>
            <w14:solidFill>
              <w14:schemeClr w14:val="tx1"/>
            </w14:solidFill>
          </w14:textFill>
        </w:rPr>
        <w:t>0</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个自然日内将场地交还给甲方，超出前述期限仍未归还场地的，甲方有权自行处置乙方在经营场所中滞留的物资。</w:t>
      </w:r>
    </w:p>
    <w:p>
      <w:pPr>
        <w:pStyle w:val="2"/>
        <w:rPr>
          <w:rFonts w:hint="default" w:ascii="宋体" w:hAnsi="宋体" w:cs="宋体"/>
          <w:color w:val="000000" w:themeColor="text1"/>
          <w:sz w:val="24"/>
          <w14:textFill>
            <w14:solidFill>
              <w14:schemeClr w14:val="tx1"/>
            </w14:solidFill>
          </w14:textFill>
        </w:rPr>
      </w:pPr>
    </w:p>
    <w:p>
      <w:pPr>
        <w:pStyle w:val="2"/>
        <w:rPr>
          <w:rFonts w:hint="default" w:ascii="宋体" w:hAnsi="宋体" w:cs="宋体"/>
          <w:color w:val="000000" w:themeColor="text1"/>
          <w:sz w:val="24"/>
          <w14:textFill>
            <w14:solidFill>
              <w14:schemeClr w14:val="tx1"/>
            </w14:solidFill>
          </w14:textFill>
        </w:rPr>
      </w:pPr>
    </w:p>
    <w:p>
      <w:pPr>
        <w:pStyle w:val="2"/>
        <w:rPr>
          <w:rFonts w:hint="default" w:ascii="宋体" w:hAnsi="宋体" w:cs="宋体"/>
          <w:color w:val="000000" w:themeColor="text1"/>
          <w:sz w:val="24"/>
          <w14:textFill>
            <w14:solidFill>
              <w14:schemeClr w14:val="tx1"/>
            </w14:solidFill>
          </w14:textFill>
        </w:rPr>
      </w:pPr>
    </w:p>
    <w:p>
      <w:pPr>
        <w:pStyle w:val="2"/>
        <w:rPr>
          <w:rFonts w:hint="default" w:ascii="宋体" w:hAnsi="宋体" w:cs="宋体"/>
          <w:color w:val="000000" w:themeColor="text1"/>
          <w:sz w:val="24"/>
          <w14:textFill>
            <w14:solidFill>
              <w14:schemeClr w14:val="tx1"/>
            </w14:solidFill>
          </w14:textFill>
        </w:rPr>
      </w:pPr>
    </w:p>
    <w:p>
      <w:pPr>
        <w:pStyle w:val="2"/>
        <w:rPr>
          <w:rFonts w:hint="default" w:ascii="宋体" w:hAnsi="宋体" w:cs="宋体"/>
          <w:color w:val="000000" w:themeColor="text1"/>
          <w:sz w:val="24"/>
          <w14:textFill>
            <w14:solidFill>
              <w14:schemeClr w14:val="tx1"/>
            </w14:solidFill>
          </w14:textFill>
        </w:rPr>
      </w:pPr>
    </w:p>
    <w:p>
      <w:pPr>
        <w:pStyle w:val="2"/>
        <w:rPr>
          <w:rFonts w:hint="default"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甲方：（盖章）</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乙方：（盖章）</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校内执行单位（盖章）：</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甲方代表：（签字）</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乙方代表：（签字）</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                 日期：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执行单位办公电话：                         办公电话：</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执行单位办公地址：                         办公地址：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执行单位办公邮箱：                         办公邮箱：</w:t>
      </w: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adjustRightInd/>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合同附件 违约金扣除标准</w:t>
      </w:r>
    </w:p>
    <w:tbl>
      <w:tblPr>
        <w:tblStyle w:val="19"/>
        <w:tblW w:w="9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228"/>
        <w:gridCol w:w="693"/>
        <w:gridCol w:w="5430"/>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序号</w:t>
            </w:r>
          </w:p>
        </w:tc>
        <w:tc>
          <w:tcPr>
            <w:tcW w:w="1228"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检查项目</w:t>
            </w: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编号</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违规内容</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扣除标准（元）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restart"/>
            <w:tcBorders>
              <w:top w:val="single" w:color="auto" w:sz="4" w:space="0"/>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1228" w:type="dxa"/>
            <w:vMerge w:val="restart"/>
            <w:tcBorders>
              <w:top w:val="single" w:color="auto" w:sz="4" w:space="0"/>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许可管理</w:t>
            </w: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超范围经营</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许可证过期/法人离职未更换</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restart"/>
            <w:tcBorders>
              <w:top w:val="single" w:color="auto" w:sz="4" w:space="0"/>
              <w:left w:val="single" w:color="auto" w:sz="4" w:space="0"/>
              <w:right w:val="single" w:color="auto" w:sz="4" w:space="0"/>
            </w:tcBorders>
            <w:vAlign w:val="center"/>
          </w:tcPr>
          <w:p>
            <w:pPr>
              <w:pStyle w:val="27"/>
              <w:adjustRightInd/>
              <w:ind w:firstLine="21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1228" w:type="dxa"/>
            <w:vMerge w:val="restart"/>
            <w:tcBorders>
              <w:top w:val="single" w:color="auto" w:sz="4" w:space="0"/>
              <w:left w:val="single" w:color="auto" w:sz="4" w:space="0"/>
              <w:right w:val="single" w:color="auto" w:sz="4" w:space="0"/>
            </w:tcBorders>
            <w:vAlign w:val="center"/>
          </w:tcPr>
          <w:p>
            <w:pPr>
              <w:adjustRightInd/>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人员管理</w:t>
            </w: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餐饮公司负责人未请假离岗者</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员工未持证上岗/健康证过期，无核酸检测报告未按要求提供检测报告/每日体温测量未报备</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w:t>
            </w:r>
            <w:r>
              <w:rPr>
                <w:rFonts w:ascii="仿宋" w:hAnsi="仿宋" w:eastAsia="仿宋" w:cs="仿宋"/>
                <w:color w:val="000000" w:themeColor="text1"/>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各食堂未建立员工档案/员工档案记录不全或新员工未报备，未及时更新人员档案</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无对员工的定期培训/培训记录不全（食品安全、消防安全、甲方文件）</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w:t>
            </w:r>
            <w:r>
              <w:rPr>
                <w:rFonts w:ascii="仿宋" w:hAnsi="仿宋" w:eastAsia="仿宋" w:cs="仿宋"/>
                <w:color w:val="000000" w:themeColor="text1"/>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员工及管理人员上班不穿工作服、不戴工作帽、不戴口罩、外露头发、纹身、工作服有明显污渍、留长指甲、戴首饰、穿拖鞋</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w:t>
            </w:r>
            <w:r>
              <w:rPr>
                <w:rFonts w:ascii="仿宋" w:hAnsi="仿宋" w:eastAsia="仿宋" w:cs="仿宋"/>
                <w:color w:val="000000" w:themeColor="text1"/>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在后厨/售卖台玩手机、吃东西</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w:t>
            </w:r>
            <w:r>
              <w:rPr>
                <w:rFonts w:ascii="仿宋" w:hAnsi="仿宋" w:eastAsia="仿宋" w:cs="仿宋"/>
                <w:color w:val="000000" w:themeColor="text1"/>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员工穿工作服上厕所/上完厕所不洗手</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w:t>
            </w:r>
            <w:r>
              <w:rPr>
                <w:rFonts w:ascii="仿宋" w:hAnsi="仿宋" w:eastAsia="仿宋" w:cs="仿宋"/>
                <w:color w:val="000000" w:themeColor="text1"/>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未报备登记外来人员进入后厨</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不遵守校园安全规定</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restart"/>
            <w:tcBorders>
              <w:top w:val="single" w:color="auto" w:sz="4" w:space="0"/>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1228" w:type="dxa"/>
            <w:vMerge w:val="restart"/>
            <w:tcBorders>
              <w:top w:val="single" w:color="auto" w:sz="4" w:space="0"/>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个人仪容仪表及文明服务</w:t>
            </w: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大声喧哗、学生投诉服务态度差</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辱骂、拉扯、殴打师生及学校员工</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100-5000元</w:t>
            </w:r>
          </w:p>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严重者解除合同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员工之间吵架、争执，打架现象/存在争执使用刀具、厨具等行为</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100-5000元</w:t>
            </w:r>
          </w:p>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严重者解除合同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散布不实传言，损害学校声誉</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未经批准以学校名义从事营利性活动</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就餐人员反应问题，食堂不采取措施整改或处理结束后未向主管老师反馈</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投诉台账记录不全/未记录</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w:t>
            </w:r>
            <w:r>
              <w:rPr>
                <w:rFonts w:ascii="仿宋" w:hAnsi="仿宋" w:eastAsia="仿宋" w:cs="仿宋"/>
                <w:color w:val="000000" w:themeColor="text1"/>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服务台无师生意见本、微波炉、复称台/意见本未回复</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w:t>
            </w:r>
            <w:r>
              <w:rPr>
                <w:rFonts w:ascii="仿宋" w:hAnsi="仿宋" w:eastAsia="仿宋" w:cs="仿宋"/>
                <w:color w:val="000000" w:themeColor="text1"/>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学生向餐厅经理投诉不及时处理造成重大影响</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jc w:val="center"/>
        </w:trPr>
        <w:tc>
          <w:tcPr>
            <w:tcW w:w="768" w:type="dxa"/>
            <w:vMerge w:val="restart"/>
            <w:tcBorders>
              <w:top w:val="single" w:color="auto" w:sz="4" w:space="0"/>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1228" w:type="dxa"/>
            <w:vMerge w:val="restart"/>
            <w:tcBorders>
              <w:top w:val="single" w:color="auto" w:sz="4" w:space="0"/>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环境管理</w:t>
            </w: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餐厅墙壁或墙角出现蜘蛛网；霉斑；鼠迹，蟑螂，蚊蝇/未及时处理或无防范措施（未放置挡鼠板，无防蝇纱网等）</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100</w:t>
            </w:r>
            <w:r>
              <w:rPr>
                <w:rFonts w:hint="eastAsia" w:ascii="仿宋" w:hAnsi="仿宋" w:eastAsia="仿宋" w:cs="仿宋"/>
                <w:color w:val="000000" w:themeColor="text1"/>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餐厅区域内出现抽烟现象/有烟头</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疫情期间餐厅未标明就餐流向/无体温检测，消毒酒精等设施设备</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乱贴、乱画、乱摆、乱挂广告，横幅/堆放杂物</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100</w:t>
            </w:r>
            <w:r>
              <w:rPr>
                <w:rFonts w:hint="eastAsia" w:ascii="仿宋" w:hAnsi="仿宋" w:eastAsia="仿宋" w:cs="仿宋"/>
                <w:color w:val="000000" w:themeColor="text1"/>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餐厅地面，饭桌脏/在开餐期间无人值守打扫卫生</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1000</w:t>
            </w:r>
            <w:r>
              <w:rPr>
                <w:rFonts w:hint="eastAsia" w:ascii="仿宋" w:hAnsi="仿宋" w:eastAsia="仿宋" w:cs="仿宋"/>
                <w:color w:val="000000" w:themeColor="text1"/>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泔水污渍清理不干净，玻璃有明显污渍</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电梯上有明显油污、烟头、小石子等杂质</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地面有积水/油污，有异味</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卫生间有积水，有烟头/有异味/垃圾未及时清理/卫生差/堆放杂物或清洁工具/卫生间，更衣室无洗手消毒设备</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餐厅各安全通道口及内部停放车辆或杂物</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餐厅区域出现给电动车充电</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餐厅未按要求进行消杀和记录</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打扫工具未定位/打扫工具混用</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大厅垃圾桶未按压或脚踩式垃圾桶，垃圾桶表面脏，未按四色分类设置垃圾桶</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restart"/>
            <w:tcBorders>
              <w:top w:val="single" w:color="auto" w:sz="4" w:space="0"/>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1228" w:type="dxa"/>
            <w:vMerge w:val="restart"/>
            <w:tcBorders>
              <w:top w:val="single" w:color="auto" w:sz="4" w:space="0"/>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后厨及售饭台管理</w:t>
            </w: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后厨发现烟头/有死角卫生/地面、过道卫生差</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半成品、成品落地摆放/锅灶用具落地/成品、半成品、生熟、荤素菜品未分区域，分层分架摆放</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荤、素菜板、刀具混用/菜板有霉点</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水槽及地面有食物残渣等垃圾/水池混用</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私人物品未按照规范存放；杂物堆放</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后厨垃圾桶未盖盖，未使用脚踩式或按压式垃圾桶</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下脚料容器具与其他用具无明显区分或二次使用食品外包装装下脚料</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使用加工食品的器具浸泡非食品物质</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调料盒未用加盖贮存/散装食材无标签/米面拆开未封口</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储物柜，保洁柜，保洁筐，保鲜盒，各类厨灶用具，净菜筐，毛菜筐，净菜架，毛菜架，操作台不干净卫生</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熟食、半成品、水果未用专用刀具案板或在粗加工间加工</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售饭台张贴自制价目表或未按标价售卖；欺骗消费者；私自停餐</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200-5000</w:t>
            </w:r>
          </w:p>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严重者停业整顿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售饭人员直接用手接触食物/台面有抛洒饭菜</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szCs w:val="22"/>
                <w14:textFill>
                  <w14:solidFill>
                    <w14:schemeClr w14:val="tx1"/>
                  </w14:solidFill>
                </w14:textFill>
              </w:rPr>
              <w:t>私自售卖自己腌制的泡菜或校方禁止售卖的食材如动物内脏等</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szCs w:val="22"/>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szCs w:val="22"/>
                <w14:textFill>
                  <w14:solidFill>
                    <w14:schemeClr w14:val="tx1"/>
                  </w14:solidFill>
                </w14:textFill>
              </w:rPr>
              <w:t>食品外包装二次使用或用作货架，水桶，垃圾桶等</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szCs w:val="22"/>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restart"/>
            <w:tcBorders>
              <w:top w:val="single" w:color="auto" w:sz="4" w:space="0"/>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w:t>
            </w:r>
          </w:p>
        </w:tc>
        <w:tc>
          <w:tcPr>
            <w:tcW w:w="1228" w:type="dxa"/>
            <w:vMerge w:val="restart"/>
            <w:tcBorders>
              <w:top w:val="single" w:color="auto" w:sz="4" w:space="0"/>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加工制作管理</w:t>
            </w: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蔬菜未先洗后切，蔬菜清洗未拆绳/净菜筐有未净洗干净蔬菜/鸡蛋未清洗进后厨使用</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肉类未清洗/清洗不干净</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流转包装进加工间或操作台</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刀具、案板不干净/未消毒；刀具破损/刀具盒，案板架未清洗干净</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szCs w:val="22"/>
                <w14:textFill>
                  <w14:solidFill>
                    <w14:schemeClr w14:val="tx1"/>
                  </w14:solidFill>
                </w14:textFill>
              </w:rPr>
              <w:t>高汤更换时不清洗汤桶</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当日蒸饭柜、蒸包炉水箱水未更换</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加工工具/洗菜池不洁净</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菜品叠放</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鸡蛋不洗干净就用/不洗干净出现在售餐区域、加工区域</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锅台、调料台、灶具、菜盆、饭勺、菜勺不干净</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szCs w:val="22"/>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水池混用/水池标识不完整</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餐用具当容器具使用</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采用食品安全法中禁用的食品原料</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szCs w:val="22"/>
                <w14:textFill>
                  <w14:solidFill>
                    <w14:schemeClr w14:val="tx1"/>
                  </w14:solidFill>
                </w14:textFill>
              </w:rPr>
              <w:t>14</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不在餐厅加工制作、贮存/私自外带熟食</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restart"/>
            <w:tcBorders>
              <w:top w:val="single" w:color="auto" w:sz="4" w:space="0"/>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1228" w:type="dxa"/>
            <w:vMerge w:val="restart"/>
            <w:tcBorders>
              <w:top w:val="single" w:color="auto" w:sz="4" w:space="0"/>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原材料采购管理</w:t>
            </w: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私自采购原材料/超范围采购食品及其相关产品</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所采购食品原材料存在索票索证不全的情况</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原材料有腐烂、发霉、变质、过期的情况</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档口私自采购原材料</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采购标签及品质不合规食品</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采购校方及政府部门禁止采购的食品及食品原材料</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768" w:type="dxa"/>
            <w:vMerge w:val="restart"/>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p>
        </w:tc>
        <w:tc>
          <w:tcPr>
            <w:tcW w:w="1228" w:type="dxa"/>
            <w:vMerge w:val="restart"/>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添加剂、废弃油脂管理</w:t>
            </w: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违规使用食品添加剂</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食品添加剂使用违反“五专”原则</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食品添加剂台账未记录或记录不全</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废弃油脂管理台账不规范或不全</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restart"/>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p>
        </w:tc>
        <w:tc>
          <w:tcPr>
            <w:tcW w:w="1228" w:type="dxa"/>
            <w:vMerge w:val="restart"/>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仓库、周转库、冰箱等食品贮存管理</w:t>
            </w: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210" w:firstLineChars="1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库房出现化工用品/过期食品/腐烂变质食品</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杂货库房摆放不整齐/存放食品</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库房拆封食材未入桶加盖</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食品未分类、分架、隔墙离地保存，先进先出原则</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出入库台账不完善</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三防措施不到位</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冰箱生、熟、荤、素未分开放置</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冰箱不及时清理/无温度显示/温度显示不在合理范围</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冰箱标签标识不完整/过期</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库房物卡不符，卡片未更新</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冰箱储存的食品未加膜加盖/温度不达标</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冰箱出现流转包装和有色塑料袋</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净菜筐不干净/毛菜不入筐；净菜筐毛菜筐混用</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蔬菜不按要求入筐及摆放不整齐</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restart"/>
            <w:tcBorders>
              <w:top w:val="single" w:color="auto" w:sz="4" w:space="0"/>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w:t>
            </w:r>
          </w:p>
        </w:tc>
        <w:tc>
          <w:tcPr>
            <w:tcW w:w="1228" w:type="dxa"/>
            <w:vMerge w:val="restart"/>
            <w:tcBorders>
              <w:top w:val="single" w:color="auto" w:sz="4" w:space="0"/>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售卖食品检查管理</w:t>
            </w: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私自涨价/现金、二维码收款</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售饭台无人值守且无安全措施/售餐结束未对餐具用具防护</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调料盒重复使用，外观有污渍/售卖台有油污，防护罩不干净/售卖区各类物品摆放混乱，未分类存放</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开饭不戴手套，售卖台无餐巾纸（每个档口都需配备）</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售卖过餐食品/留样食品</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售卖未烧熟煮透食物/不洁净、有异物食物/售卖时间不足/菜品保温不足</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售餐期间无免费汤/售餐期间大厅无人值守</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restart"/>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w:t>
            </w:r>
          </w:p>
        </w:tc>
        <w:tc>
          <w:tcPr>
            <w:tcW w:w="1228" w:type="dxa"/>
            <w:vMerge w:val="restart"/>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食品留样及剩饭菜管理</w:t>
            </w: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未留样，留样检测不合格/售卖结束后留样</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重复使用过期留样，未及时销毁</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留样标识不全/份量不足/留样不全/留样柜未专人管理上锁</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留样未及时销毁超过3天</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剩饭菜/切开水果，豆制品过夜/蛋类，绿叶菜过餐</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隔夜菜腐烂、变味/出售腐烂变质菜品</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restart"/>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w:t>
            </w:r>
          </w:p>
        </w:tc>
        <w:tc>
          <w:tcPr>
            <w:tcW w:w="1228" w:type="dxa"/>
            <w:vMerge w:val="restart"/>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餐用具清洗消毒管理</w:t>
            </w: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待使用餐具未消毒/有油渍、食物残渣/有水渍/餐车、餐盘不干净</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消毒柜/消毒车、保洁柜不清洁/消毒柜、保洁柜不密闭，出现私人物品</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餐具落地摆放</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餐用具未做到五步清洗消毒法</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restart"/>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w:t>
            </w:r>
          </w:p>
        </w:tc>
        <w:tc>
          <w:tcPr>
            <w:tcW w:w="1228" w:type="dxa"/>
            <w:vMerge w:val="restart"/>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收餐台及垃圾清运管理</w:t>
            </w: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收餐台有残留食物堆积未清理/售餐结束收餐台，残食间堆积碗筷5套以及上</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餐具回收车摆放不到位/不清洁</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垃圾不及时清理/垃圾处理后未及时清理地面/无垃圾桶/垃圾桶不带盖/后厨未使用脚踩式垃圾桶</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restart"/>
            <w:tcBorders>
              <w:top w:val="single" w:color="auto" w:sz="4" w:space="0"/>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w:t>
            </w:r>
          </w:p>
        </w:tc>
        <w:tc>
          <w:tcPr>
            <w:tcW w:w="1228" w:type="dxa"/>
            <w:vMerge w:val="restart"/>
            <w:tcBorders>
              <w:top w:val="single" w:color="auto" w:sz="4" w:space="0"/>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设施设备管理</w:t>
            </w: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操作规范未上墙/对人员的培训无记录</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隔油池、蒸车水垢，风机，油烟机无定期清理及记录</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隔油池、蒸车水垢，风机，油烟机经厂家反馈未按要求操作，清理，维护</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私自改造、破坏水、电、气等食堂设施设备</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200-10000元</w:t>
            </w:r>
          </w:p>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严重者解除合同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偷盗、破坏学校财产设施</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200-10000元</w:t>
            </w:r>
          </w:p>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严重者解除合同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油烟机未按规定每周清理一次，且无记录</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下水道有明沟/有残渣</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设施设备不清洁</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未报备用电设备，私自接线</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洗碗机，炉灶清洗不干净</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损坏设备未在一周内完成维修</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restart"/>
            <w:tcBorders>
              <w:top w:val="single" w:color="auto" w:sz="4" w:space="0"/>
              <w:left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w:t>
            </w:r>
          </w:p>
        </w:tc>
        <w:tc>
          <w:tcPr>
            <w:tcW w:w="1228" w:type="dxa"/>
            <w:vMerge w:val="restart"/>
            <w:tcBorders>
              <w:top w:val="single" w:color="auto" w:sz="4" w:space="0"/>
              <w:left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生产安全</w:t>
            </w:r>
          </w:p>
        </w:tc>
        <w:tc>
          <w:tcPr>
            <w:tcW w:w="693"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不正当使用导致消防器材损坏、消防器材挪作他用</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配电箱、消防栓、强弱电间、空调机房存放物品</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私拉乱接电线/超过1.5 米电线未用绝缘管固定</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私自使用消防设备进行无关消防操作</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未按要求配备消防器材/灭火器压力不足未及时更换</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天然气管道上堆放杂物</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continue"/>
            <w:tcBorders>
              <w:left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开火离人/收餐后燃气总阀或分阀未关，用电设备未断电（除冰箱）</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大厅设施损坏未及时维修</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出现消防安全事故</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200-20000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出现食品安全事故/重大消防安全事故</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电动车及无关车辆进地下室，电动车违规充电</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restart"/>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16</w:t>
            </w:r>
          </w:p>
        </w:tc>
        <w:tc>
          <w:tcPr>
            <w:tcW w:w="1228" w:type="dxa"/>
            <w:vMerge w:val="restart"/>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门禁管理</w:t>
            </w:r>
          </w:p>
        </w:tc>
        <w:tc>
          <w:tcPr>
            <w:tcW w:w="693"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晚上门没锁、窗户未关</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5430"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门坏了未及时修也没挂锁</w:t>
            </w:r>
          </w:p>
        </w:tc>
        <w:tc>
          <w:tcPr>
            <w:tcW w:w="1639" w:type="dxa"/>
            <w:tcBorders>
              <w:top w:val="single" w:color="auto" w:sz="4" w:space="0"/>
              <w:left w:val="single" w:color="auto" w:sz="4" w:space="0"/>
              <w:bottom w:val="single" w:color="auto" w:sz="4" w:space="0"/>
              <w:right w:val="single" w:color="auto" w:sz="4" w:space="0"/>
            </w:tcBorders>
            <w:vAlign w:val="center"/>
          </w:tcPr>
          <w:p>
            <w:pPr>
              <w:pStyle w:val="28"/>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szCs w:val="22"/>
                <w14:textFill>
                  <w14:solidFill>
                    <w14:schemeClr w14:val="tx1"/>
                  </w14:solidFill>
                </w14:textFill>
              </w:rPr>
              <w:t>消防通道不通畅</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szCs w:val="22"/>
                <w14:textFill>
                  <w14:solidFill>
                    <w14:schemeClr w14:val="tx1"/>
                  </w14:solidFill>
                </w14:textFill>
              </w:rPr>
              <w:t>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szCs w:val="22"/>
                <w14:textFill>
                  <w14:solidFill>
                    <w14:schemeClr w14:val="tx1"/>
                  </w14:solidFill>
                </w14:textFill>
              </w:rPr>
              <w:t>消防指示损坏未及时维修</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szCs w:val="22"/>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restart"/>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17</w:t>
            </w:r>
          </w:p>
        </w:tc>
        <w:tc>
          <w:tcPr>
            <w:tcW w:w="1228" w:type="dxa"/>
            <w:vMerge w:val="restart"/>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菜品质量及菜品上新</w:t>
            </w: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菜品不按3：5：2执行/无特价菜/标书中规定的产品未按要求售卖/早餐未按要求售卖</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tabs>
                <w:tab w:val="left" w:pos="221"/>
              </w:tabs>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未经允许随意升高价格/或降低价格减质减量</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未报备新品/成本核算未通过上新品</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未按要求提交饭菜菜单、价格表及成本核算</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restart"/>
            <w:tcBorders>
              <w:top w:val="single" w:color="auto" w:sz="4" w:space="0"/>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18</w:t>
            </w:r>
          </w:p>
        </w:tc>
        <w:tc>
          <w:tcPr>
            <w:tcW w:w="1228" w:type="dxa"/>
            <w:vMerge w:val="restart"/>
            <w:tcBorders>
              <w:top w:val="single" w:color="auto" w:sz="4" w:space="0"/>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团餐接待</w:t>
            </w: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接待团餐未报备</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团餐未留样</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68" w:type="dxa"/>
            <w:vMerge w:val="continue"/>
            <w:tcBorders>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甲方要求不接待</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68" w:type="dxa"/>
            <w:vMerge w:val="restart"/>
            <w:tcBorders>
              <w:top w:val="single" w:color="auto" w:sz="4" w:space="0"/>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19</w:t>
            </w:r>
          </w:p>
        </w:tc>
        <w:tc>
          <w:tcPr>
            <w:tcW w:w="1228" w:type="dxa"/>
            <w:vMerge w:val="restart"/>
            <w:tcBorders>
              <w:top w:val="single" w:color="auto" w:sz="4" w:space="0"/>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监督管理</w:t>
            </w: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晨检、夜检时无餐厅负责人值守或无法进入各功能间进行检查</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不配合校方各类检查，规定时间内不整改</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经营毛利率不符合标准</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未按要求向校方反馈巡检问题、当月财务报表等各项数据</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76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实际经营管理与投标文件承诺不符，或出现失信行为</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5000-20000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768" w:type="dxa"/>
            <w:vMerge w:val="continue"/>
            <w:tcBorders>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1228" w:type="dxa"/>
            <w:vMerge w:val="continue"/>
            <w:tcBorders>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p>
        </w:tc>
        <w:tc>
          <w:tcPr>
            <w:tcW w:w="693"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5430"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其他不配合学校要求的事项</w:t>
            </w:r>
          </w:p>
        </w:tc>
        <w:tc>
          <w:tcPr>
            <w:tcW w:w="1639" w:type="dxa"/>
            <w:tcBorders>
              <w:top w:val="single" w:color="auto" w:sz="4" w:space="0"/>
              <w:left w:val="single" w:color="auto" w:sz="4" w:space="0"/>
              <w:bottom w:val="single" w:color="auto" w:sz="4" w:space="0"/>
              <w:right w:val="single" w:color="auto" w:sz="4" w:space="0"/>
            </w:tcBorders>
            <w:vAlign w:val="center"/>
          </w:tcPr>
          <w:p>
            <w:pPr>
              <w:pStyle w:val="27"/>
              <w:adjustRightInd/>
              <w:ind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100-2000</w:t>
            </w:r>
          </w:p>
        </w:tc>
      </w:tr>
    </w:tbl>
    <w:p>
      <w:pPr>
        <w:pStyle w:val="2"/>
        <w:rPr>
          <w:rFonts w:hint="default" w:asciiTheme="minorEastAsia" w:hAnsiTheme="minorEastAsia" w:eastAsiaTheme="minorEastAsia" w:cstheme="minorEastAsia"/>
          <w:b/>
          <w:color w:val="000000" w:themeColor="text1"/>
          <w:sz w:val="32"/>
          <w:szCs w:val="20"/>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p>
      <w:pPr>
        <w:numPr>
          <w:ilvl w:val="0"/>
          <w:numId w:val="3"/>
        </w:numPr>
        <w:kinsoku w:val="0"/>
        <w:spacing w:line="500" w:lineRule="exact"/>
        <w:ind w:left="0" w:leftChars="0" w:firstLine="0" w:firstLineChars="0"/>
        <w:jc w:val="center"/>
        <w:rPr>
          <w:rFonts w:hint="eastAsia" w:ascii="宋体" w:hAnsi="宋体" w:cs="宋体"/>
          <w:b/>
          <w:bCs w:val="0"/>
          <w:color w:val="000000"/>
          <w:kern w:val="2"/>
          <w:sz w:val="36"/>
          <w:szCs w:val="32"/>
          <w:lang w:eastAsia="zh-CN"/>
        </w:rPr>
      </w:pPr>
      <w:r>
        <w:rPr>
          <w:rFonts w:hint="eastAsia" w:ascii="宋体" w:hAnsi="宋体" w:cs="宋体"/>
          <w:b/>
          <w:bCs w:val="0"/>
          <w:color w:val="000000"/>
          <w:kern w:val="2"/>
          <w:sz w:val="36"/>
          <w:szCs w:val="32"/>
          <w:lang w:eastAsia="zh-CN"/>
        </w:rPr>
        <w:t>投标人需要提供的有关文件</w:t>
      </w:r>
    </w:p>
    <w:p>
      <w:pPr>
        <w:numPr>
          <w:ilvl w:val="0"/>
          <w:numId w:val="0"/>
        </w:numPr>
        <w:kinsoku w:val="0"/>
        <w:spacing w:line="500" w:lineRule="exact"/>
        <w:ind w:leftChars="0"/>
        <w:rPr>
          <w:rFonts w:hint="eastAsia" w:ascii="宋体" w:hAnsi="宋体" w:eastAsia="宋体"/>
          <w:color w:val="000000"/>
          <w:sz w:val="24"/>
          <w:lang w:val="en-US" w:eastAsia="zh-CN"/>
        </w:rPr>
      </w:pPr>
      <w:r>
        <w:rPr>
          <w:rFonts w:hint="eastAsia" w:ascii="宋体" w:hAnsi="宋体"/>
          <w:color w:val="000000"/>
          <w:sz w:val="24"/>
          <w:lang w:val="en-US" w:eastAsia="zh-CN"/>
        </w:rPr>
        <w:t>1.投标人基本情况及管理业绩（放置在商务响应文件中）</w:t>
      </w:r>
    </w:p>
    <w:p>
      <w:pPr>
        <w:kinsoku w:val="0"/>
        <w:spacing w:line="500" w:lineRule="exact"/>
        <w:ind w:firstLine="120" w:firstLineChars="50"/>
        <w:rPr>
          <w:rFonts w:ascii="宋体" w:hAnsi="宋体"/>
          <w:color w:val="000000"/>
          <w:sz w:val="24"/>
        </w:rPr>
      </w:pPr>
      <w:r>
        <w:rPr>
          <w:rFonts w:hint="eastAsia" w:ascii="宋体" w:hAnsi="宋体"/>
          <w:color w:val="000000"/>
          <w:sz w:val="24"/>
        </w:rPr>
        <w:t xml:space="preserve">项目名称：                                                 </w:t>
      </w:r>
    </w:p>
    <w:p>
      <w:pPr>
        <w:kinsoku w:val="0"/>
        <w:spacing w:line="500" w:lineRule="exact"/>
        <w:ind w:firstLine="120" w:firstLineChars="50"/>
        <w:rPr>
          <w:rFonts w:ascii="宋体" w:hAnsi="宋体"/>
          <w:color w:val="000000"/>
          <w:sz w:val="24"/>
        </w:rPr>
      </w:pPr>
      <w:r>
        <w:rPr>
          <w:rFonts w:hint="eastAsia" w:ascii="宋体" w:hAnsi="宋体"/>
          <w:color w:val="000000"/>
          <w:sz w:val="24"/>
        </w:rPr>
        <w:t>项目编号：</w:t>
      </w:r>
    </w:p>
    <w:p>
      <w:pPr>
        <w:kinsoku w:val="0"/>
        <w:spacing w:line="500" w:lineRule="exact"/>
        <w:ind w:firstLine="120" w:firstLineChars="50"/>
        <w:rPr>
          <w:rFonts w:ascii="宋体" w:hAnsi="宋体"/>
          <w:color w:val="000000"/>
          <w:sz w:val="24"/>
        </w:rPr>
      </w:pPr>
      <w:r>
        <w:rPr>
          <w:rFonts w:hint="eastAsia" w:ascii="宋体" w:hAnsi="宋体"/>
          <w:color w:val="000000"/>
          <w:sz w:val="24"/>
          <w:lang w:eastAsia="zh-CN"/>
        </w:rPr>
        <w:t>投标人</w:t>
      </w:r>
      <w:r>
        <w:rPr>
          <w:rFonts w:hint="eastAsia" w:ascii="宋体" w:hAnsi="宋体"/>
          <w:color w:val="000000"/>
          <w:sz w:val="24"/>
        </w:rPr>
        <w:t>：</w:t>
      </w:r>
    </w:p>
    <w:tbl>
      <w:tblPr>
        <w:tblStyle w:val="19"/>
        <w:tblW w:w="8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040"/>
        <w:gridCol w:w="966"/>
        <w:gridCol w:w="820"/>
        <w:gridCol w:w="765"/>
        <w:gridCol w:w="437"/>
        <w:gridCol w:w="414"/>
        <w:gridCol w:w="837"/>
        <w:gridCol w:w="13"/>
        <w:gridCol w:w="156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trPr>
        <w:tc>
          <w:tcPr>
            <w:tcW w:w="8794" w:type="dxa"/>
            <w:gridSpan w:val="11"/>
            <w:tcBorders>
              <w:right w:val="single" w:color="auto" w:sz="4" w:space="0"/>
            </w:tcBorders>
            <w:shd w:val="clear" w:color="auto" w:fill="FFFFFF"/>
            <w:vAlign w:val="center"/>
          </w:tcPr>
          <w:p>
            <w:pPr>
              <w:spacing w:line="460" w:lineRule="exact"/>
              <w:jc w:val="center"/>
              <w:rPr>
                <w:rFonts w:ascii="宋体" w:hAnsi="宋体"/>
                <w:b/>
                <w:color w:val="000000"/>
                <w:sz w:val="24"/>
              </w:rPr>
            </w:pPr>
            <w:r>
              <w:rPr>
                <w:rFonts w:hint="eastAsia" w:ascii="宋体" w:hAnsi="宋体"/>
                <w:b/>
                <w:color w:val="000000"/>
                <w:sz w:val="24"/>
              </w:rPr>
              <w:t>企业基本概况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 w:hRule="atLeast"/>
        </w:trPr>
        <w:tc>
          <w:tcPr>
            <w:tcW w:w="1565" w:type="dxa"/>
            <w:gridSpan w:val="2"/>
            <w:tcBorders>
              <w:right w:val="single" w:color="auto" w:sz="4" w:space="0"/>
            </w:tcBorders>
            <w:shd w:val="clear" w:color="auto" w:fill="FFFFFF"/>
            <w:vAlign w:val="top"/>
          </w:tcPr>
          <w:p>
            <w:pPr>
              <w:spacing w:line="460" w:lineRule="exact"/>
              <w:jc w:val="center"/>
              <w:rPr>
                <w:rFonts w:ascii="宋体" w:hAnsi="宋体"/>
                <w:color w:val="000000"/>
                <w:sz w:val="24"/>
              </w:rPr>
            </w:pPr>
            <w:r>
              <w:rPr>
                <w:rFonts w:hint="eastAsia" w:ascii="宋体" w:hAnsi="宋体"/>
                <w:color w:val="000000"/>
                <w:sz w:val="24"/>
              </w:rPr>
              <w:t>企业名称</w:t>
            </w:r>
          </w:p>
        </w:tc>
        <w:tc>
          <w:tcPr>
            <w:tcW w:w="7229" w:type="dxa"/>
            <w:gridSpan w:val="9"/>
            <w:tcBorders>
              <w:right w:val="single" w:color="auto" w:sz="4" w:space="0"/>
            </w:tcBorders>
            <w:shd w:val="clear" w:color="auto" w:fill="FFFFFF"/>
            <w:vAlign w:val="top"/>
          </w:tcPr>
          <w:p>
            <w:pPr>
              <w:spacing w:line="4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 w:hRule="atLeast"/>
        </w:trPr>
        <w:tc>
          <w:tcPr>
            <w:tcW w:w="1565" w:type="dxa"/>
            <w:gridSpan w:val="2"/>
            <w:tcBorders>
              <w:right w:val="single" w:color="auto" w:sz="4" w:space="0"/>
            </w:tcBorders>
            <w:shd w:val="clear" w:color="auto" w:fill="FFFFFF"/>
            <w:vAlign w:val="top"/>
          </w:tcPr>
          <w:p>
            <w:pPr>
              <w:spacing w:line="460" w:lineRule="exact"/>
              <w:jc w:val="center"/>
              <w:rPr>
                <w:rFonts w:ascii="宋体" w:hAnsi="宋体"/>
                <w:color w:val="000000"/>
                <w:sz w:val="24"/>
              </w:rPr>
            </w:pPr>
            <w:r>
              <w:rPr>
                <w:rFonts w:hint="eastAsia" w:ascii="宋体" w:hAnsi="宋体"/>
                <w:color w:val="000000"/>
                <w:sz w:val="24"/>
              </w:rPr>
              <w:t>单位地址</w:t>
            </w:r>
          </w:p>
        </w:tc>
        <w:tc>
          <w:tcPr>
            <w:tcW w:w="7229" w:type="dxa"/>
            <w:gridSpan w:val="9"/>
            <w:tcBorders>
              <w:right w:val="single" w:color="auto" w:sz="4" w:space="0"/>
            </w:tcBorders>
            <w:shd w:val="clear" w:color="auto" w:fill="FFFFFF"/>
            <w:vAlign w:val="top"/>
          </w:tcPr>
          <w:p>
            <w:pPr>
              <w:spacing w:line="4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 w:hRule="atLeast"/>
        </w:trPr>
        <w:tc>
          <w:tcPr>
            <w:tcW w:w="1565" w:type="dxa"/>
            <w:gridSpan w:val="2"/>
            <w:tcBorders>
              <w:right w:val="single" w:color="auto" w:sz="4" w:space="0"/>
            </w:tcBorders>
            <w:shd w:val="clear" w:color="auto" w:fill="FFFFFF"/>
            <w:vAlign w:val="top"/>
          </w:tcPr>
          <w:p>
            <w:pPr>
              <w:spacing w:line="460" w:lineRule="exact"/>
              <w:jc w:val="center"/>
              <w:rPr>
                <w:rFonts w:ascii="宋体" w:hAnsi="宋体"/>
                <w:color w:val="000000"/>
                <w:sz w:val="24"/>
              </w:rPr>
            </w:pPr>
            <w:r>
              <w:rPr>
                <w:rFonts w:hint="eastAsia" w:ascii="宋体" w:hAnsi="宋体"/>
                <w:color w:val="000000"/>
                <w:sz w:val="24"/>
              </w:rPr>
              <w:t>企业所在地</w:t>
            </w:r>
          </w:p>
        </w:tc>
        <w:tc>
          <w:tcPr>
            <w:tcW w:w="966" w:type="dxa"/>
            <w:tcBorders>
              <w:right w:val="single" w:color="auto" w:sz="4" w:space="0"/>
            </w:tcBorders>
            <w:shd w:val="clear" w:color="auto" w:fill="FFFFFF"/>
            <w:vAlign w:val="top"/>
          </w:tcPr>
          <w:p>
            <w:pPr>
              <w:spacing w:line="460" w:lineRule="exact"/>
              <w:jc w:val="center"/>
              <w:rPr>
                <w:rFonts w:ascii="宋体" w:hAnsi="宋体"/>
                <w:color w:val="000000"/>
                <w:sz w:val="24"/>
              </w:rPr>
            </w:pPr>
          </w:p>
        </w:tc>
        <w:tc>
          <w:tcPr>
            <w:tcW w:w="2022" w:type="dxa"/>
            <w:gridSpan w:val="3"/>
            <w:tcBorders>
              <w:right w:val="single" w:color="auto" w:sz="4" w:space="0"/>
            </w:tcBorders>
            <w:shd w:val="clear" w:color="auto" w:fill="FFFFFF"/>
            <w:vAlign w:val="top"/>
          </w:tcPr>
          <w:p>
            <w:pPr>
              <w:spacing w:line="460" w:lineRule="exact"/>
              <w:jc w:val="center"/>
              <w:rPr>
                <w:rFonts w:ascii="宋体" w:hAnsi="宋体"/>
                <w:color w:val="000000"/>
                <w:sz w:val="24"/>
              </w:rPr>
            </w:pPr>
            <w:r>
              <w:rPr>
                <w:rFonts w:hint="eastAsia" w:ascii="宋体" w:hAnsi="宋体"/>
                <w:color w:val="000000"/>
                <w:sz w:val="24"/>
              </w:rPr>
              <w:t>企业注册时间</w:t>
            </w:r>
          </w:p>
        </w:tc>
        <w:tc>
          <w:tcPr>
            <w:tcW w:w="1251" w:type="dxa"/>
            <w:gridSpan w:val="2"/>
            <w:tcBorders>
              <w:right w:val="single" w:color="auto" w:sz="4" w:space="0"/>
            </w:tcBorders>
            <w:shd w:val="clear" w:color="auto" w:fill="FFFFFF"/>
            <w:vAlign w:val="top"/>
          </w:tcPr>
          <w:p>
            <w:pPr>
              <w:spacing w:line="460" w:lineRule="exact"/>
              <w:jc w:val="center"/>
              <w:rPr>
                <w:rFonts w:ascii="宋体" w:hAnsi="宋体"/>
                <w:color w:val="000000"/>
                <w:sz w:val="24"/>
              </w:rPr>
            </w:pPr>
          </w:p>
        </w:tc>
        <w:tc>
          <w:tcPr>
            <w:tcW w:w="1573" w:type="dxa"/>
            <w:gridSpan w:val="2"/>
            <w:tcBorders>
              <w:right w:val="single" w:color="auto" w:sz="4" w:space="0"/>
            </w:tcBorders>
            <w:shd w:val="clear" w:color="auto" w:fill="FFFFFF"/>
            <w:vAlign w:val="top"/>
          </w:tcPr>
          <w:p>
            <w:pPr>
              <w:spacing w:line="460" w:lineRule="exact"/>
              <w:jc w:val="center"/>
              <w:rPr>
                <w:rFonts w:ascii="宋体" w:hAnsi="宋体"/>
                <w:color w:val="000000"/>
                <w:sz w:val="24"/>
              </w:rPr>
            </w:pPr>
            <w:r>
              <w:rPr>
                <w:rFonts w:hint="eastAsia" w:ascii="宋体" w:hAnsi="宋体"/>
                <w:color w:val="000000"/>
                <w:sz w:val="24"/>
              </w:rPr>
              <w:t>资质等级</w:t>
            </w:r>
          </w:p>
        </w:tc>
        <w:tc>
          <w:tcPr>
            <w:tcW w:w="1417" w:type="dxa"/>
            <w:tcBorders>
              <w:right w:val="single" w:color="auto" w:sz="4" w:space="0"/>
            </w:tcBorders>
            <w:shd w:val="clear" w:color="auto" w:fill="FFFFFF"/>
            <w:vAlign w:val="top"/>
          </w:tcPr>
          <w:p>
            <w:pPr>
              <w:spacing w:line="4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8794" w:type="dxa"/>
            <w:gridSpan w:val="11"/>
            <w:tcBorders>
              <w:right w:val="single" w:color="auto" w:sz="4" w:space="0"/>
            </w:tcBorders>
            <w:vAlign w:val="center"/>
          </w:tcPr>
          <w:p>
            <w:pPr>
              <w:spacing w:line="460" w:lineRule="exact"/>
              <w:jc w:val="center"/>
              <w:rPr>
                <w:rFonts w:ascii="宋体" w:hAnsi="宋体"/>
                <w:b/>
                <w:color w:val="000000"/>
                <w:sz w:val="24"/>
              </w:rPr>
            </w:pPr>
            <w:r>
              <w:rPr>
                <w:rFonts w:hint="eastAsia" w:ascii="宋体" w:hAnsi="宋体"/>
                <w:b/>
                <w:color w:val="000000"/>
                <w:sz w:val="24"/>
              </w:rPr>
              <w:t>企业管理经验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525" w:type="dxa"/>
            <w:vMerge w:val="restart"/>
            <w:vAlign w:val="center"/>
          </w:tcPr>
          <w:p>
            <w:pPr>
              <w:spacing w:line="460" w:lineRule="exact"/>
              <w:jc w:val="center"/>
              <w:rPr>
                <w:rFonts w:ascii="宋体" w:hAnsi="宋体"/>
                <w:color w:val="000000"/>
                <w:sz w:val="24"/>
              </w:rPr>
            </w:pPr>
            <w:r>
              <w:rPr>
                <w:rFonts w:hint="eastAsia" w:ascii="宋体" w:hAnsi="宋体"/>
                <w:color w:val="000000"/>
                <w:sz w:val="24"/>
              </w:rPr>
              <w:t>序号</w:t>
            </w:r>
          </w:p>
        </w:tc>
        <w:tc>
          <w:tcPr>
            <w:tcW w:w="2006" w:type="dxa"/>
            <w:gridSpan w:val="2"/>
            <w:vMerge w:val="restart"/>
            <w:vAlign w:val="center"/>
          </w:tcPr>
          <w:p>
            <w:pPr>
              <w:spacing w:line="460" w:lineRule="exact"/>
              <w:jc w:val="center"/>
              <w:rPr>
                <w:rFonts w:ascii="宋体" w:hAnsi="宋体"/>
                <w:color w:val="000000"/>
                <w:sz w:val="24"/>
              </w:rPr>
            </w:pPr>
            <w:r>
              <w:rPr>
                <w:rFonts w:hint="eastAsia" w:ascii="宋体" w:hAnsi="宋体"/>
                <w:color w:val="000000"/>
                <w:sz w:val="24"/>
              </w:rPr>
              <w:t>项目</w:t>
            </w:r>
          </w:p>
          <w:p>
            <w:pPr>
              <w:spacing w:line="460" w:lineRule="exact"/>
              <w:jc w:val="center"/>
              <w:rPr>
                <w:rFonts w:ascii="宋体" w:hAnsi="宋体"/>
                <w:color w:val="000000"/>
                <w:sz w:val="24"/>
              </w:rPr>
            </w:pPr>
            <w:r>
              <w:rPr>
                <w:rFonts w:hint="eastAsia" w:ascii="宋体" w:hAnsi="宋体"/>
                <w:color w:val="000000"/>
                <w:sz w:val="24"/>
              </w:rPr>
              <w:t>名称</w:t>
            </w:r>
          </w:p>
        </w:tc>
        <w:tc>
          <w:tcPr>
            <w:tcW w:w="820" w:type="dxa"/>
            <w:vMerge w:val="restart"/>
            <w:vAlign w:val="center"/>
          </w:tcPr>
          <w:p>
            <w:pPr>
              <w:spacing w:line="460" w:lineRule="exact"/>
              <w:jc w:val="center"/>
              <w:rPr>
                <w:rFonts w:ascii="宋体" w:hAnsi="宋体"/>
                <w:color w:val="000000"/>
                <w:sz w:val="24"/>
              </w:rPr>
            </w:pPr>
            <w:r>
              <w:rPr>
                <w:rFonts w:hint="eastAsia" w:ascii="宋体" w:hAnsi="宋体"/>
                <w:color w:val="000000"/>
                <w:sz w:val="24"/>
              </w:rPr>
              <w:t>坐落</w:t>
            </w:r>
          </w:p>
          <w:p>
            <w:pPr>
              <w:spacing w:line="460" w:lineRule="exact"/>
              <w:jc w:val="center"/>
              <w:rPr>
                <w:rFonts w:ascii="宋体" w:hAnsi="宋体"/>
                <w:color w:val="000000"/>
                <w:sz w:val="24"/>
              </w:rPr>
            </w:pPr>
            <w:r>
              <w:rPr>
                <w:rFonts w:hint="eastAsia" w:ascii="宋体" w:hAnsi="宋体"/>
                <w:color w:val="000000"/>
                <w:sz w:val="24"/>
              </w:rPr>
              <w:t>地点</w:t>
            </w:r>
          </w:p>
        </w:tc>
        <w:tc>
          <w:tcPr>
            <w:tcW w:w="765" w:type="dxa"/>
            <w:vMerge w:val="restart"/>
            <w:vAlign w:val="center"/>
          </w:tcPr>
          <w:p>
            <w:pPr>
              <w:spacing w:line="460" w:lineRule="exact"/>
              <w:jc w:val="center"/>
              <w:rPr>
                <w:rFonts w:ascii="宋体" w:hAnsi="宋体"/>
                <w:color w:val="000000"/>
                <w:sz w:val="24"/>
              </w:rPr>
            </w:pPr>
            <w:r>
              <w:rPr>
                <w:rFonts w:hint="eastAsia" w:ascii="宋体" w:hAnsi="宋体"/>
                <w:color w:val="000000"/>
                <w:sz w:val="24"/>
              </w:rPr>
              <w:t>项目</w:t>
            </w:r>
          </w:p>
          <w:p>
            <w:pPr>
              <w:spacing w:line="460" w:lineRule="exact"/>
              <w:jc w:val="center"/>
              <w:rPr>
                <w:rFonts w:ascii="宋体" w:hAnsi="宋体"/>
                <w:color w:val="000000"/>
                <w:sz w:val="24"/>
              </w:rPr>
            </w:pPr>
            <w:r>
              <w:rPr>
                <w:rFonts w:hint="eastAsia" w:ascii="宋体" w:hAnsi="宋体"/>
                <w:color w:val="000000"/>
                <w:sz w:val="24"/>
              </w:rPr>
              <w:t>类型</w:t>
            </w:r>
          </w:p>
        </w:tc>
        <w:tc>
          <w:tcPr>
            <w:tcW w:w="851" w:type="dxa"/>
            <w:gridSpan w:val="2"/>
            <w:vMerge w:val="restart"/>
            <w:vAlign w:val="center"/>
          </w:tcPr>
          <w:p>
            <w:pPr>
              <w:spacing w:line="460" w:lineRule="exact"/>
              <w:jc w:val="center"/>
              <w:rPr>
                <w:rFonts w:ascii="宋体" w:hAnsi="宋体"/>
                <w:color w:val="000000"/>
                <w:sz w:val="24"/>
              </w:rPr>
            </w:pPr>
            <w:r>
              <w:rPr>
                <w:rFonts w:hint="eastAsia" w:ascii="宋体" w:hAnsi="宋体"/>
                <w:color w:val="000000"/>
                <w:sz w:val="24"/>
              </w:rPr>
              <w:t>管理</w:t>
            </w:r>
          </w:p>
          <w:p>
            <w:pPr>
              <w:spacing w:line="460" w:lineRule="exact"/>
              <w:jc w:val="center"/>
              <w:rPr>
                <w:rFonts w:ascii="宋体" w:hAnsi="宋体"/>
                <w:color w:val="000000"/>
                <w:sz w:val="24"/>
              </w:rPr>
            </w:pPr>
            <w:r>
              <w:rPr>
                <w:rFonts w:hint="eastAsia" w:ascii="宋体" w:hAnsi="宋体"/>
                <w:color w:val="000000"/>
                <w:sz w:val="24"/>
              </w:rPr>
              <w:t>面积</w:t>
            </w:r>
          </w:p>
        </w:tc>
        <w:tc>
          <w:tcPr>
            <w:tcW w:w="850" w:type="dxa"/>
            <w:gridSpan w:val="2"/>
            <w:vMerge w:val="restart"/>
            <w:vAlign w:val="center"/>
          </w:tcPr>
          <w:p>
            <w:pPr>
              <w:spacing w:line="460" w:lineRule="exact"/>
              <w:jc w:val="center"/>
              <w:rPr>
                <w:rFonts w:ascii="宋体" w:hAnsi="宋体"/>
                <w:color w:val="000000"/>
                <w:sz w:val="24"/>
              </w:rPr>
            </w:pPr>
            <w:r>
              <w:rPr>
                <w:rFonts w:hint="eastAsia" w:ascii="宋体" w:hAnsi="宋体"/>
                <w:color w:val="000000"/>
                <w:sz w:val="24"/>
              </w:rPr>
              <w:t>接管</w:t>
            </w:r>
          </w:p>
          <w:p>
            <w:pPr>
              <w:spacing w:line="460" w:lineRule="exact"/>
              <w:jc w:val="center"/>
              <w:rPr>
                <w:rFonts w:ascii="宋体" w:hAnsi="宋体"/>
                <w:color w:val="000000"/>
                <w:sz w:val="24"/>
              </w:rPr>
            </w:pPr>
            <w:r>
              <w:rPr>
                <w:rFonts w:hint="eastAsia" w:ascii="宋体" w:hAnsi="宋体"/>
                <w:color w:val="000000"/>
                <w:sz w:val="24"/>
              </w:rPr>
              <w:t>日期</w:t>
            </w:r>
          </w:p>
        </w:tc>
        <w:tc>
          <w:tcPr>
            <w:tcW w:w="2977" w:type="dxa"/>
            <w:gridSpan w:val="2"/>
            <w:vAlign w:val="center"/>
          </w:tcPr>
          <w:p>
            <w:pPr>
              <w:spacing w:line="460" w:lineRule="exact"/>
              <w:jc w:val="center"/>
              <w:rPr>
                <w:rFonts w:ascii="宋体" w:hAnsi="宋体"/>
                <w:color w:val="000000"/>
                <w:sz w:val="24"/>
              </w:rPr>
            </w:pPr>
            <w:r>
              <w:rPr>
                <w:rFonts w:hint="eastAsia" w:ascii="宋体" w:hAnsi="宋体"/>
                <w:color w:val="000000"/>
                <w:sz w:val="24"/>
              </w:rPr>
              <w:t>达标创优情况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525" w:type="dxa"/>
            <w:vMerge w:val="continue"/>
            <w:vAlign w:val="center"/>
          </w:tcPr>
          <w:p>
            <w:pPr>
              <w:spacing w:line="460" w:lineRule="exact"/>
              <w:jc w:val="center"/>
              <w:rPr>
                <w:rFonts w:ascii="宋体" w:hAnsi="宋体"/>
                <w:color w:val="000000"/>
                <w:sz w:val="24"/>
              </w:rPr>
            </w:pPr>
          </w:p>
        </w:tc>
        <w:tc>
          <w:tcPr>
            <w:tcW w:w="2006" w:type="dxa"/>
            <w:gridSpan w:val="2"/>
            <w:vMerge w:val="continue"/>
            <w:vAlign w:val="center"/>
          </w:tcPr>
          <w:p>
            <w:pPr>
              <w:spacing w:line="460" w:lineRule="exact"/>
              <w:jc w:val="center"/>
              <w:rPr>
                <w:rFonts w:ascii="宋体" w:hAnsi="宋体"/>
                <w:color w:val="000000"/>
                <w:sz w:val="24"/>
              </w:rPr>
            </w:pPr>
          </w:p>
        </w:tc>
        <w:tc>
          <w:tcPr>
            <w:tcW w:w="820" w:type="dxa"/>
            <w:vMerge w:val="continue"/>
            <w:vAlign w:val="center"/>
          </w:tcPr>
          <w:p>
            <w:pPr>
              <w:spacing w:line="460" w:lineRule="exact"/>
              <w:jc w:val="center"/>
              <w:rPr>
                <w:rFonts w:ascii="宋体" w:hAnsi="宋体"/>
                <w:color w:val="000000"/>
                <w:sz w:val="24"/>
              </w:rPr>
            </w:pPr>
          </w:p>
        </w:tc>
        <w:tc>
          <w:tcPr>
            <w:tcW w:w="765" w:type="dxa"/>
            <w:vMerge w:val="continue"/>
            <w:vAlign w:val="center"/>
          </w:tcPr>
          <w:p>
            <w:pPr>
              <w:spacing w:line="460" w:lineRule="exact"/>
              <w:jc w:val="center"/>
              <w:rPr>
                <w:rFonts w:ascii="宋体" w:hAnsi="宋体"/>
                <w:color w:val="000000"/>
                <w:sz w:val="24"/>
              </w:rPr>
            </w:pPr>
          </w:p>
        </w:tc>
        <w:tc>
          <w:tcPr>
            <w:tcW w:w="851" w:type="dxa"/>
            <w:gridSpan w:val="2"/>
            <w:vMerge w:val="continue"/>
            <w:vAlign w:val="center"/>
          </w:tcPr>
          <w:p>
            <w:pPr>
              <w:spacing w:line="460" w:lineRule="exact"/>
              <w:jc w:val="center"/>
              <w:rPr>
                <w:rFonts w:ascii="宋体" w:hAnsi="宋体"/>
                <w:color w:val="000000"/>
                <w:sz w:val="24"/>
              </w:rPr>
            </w:pPr>
          </w:p>
        </w:tc>
        <w:tc>
          <w:tcPr>
            <w:tcW w:w="850" w:type="dxa"/>
            <w:gridSpan w:val="2"/>
            <w:vMerge w:val="continue"/>
            <w:vAlign w:val="center"/>
          </w:tcPr>
          <w:p>
            <w:pPr>
              <w:spacing w:line="460" w:lineRule="exact"/>
              <w:jc w:val="center"/>
              <w:rPr>
                <w:rFonts w:ascii="宋体" w:hAnsi="宋体"/>
                <w:color w:val="000000"/>
                <w:sz w:val="24"/>
              </w:rPr>
            </w:pPr>
          </w:p>
        </w:tc>
        <w:tc>
          <w:tcPr>
            <w:tcW w:w="1560" w:type="dxa"/>
            <w:vAlign w:val="center"/>
          </w:tcPr>
          <w:p>
            <w:pPr>
              <w:spacing w:line="460" w:lineRule="exact"/>
              <w:jc w:val="center"/>
              <w:rPr>
                <w:rFonts w:ascii="宋体" w:hAnsi="宋体"/>
                <w:color w:val="000000"/>
                <w:sz w:val="24"/>
              </w:rPr>
            </w:pPr>
            <w:r>
              <w:rPr>
                <w:rFonts w:hint="eastAsia" w:ascii="宋体" w:hAnsi="宋体"/>
                <w:color w:val="000000"/>
                <w:sz w:val="24"/>
              </w:rPr>
              <w:t>获得称号年份</w:t>
            </w:r>
          </w:p>
        </w:tc>
        <w:tc>
          <w:tcPr>
            <w:tcW w:w="1417" w:type="dxa"/>
            <w:vAlign w:val="center"/>
          </w:tcPr>
          <w:p>
            <w:pPr>
              <w:spacing w:line="460" w:lineRule="exact"/>
              <w:jc w:val="center"/>
              <w:rPr>
                <w:rFonts w:ascii="宋体" w:hAnsi="宋体"/>
                <w:color w:val="000000"/>
                <w:sz w:val="24"/>
              </w:rPr>
            </w:pPr>
            <w:r>
              <w:rPr>
                <w:rFonts w:hint="eastAsia" w:ascii="宋体" w:hAnsi="宋体"/>
                <w:color w:val="000000"/>
                <w:sz w:val="24"/>
              </w:rPr>
              <w:t>所获称号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5" w:type="dxa"/>
            <w:vAlign w:val="top"/>
          </w:tcPr>
          <w:p>
            <w:pPr>
              <w:spacing w:line="460" w:lineRule="exact"/>
              <w:jc w:val="center"/>
              <w:rPr>
                <w:rFonts w:ascii="宋体" w:hAnsi="宋体"/>
                <w:color w:val="000000"/>
                <w:sz w:val="24"/>
              </w:rPr>
            </w:pPr>
          </w:p>
        </w:tc>
        <w:tc>
          <w:tcPr>
            <w:tcW w:w="2006" w:type="dxa"/>
            <w:gridSpan w:val="2"/>
            <w:vAlign w:val="top"/>
          </w:tcPr>
          <w:p>
            <w:pPr>
              <w:spacing w:line="460" w:lineRule="exact"/>
              <w:jc w:val="center"/>
              <w:rPr>
                <w:rFonts w:ascii="宋体" w:hAnsi="宋体"/>
                <w:color w:val="000000"/>
                <w:sz w:val="24"/>
              </w:rPr>
            </w:pPr>
          </w:p>
        </w:tc>
        <w:tc>
          <w:tcPr>
            <w:tcW w:w="820" w:type="dxa"/>
            <w:vAlign w:val="top"/>
          </w:tcPr>
          <w:p>
            <w:pPr>
              <w:spacing w:line="460" w:lineRule="exact"/>
              <w:jc w:val="center"/>
              <w:rPr>
                <w:rFonts w:ascii="宋体" w:hAnsi="宋体"/>
                <w:color w:val="000000"/>
                <w:sz w:val="24"/>
              </w:rPr>
            </w:pPr>
          </w:p>
        </w:tc>
        <w:tc>
          <w:tcPr>
            <w:tcW w:w="765" w:type="dxa"/>
            <w:vAlign w:val="top"/>
          </w:tcPr>
          <w:p>
            <w:pPr>
              <w:spacing w:line="460" w:lineRule="exact"/>
              <w:jc w:val="center"/>
              <w:rPr>
                <w:rFonts w:ascii="宋体" w:hAnsi="宋体"/>
                <w:color w:val="000000"/>
                <w:sz w:val="24"/>
              </w:rPr>
            </w:pPr>
          </w:p>
        </w:tc>
        <w:tc>
          <w:tcPr>
            <w:tcW w:w="851" w:type="dxa"/>
            <w:gridSpan w:val="2"/>
            <w:vAlign w:val="top"/>
          </w:tcPr>
          <w:p>
            <w:pPr>
              <w:spacing w:line="460" w:lineRule="exact"/>
              <w:jc w:val="center"/>
              <w:rPr>
                <w:rFonts w:ascii="宋体" w:hAnsi="宋体"/>
                <w:color w:val="000000"/>
                <w:sz w:val="24"/>
              </w:rPr>
            </w:pPr>
          </w:p>
        </w:tc>
        <w:tc>
          <w:tcPr>
            <w:tcW w:w="850" w:type="dxa"/>
            <w:gridSpan w:val="2"/>
            <w:vAlign w:val="top"/>
          </w:tcPr>
          <w:p>
            <w:pPr>
              <w:spacing w:line="460" w:lineRule="exact"/>
              <w:jc w:val="center"/>
              <w:rPr>
                <w:rFonts w:ascii="宋体" w:hAnsi="宋体"/>
                <w:color w:val="000000"/>
                <w:sz w:val="24"/>
              </w:rPr>
            </w:pPr>
          </w:p>
        </w:tc>
        <w:tc>
          <w:tcPr>
            <w:tcW w:w="1560" w:type="dxa"/>
            <w:vAlign w:val="top"/>
          </w:tcPr>
          <w:p>
            <w:pPr>
              <w:spacing w:line="460" w:lineRule="exact"/>
              <w:jc w:val="center"/>
              <w:rPr>
                <w:rFonts w:ascii="宋体" w:hAnsi="宋体"/>
                <w:color w:val="000000"/>
                <w:sz w:val="24"/>
              </w:rPr>
            </w:pPr>
          </w:p>
        </w:tc>
        <w:tc>
          <w:tcPr>
            <w:tcW w:w="1417" w:type="dxa"/>
            <w:vAlign w:val="top"/>
          </w:tcPr>
          <w:p>
            <w:pPr>
              <w:spacing w:line="4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5" w:type="dxa"/>
            <w:vAlign w:val="top"/>
          </w:tcPr>
          <w:p>
            <w:pPr>
              <w:spacing w:line="460" w:lineRule="exact"/>
              <w:jc w:val="center"/>
              <w:rPr>
                <w:rFonts w:ascii="宋体" w:hAnsi="宋体"/>
                <w:color w:val="000000"/>
                <w:sz w:val="24"/>
              </w:rPr>
            </w:pPr>
          </w:p>
        </w:tc>
        <w:tc>
          <w:tcPr>
            <w:tcW w:w="2006" w:type="dxa"/>
            <w:gridSpan w:val="2"/>
            <w:vAlign w:val="top"/>
          </w:tcPr>
          <w:p>
            <w:pPr>
              <w:spacing w:line="460" w:lineRule="exact"/>
              <w:jc w:val="center"/>
              <w:rPr>
                <w:rFonts w:ascii="宋体" w:hAnsi="宋体"/>
                <w:color w:val="000000"/>
                <w:sz w:val="24"/>
              </w:rPr>
            </w:pPr>
          </w:p>
        </w:tc>
        <w:tc>
          <w:tcPr>
            <w:tcW w:w="820" w:type="dxa"/>
            <w:vAlign w:val="top"/>
          </w:tcPr>
          <w:p>
            <w:pPr>
              <w:spacing w:line="460" w:lineRule="exact"/>
              <w:jc w:val="center"/>
              <w:rPr>
                <w:rFonts w:ascii="宋体" w:hAnsi="宋体"/>
                <w:color w:val="000000"/>
                <w:sz w:val="24"/>
              </w:rPr>
            </w:pPr>
          </w:p>
        </w:tc>
        <w:tc>
          <w:tcPr>
            <w:tcW w:w="765" w:type="dxa"/>
            <w:vAlign w:val="top"/>
          </w:tcPr>
          <w:p>
            <w:pPr>
              <w:spacing w:line="460" w:lineRule="exact"/>
              <w:jc w:val="center"/>
              <w:rPr>
                <w:rFonts w:ascii="宋体" w:hAnsi="宋体"/>
                <w:color w:val="000000"/>
                <w:sz w:val="24"/>
              </w:rPr>
            </w:pPr>
          </w:p>
        </w:tc>
        <w:tc>
          <w:tcPr>
            <w:tcW w:w="851" w:type="dxa"/>
            <w:gridSpan w:val="2"/>
            <w:vAlign w:val="top"/>
          </w:tcPr>
          <w:p>
            <w:pPr>
              <w:spacing w:line="460" w:lineRule="exact"/>
              <w:jc w:val="center"/>
              <w:rPr>
                <w:rFonts w:ascii="宋体" w:hAnsi="宋体"/>
                <w:color w:val="000000"/>
                <w:sz w:val="24"/>
              </w:rPr>
            </w:pPr>
          </w:p>
        </w:tc>
        <w:tc>
          <w:tcPr>
            <w:tcW w:w="850" w:type="dxa"/>
            <w:gridSpan w:val="2"/>
            <w:vAlign w:val="top"/>
          </w:tcPr>
          <w:p>
            <w:pPr>
              <w:spacing w:line="460" w:lineRule="exact"/>
              <w:jc w:val="center"/>
              <w:rPr>
                <w:rFonts w:ascii="宋体" w:hAnsi="宋体"/>
                <w:color w:val="000000"/>
                <w:sz w:val="24"/>
              </w:rPr>
            </w:pPr>
          </w:p>
        </w:tc>
        <w:tc>
          <w:tcPr>
            <w:tcW w:w="1560" w:type="dxa"/>
            <w:vAlign w:val="top"/>
          </w:tcPr>
          <w:p>
            <w:pPr>
              <w:spacing w:line="460" w:lineRule="exact"/>
              <w:jc w:val="center"/>
              <w:rPr>
                <w:rFonts w:ascii="宋体" w:hAnsi="宋体"/>
                <w:color w:val="000000"/>
                <w:sz w:val="24"/>
              </w:rPr>
            </w:pPr>
          </w:p>
        </w:tc>
        <w:tc>
          <w:tcPr>
            <w:tcW w:w="1417" w:type="dxa"/>
            <w:vAlign w:val="top"/>
          </w:tcPr>
          <w:p>
            <w:pPr>
              <w:spacing w:line="4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5" w:type="dxa"/>
            <w:vAlign w:val="top"/>
          </w:tcPr>
          <w:p>
            <w:pPr>
              <w:spacing w:line="460" w:lineRule="exact"/>
              <w:jc w:val="center"/>
              <w:rPr>
                <w:rFonts w:ascii="宋体" w:hAnsi="宋体"/>
                <w:color w:val="000000"/>
                <w:sz w:val="24"/>
              </w:rPr>
            </w:pPr>
          </w:p>
        </w:tc>
        <w:tc>
          <w:tcPr>
            <w:tcW w:w="2006" w:type="dxa"/>
            <w:gridSpan w:val="2"/>
            <w:vAlign w:val="top"/>
          </w:tcPr>
          <w:p>
            <w:pPr>
              <w:spacing w:line="460" w:lineRule="exact"/>
              <w:jc w:val="center"/>
              <w:rPr>
                <w:rFonts w:ascii="宋体" w:hAnsi="宋体"/>
                <w:color w:val="000000"/>
                <w:sz w:val="24"/>
              </w:rPr>
            </w:pPr>
          </w:p>
        </w:tc>
        <w:tc>
          <w:tcPr>
            <w:tcW w:w="820" w:type="dxa"/>
            <w:vAlign w:val="top"/>
          </w:tcPr>
          <w:p>
            <w:pPr>
              <w:spacing w:line="460" w:lineRule="exact"/>
              <w:jc w:val="center"/>
              <w:rPr>
                <w:rFonts w:ascii="宋体" w:hAnsi="宋体"/>
                <w:color w:val="000000"/>
                <w:sz w:val="24"/>
              </w:rPr>
            </w:pPr>
          </w:p>
        </w:tc>
        <w:tc>
          <w:tcPr>
            <w:tcW w:w="765" w:type="dxa"/>
            <w:vAlign w:val="top"/>
          </w:tcPr>
          <w:p>
            <w:pPr>
              <w:spacing w:line="460" w:lineRule="exact"/>
              <w:jc w:val="center"/>
              <w:rPr>
                <w:rFonts w:ascii="宋体" w:hAnsi="宋体"/>
                <w:color w:val="000000"/>
                <w:sz w:val="24"/>
              </w:rPr>
            </w:pPr>
          </w:p>
        </w:tc>
        <w:tc>
          <w:tcPr>
            <w:tcW w:w="851" w:type="dxa"/>
            <w:gridSpan w:val="2"/>
            <w:vAlign w:val="top"/>
          </w:tcPr>
          <w:p>
            <w:pPr>
              <w:spacing w:line="460" w:lineRule="exact"/>
              <w:jc w:val="center"/>
              <w:rPr>
                <w:rFonts w:ascii="宋体" w:hAnsi="宋体"/>
                <w:color w:val="000000"/>
                <w:sz w:val="24"/>
              </w:rPr>
            </w:pPr>
          </w:p>
        </w:tc>
        <w:tc>
          <w:tcPr>
            <w:tcW w:w="850" w:type="dxa"/>
            <w:gridSpan w:val="2"/>
            <w:vAlign w:val="top"/>
          </w:tcPr>
          <w:p>
            <w:pPr>
              <w:spacing w:line="460" w:lineRule="exact"/>
              <w:jc w:val="center"/>
              <w:rPr>
                <w:rFonts w:ascii="宋体" w:hAnsi="宋体"/>
                <w:color w:val="000000"/>
                <w:sz w:val="24"/>
              </w:rPr>
            </w:pPr>
          </w:p>
        </w:tc>
        <w:tc>
          <w:tcPr>
            <w:tcW w:w="1560" w:type="dxa"/>
            <w:vAlign w:val="top"/>
          </w:tcPr>
          <w:p>
            <w:pPr>
              <w:spacing w:line="460" w:lineRule="exact"/>
              <w:jc w:val="center"/>
              <w:rPr>
                <w:rFonts w:ascii="宋体" w:hAnsi="宋体"/>
                <w:color w:val="000000"/>
                <w:sz w:val="24"/>
              </w:rPr>
            </w:pPr>
          </w:p>
        </w:tc>
        <w:tc>
          <w:tcPr>
            <w:tcW w:w="1417" w:type="dxa"/>
            <w:vAlign w:val="top"/>
          </w:tcPr>
          <w:p>
            <w:pPr>
              <w:spacing w:line="4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5" w:type="dxa"/>
            <w:vAlign w:val="top"/>
          </w:tcPr>
          <w:p>
            <w:pPr>
              <w:spacing w:line="460" w:lineRule="exact"/>
              <w:jc w:val="center"/>
              <w:rPr>
                <w:rFonts w:ascii="宋体" w:hAnsi="宋体"/>
                <w:color w:val="000000"/>
                <w:sz w:val="24"/>
              </w:rPr>
            </w:pPr>
          </w:p>
        </w:tc>
        <w:tc>
          <w:tcPr>
            <w:tcW w:w="2006" w:type="dxa"/>
            <w:gridSpan w:val="2"/>
            <w:vAlign w:val="top"/>
          </w:tcPr>
          <w:p>
            <w:pPr>
              <w:spacing w:line="460" w:lineRule="exact"/>
              <w:jc w:val="center"/>
              <w:rPr>
                <w:rFonts w:ascii="宋体" w:hAnsi="宋体"/>
                <w:color w:val="000000"/>
                <w:sz w:val="24"/>
              </w:rPr>
            </w:pPr>
          </w:p>
        </w:tc>
        <w:tc>
          <w:tcPr>
            <w:tcW w:w="820" w:type="dxa"/>
            <w:vAlign w:val="top"/>
          </w:tcPr>
          <w:p>
            <w:pPr>
              <w:spacing w:line="460" w:lineRule="exact"/>
              <w:jc w:val="center"/>
              <w:rPr>
                <w:rFonts w:ascii="宋体" w:hAnsi="宋体"/>
                <w:color w:val="000000"/>
                <w:sz w:val="24"/>
              </w:rPr>
            </w:pPr>
          </w:p>
        </w:tc>
        <w:tc>
          <w:tcPr>
            <w:tcW w:w="765" w:type="dxa"/>
            <w:vAlign w:val="top"/>
          </w:tcPr>
          <w:p>
            <w:pPr>
              <w:spacing w:line="460" w:lineRule="exact"/>
              <w:jc w:val="center"/>
              <w:rPr>
                <w:rFonts w:ascii="宋体" w:hAnsi="宋体"/>
                <w:color w:val="000000"/>
                <w:sz w:val="24"/>
              </w:rPr>
            </w:pPr>
          </w:p>
        </w:tc>
        <w:tc>
          <w:tcPr>
            <w:tcW w:w="851" w:type="dxa"/>
            <w:gridSpan w:val="2"/>
            <w:vAlign w:val="top"/>
          </w:tcPr>
          <w:p>
            <w:pPr>
              <w:spacing w:line="460" w:lineRule="exact"/>
              <w:jc w:val="center"/>
              <w:rPr>
                <w:rFonts w:ascii="宋体" w:hAnsi="宋体"/>
                <w:color w:val="000000"/>
                <w:sz w:val="24"/>
              </w:rPr>
            </w:pPr>
          </w:p>
        </w:tc>
        <w:tc>
          <w:tcPr>
            <w:tcW w:w="850" w:type="dxa"/>
            <w:gridSpan w:val="2"/>
            <w:vAlign w:val="top"/>
          </w:tcPr>
          <w:p>
            <w:pPr>
              <w:spacing w:line="460" w:lineRule="exact"/>
              <w:jc w:val="center"/>
              <w:rPr>
                <w:rFonts w:ascii="宋体" w:hAnsi="宋体"/>
                <w:color w:val="000000"/>
                <w:sz w:val="24"/>
              </w:rPr>
            </w:pPr>
          </w:p>
        </w:tc>
        <w:tc>
          <w:tcPr>
            <w:tcW w:w="1560" w:type="dxa"/>
            <w:vAlign w:val="top"/>
          </w:tcPr>
          <w:p>
            <w:pPr>
              <w:spacing w:line="460" w:lineRule="exact"/>
              <w:jc w:val="center"/>
              <w:rPr>
                <w:rFonts w:ascii="宋体" w:hAnsi="宋体"/>
                <w:color w:val="000000"/>
                <w:sz w:val="24"/>
              </w:rPr>
            </w:pPr>
          </w:p>
        </w:tc>
        <w:tc>
          <w:tcPr>
            <w:tcW w:w="1417" w:type="dxa"/>
            <w:vAlign w:val="top"/>
          </w:tcPr>
          <w:p>
            <w:pPr>
              <w:spacing w:line="4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5" w:type="dxa"/>
            <w:vAlign w:val="top"/>
          </w:tcPr>
          <w:p>
            <w:pPr>
              <w:spacing w:line="460" w:lineRule="exact"/>
              <w:jc w:val="center"/>
              <w:rPr>
                <w:rFonts w:ascii="宋体" w:hAnsi="宋体"/>
                <w:color w:val="000000"/>
                <w:sz w:val="24"/>
              </w:rPr>
            </w:pPr>
          </w:p>
        </w:tc>
        <w:tc>
          <w:tcPr>
            <w:tcW w:w="2006" w:type="dxa"/>
            <w:gridSpan w:val="2"/>
            <w:vAlign w:val="top"/>
          </w:tcPr>
          <w:p>
            <w:pPr>
              <w:spacing w:line="460" w:lineRule="exact"/>
              <w:jc w:val="center"/>
              <w:rPr>
                <w:rFonts w:ascii="宋体" w:hAnsi="宋体"/>
                <w:color w:val="000000"/>
                <w:sz w:val="24"/>
              </w:rPr>
            </w:pPr>
          </w:p>
        </w:tc>
        <w:tc>
          <w:tcPr>
            <w:tcW w:w="820" w:type="dxa"/>
            <w:vAlign w:val="top"/>
          </w:tcPr>
          <w:p>
            <w:pPr>
              <w:spacing w:line="460" w:lineRule="exact"/>
              <w:jc w:val="center"/>
              <w:rPr>
                <w:rFonts w:ascii="宋体" w:hAnsi="宋体"/>
                <w:color w:val="000000"/>
                <w:sz w:val="24"/>
              </w:rPr>
            </w:pPr>
          </w:p>
        </w:tc>
        <w:tc>
          <w:tcPr>
            <w:tcW w:w="765" w:type="dxa"/>
            <w:vAlign w:val="top"/>
          </w:tcPr>
          <w:p>
            <w:pPr>
              <w:spacing w:line="460" w:lineRule="exact"/>
              <w:jc w:val="center"/>
              <w:rPr>
                <w:rFonts w:ascii="宋体" w:hAnsi="宋体"/>
                <w:color w:val="000000"/>
                <w:sz w:val="24"/>
              </w:rPr>
            </w:pPr>
          </w:p>
        </w:tc>
        <w:tc>
          <w:tcPr>
            <w:tcW w:w="851" w:type="dxa"/>
            <w:gridSpan w:val="2"/>
            <w:vAlign w:val="top"/>
          </w:tcPr>
          <w:p>
            <w:pPr>
              <w:spacing w:line="460" w:lineRule="exact"/>
              <w:jc w:val="center"/>
              <w:rPr>
                <w:rFonts w:ascii="宋体" w:hAnsi="宋体"/>
                <w:color w:val="000000"/>
                <w:sz w:val="24"/>
              </w:rPr>
            </w:pPr>
          </w:p>
        </w:tc>
        <w:tc>
          <w:tcPr>
            <w:tcW w:w="850" w:type="dxa"/>
            <w:gridSpan w:val="2"/>
            <w:vAlign w:val="top"/>
          </w:tcPr>
          <w:p>
            <w:pPr>
              <w:spacing w:line="460" w:lineRule="exact"/>
              <w:jc w:val="center"/>
              <w:rPr>
                <w:rFonts w:ascii="宋体" w:hAnsi="宋体"/>
                <w:color w:val="000000"/>
                <w:sz w:val="24"/>
              </w:rPr>
            </w:pPr>
          </w:p>
        </w:tc>
        <w:tc>
          <w:tcPr>
            <w:tcW w:w="1560" w:type="dxa"/>
            <w:vAlign w:val="top"/>
          </w:tcPr>
          <w:p>
            <w:pPr>
              <w:spacing w:line="460" w:lineRule="exact"/>
              <w:jc w:val="center"/>
              <w:rPr>
                <w:rFonts w:ascii="宋体" w:hAnsi="宋体"/>
                <w:color w:val="000000"/>
                <w:sz w:val="24"/>
              </w:rPr>
            </w:pPr>
          </w:p>
        </w:tc>
        <w:tc>
          <w:tcPr>
            <w:tcW w:w="1417" w:type="dxa"/>
            <w:vAlign w:val="top"/>
          </w:tcPr>
          <w:p>
            <w:pPr>
              <w:spacing w:line="4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5" w:type="dxa"/>
            <w:vAlign w:val="top"/>
          </w:tcPr>
          <w:p>
            <w:pPr>
              <w:spacing w:line="460" w:lineRule="exact"/>
              <w:jc w:val="center"/>
              <w:rPr>
                <w:rFonts w:ascii="宋体" w:hAnsi="宋体"/>
                <w:color w:val="000000"/>
                <w:sz w:val="24"/>
              </w:rPr>
            </w:pPr>
          </w:p>
        </w:tc>
        <w:tc>
          <w:tcPr>
            <w:tcW w:w="2006" w:type="dxa"/>
            <w:gridSpan w:val="2"/>
            <w:vAlign w:val="top"/>
          </w:tcPr>
          <w:p>
            <w:pPr>
              <w:spacing w:line="460" w:lineRule="exact"/>
              <w:jc w:val="center"/>
              <w:rPr>
                <w:rFonts w:ascii="宋体" w:hAnsi="宋体"/>
                <w:color w:val="000000"/>
                <w:sz w:val="24"/>
              </w:rPr>
            </w:pPr>
          </w:p>
        </w:tc>
        <w:tc>
          <w:tcPr>
            <w:tcW w:w="820" w:type="dxa"/>
            <w:vAlign w:val="top"/>
          </w:tcPr>
          <w:p>
            <w:pPr>
              <w:spacing w:line="460" w:lineRule="exact"/>
              <w:jc w:val="center"/>
              <w:rPr>
                <w:rFonts w:ascii="宋体" w:hAnsi="宋体"/>
                <w:color w:val="000000"/>
                <w:sz w:val="24"/>
              </w:rPr>
            </w:pPr>
          </w:p>
        </w:tc>
        <w:tc>
          <w:tcPr>
            <w:tcW w:w="765" w:type="dxa"/>
            <w:vAlign w:val="top"/>
          </w:tcPr>
          <w:p>
            <w:pPr>
              <w:spacing w:line="460" w:lineRule="exact"/>
              <w:jc w:val="center"/>
              <w:rPr>
                <w:rFonts w:ascii="宋体" w:hAnsi="宋体"/>
                <w:color w:val="000000"/>
                <w:sz w:val="24"/>
              </w:rPr>
            </w:pPr>
          </w:p>
        </w:tc>
        <w:tc>
          <w:tcPr>
            <w:tcW w:w="851" w:type="dxa"/>
            <w:gridSpan w:val="2"/>
            <w:vAlign w:val="top"/>
          </w:tcPr>
          <w:p>
            <w:pPr>
              <w:spacing w:line="460" w:lineRule="exact"/>
              <w:jc w:val="center"/>
              <w:rPr>
                <w:rFonts w:ascii="宋体" w:hAnsi="宋体"/>
                <w:color w:val="000000"/>
                <w:sz w:val="24"/>
              </w:rPr>
            </w:pPr>
          </w:p>
        </w:tc>
        <w:tc>
          <w:tcPr>
            <w:tcW w:w="850" w:type="dxa"/>
            <w:gridSpan w:val="2"/>
            <w:vAlign w:val="top"/>
          </w:tcPr>
          <w:p>
            <w:pPr>
              <w:spacing w:line="460" w:lineRule="exact"/>
              <w:jc w:val="center"/>
              <w:rPr>
                <w:rFonts w:ascii="宋体" w:hAnsi="宋体"/>
                <w:color w:val="000000"/>
                <w:sz w:val="24"/>
              </w:rPr>
            </w:pPr>
          </w:p>
        </w:tc>
        <w:tc>
          <w:tcPr>
            <w:tcW w:w="1560" w:type="dxa"/>
            <w:vAlign w:val="top"/>
          </w:tcPr>
          <w:p>
            <w:pPr>
              <w:spacing w:line="460" w:lineRule="exact"/>
              <w:jc w:val="center"/>
              <w:rPr>
                <w:rFonts w:ascii="宋体" w:hAnsi="宋体"/>
                <w:color w:val="000000"/>
                <w:sz w:val="24"/>
              </w:rPr>
            </w:pPr>
          </w:p>
        </w:tc>
        <w:tc>
          <w:tcPr>
            <w:tcW w:w="1417" w:type="dxa"/>
            <w:vAlign w:val="top"/>
          </w:tcPr>
          <w:p>
            <w:pPr>
              <w:spacing w:line="4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5" w:type="dxa"/>
            <w:vAlign w:val="top"/>
          </w:tcPr>
          <w:p>
            <w:pPr>
              <w:spacing w:line="460" w:lineRule="exact"/>
              <w:jc w:val="center"/>
              <w:rPr>
                <w:rFonts w:ascii="宋体" w:hAnsi="宋体"/>
                <w:color w:val="000000"/>
                <w:sz w:val="24"/>
              </w:rPr>
            </w:pPr>
          </w:p>
        </w:tc>
        <w:tc>
          <w:tcPr>
            <w:tcW w:w="2006" w:type="dxa"/>
            <w:gridSpan w:val="2"/>
            <w:vAlign w:val="top"/>
          </w:tcPr>
          <w:p>
            <w:pPr>
              <w:spacing w:line="460" w:lineRule="exact"/>
              <w:jc w:val="center"/>
              <w:rPr>
                <w:rFonts w:ascii="宋体" w:hAnsi="宋体"/>
                <w:color w:val="000000"/>
                <w:sz w:val="24"/>
              </w:rPr>
            </w:pPr>
          </w:p>
        </w:tc>
        <w:tc>
          <w:tcPr>
            <w:tcW w:w="820" w:type="dxa"/>
            <w:vAlign w:val="top"/>
          </w:tcPr>
          <w:p>
            <w:pPr>
              <w:spacing w:line="460" w:lineRule="exact"/>
              <w:jc w:val="center"/>
              <w:rPr>
                <w:rFonts w:ascii="宋体" w:hAnsi="宋体"/>
                <w:color w:val="000000"/>
                <w:sz w:val="24"/>
              </w:rPr>
            </w:pPr>
          </w:p>
        </w:tc>
        <w:tc>
          <w:tcPr>
            <w:tcW w:w="765" w:type="dxa"/>
            <w:vAlign w:val="top"/>
          </w:tcPr>
          <w:p>
            <w:pPr>
              <w:spacing w:line="460" w:lineRule="exact"/>
              <w:jc w:val="center"/>
              <w:rPr>
                <w:rFonts w:ascii="宋体" w:hAnsi="宋体"/>
                <w:color w:val="000000"/>
                <w:sz w:val="24"/>
              </w:rPr>
            </w:pPr>
          </w:p>
        </w:tc>
        <w:tc>
          <w:tcPr>
            <w:tcW w:w="851" w:type="dxa"/>
            <w:gridSpan w:val="2"/>
            <w:vAlign w:val="top"/>
          </w:tcPr>
          <w:p>
            <w:pPr>
              <w:spacing w:line="460" w:lineRule="exact"/>
              <w:jc w:val="center"/>
              <w:rPr>
                <w:rFonts w:ascii="宋体" w:hAnsi="宋体"/>
                <w:color w:val="000000"/>
                <w:sz w:val="24"/>
              </w:rPr>
            </w:pPr>
          </w:p>
        </w:tc>
        <w:tc>
          <w:tcPr>
            <w:tcW w:w="850" w:type="dxa"/>
            <w:gridSpan w:val="2"/>
            <w:vAlign w:val="top"/>
          </w:tcPr>
          <w:p>
            <w:pPr>
              <w:spacing w:line="460" w:lineRule="exact"/>
              <w:jc w:val="center"/>
              <w:rPr>
                <w:rFonts w:ascii="宋体" w:hAnsi="宋体"/>
                <w:color w:val="000000"/>
                <w:sz w:val="24"/>
              </w:rPr>
            </w:pPr>
          </w:p>
        </w:tc>
        <w:tc>
          <w:tcPr>
            <w:tcW w:w="1560" w:type="dxa"/>
            <w:vAlign w:val="top"/>
          </w:tcPr>
          <w:p>
            <w:pPr>
              <w:spacing w:line="460" w:lineRule="exact"/>
              <w:jc w:val="center"/>
              <w:rPr>
                <w:rFonts w:ascii="宋体" w:hAnsi="宋体"/>
                <w:color w:val="000000"/>
                <w:sz w:val="24"/>
              </w:rPr>
            </w:pPr>
          </w:p>
        </w:tc>
        <w:tc>
          <w:tcPr>
            <w:tcW w:w="1417" w:type="dxa"/>
            <w:vAlign w:val="top"/>
          </w:tcPr>
          <w:p>
            <w:pPr>
              <w:spacing w:line="4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5" w:type="dxa"/>
            <w:vAlign w:val="top"/>
          </w:tcPr>
          <w:p>
            <w:pPr>
              <w:spacing w:line="460" w:lineRule="exact"/>
              <w:jc w:val="center"/>
              <w:rPr>
                <w:rFonts w:ascii="宋体" w:hAnsi="宋体"/>
                <w:color w:val="000000"/>
                <w:sz w:val="24"/>
              </w:rPr>
            </w:pPr>
          </w:p>
        </w:tc>
        <w:tc>
          <w:tcPr>
            <w:tcW w:w="2006" w:type="dxa"/>
            <w:gridSpan w:val="2"/>
            <w:vAlign w:val="top"/>
          </w:tcPr>
          <w:p>
            <w:pPr>
              <w:spacing w:line="460" w:lineRule="exact"/>
              <w:jc w:val="center"/>
              <w:rPr>
                <w:rFonts w:ascii="宋体" w:hAnsi="宋体"/>
                <w:color w:val="000000"/>
                <w:sz w:val="24"/>
              </w:rPr>
            </w:pPr>
          </w:p>
        </w:tc>
        <w:tc>
          <w:tcPr>
            <w:tcW w:w="820" w:type="dxa"/>
            <w:vAlign w:val="top"/>
          </w:tcPr>
          <w:p>
            <w:pPr>
              <w:spacing w:line="460" w:lineRule="exact"/>
              <w:jc w:val="center"/>
              <w:rPr>
                <w:rFonts w:ascii="宋体" w:hAnsi="宋体"/>
                <w:color w:val="000000"/>
                <w:sz w:val="24"/>
              </w:rPr>
            </w:pPr>
          </w:p>
        </w:tc>
        <w:tc>
          <w:tcPr>
            <w:tcW w:w="765" w:type="dxa"/>
            <w:vAlign w:val="top"/>
          </w:tcPr>
          <w:p>
            <w:pPr>
              <w:spacing w:line="460" w:lineRule="exact"/>
              <w:jc w:val="center"/>
              <w:rPr>
                <w:rFonts w:ascii="宋体" w:hAnsi="宋体"/>
                <w:color w:val="000000"/>
                <w:sz w:val="24"/>
              </w:rPr>
            </w:pPr>
          </w:p>
        </w:tc>
        <w:tc>
          <w:tcPr>
            <w:tcW w:w="851" w:type="dxa"/>
            <w:gridSpan w:val="2"/>
            <w:vAlign w:val="top"/>
          </w:tcPr>
          <w:p>
            <w:pPr>
              <w:spacing w:line="460" w:lineRule="exact"/>
              <w:jc w:val="center"/>
              <w:rPr>
                <w:rFonts w:ascii="宋体" w:hAnsi="宋体"/>
                <w:color w:val="000000"/>
                <w:sz w:val="24"/>
              </w:rPr>
            </w:pPr>
          </w:p>
        </w:tc>
        <w:tc>
          <w:tcPr>
            <w:tcW w:w="850" w:type="dxa"/>
            <w:gridSpan w:val="2"/>
            <w:vAlign w:val="top"/>
          </w:tcPr>
          <w:p>
            <w:pPr>
              <w:spacing w:line="460" w:lineRule="exact"/>
              <w:jc w:val="center"/>
              <w:rPr>
                <w:rFonts w:ascii="宋体" w:hAnsi="宋体"/>
                <w:color w:val="000000"/>
                <w:sz w:val="24"/>
              </w:rPr>
            </w:pPr>
          </w:p>
        </w:tc>
        <w:tc>
          <w:tcPr>
            <w:tcW w:w="1560" w:type="dxa"/>
            <w:vAlign w:val="top"/>
          </w:tcPr>
          <w:p>
            <w:pPr>
              <w:spacing w:line="460" w:lineRule="exact"/>
              <w:jc w:val="center"/>
              <w:rPr>
                <w:rFonts w:ascii="宋体" w:hAnsi="宋体"/>
                <w:color w:val="000000"/>
                <w:sz w:val="24"/>
              </w:rPr>
            </w:pPr>
          </w:p>
        </w:tc>
        <w:tc>
          <w:tcPr>
            <w:tcW w:w="1417" w:type="dxa"/>
            <w:vAlign w:val="top"/>
          </w:tcPr>
          <w:p>
            <w:pPr>
              <w:spacing w:line="4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trPr>
        <w:tc>
          <w:tcPr>
            <w:tcW w:w="8794" w:type="dxa"/>
            <w:gridSpan w:val="11"/>
            <w:vAlign w:val="center"/>
          </w:tcPr>
          <w:p>
            <w:pPr>
              <w:spacing w:line="460" w:lineRule="exact"/>
              <w:rPr>
                <w:rFonts w:ascii="宋体" w:hAnsi="宋体"/>
                <w:color w:val="000000"/>
                <w:sz w:val="24"/>
              </w:rPr>
            </w:pPr>
            <w:r>
              <w:rPr>
                <w:rFonts w:hint="eastAsia" w:ascii="宋体" w:hAnsi="宋体"/>
                <w:color w:val="000000"/>
                <w:sz w:val="24"/>
              </w:rPr>
              <w:t>注：企业达标创优情况不包含已取消的称号</w:t>
            </w:r>
          </w:p>
        </w:tc>
      </w:tr>
    </w:tbl>
    <w:p>
      <w:pPr>
        <w:ind w:firstLine="480" w:firstLineChars="200"/>
        <w:rPr>
          <w:rFonts w:ascii="宋体" w:hAnsi="宋体" w:cs="宋体"/>
          <w:b/>
          <w:bCs/>
          <w:color w:val="000000"/>
          <w:sz w:val="24"/>
        </w:rPr>
      </w:pPr>
      <w:r>
        <w:rPr>
          <w:rFonts w:hint="eastAsia" w:ascii="宋体" w:hAnsi="宋体"/>
          <w:color w:val="000000"/>
          <w:sz w:val="24"/>
        </w:rPr>
        <w:t>表后须附相关合同复印件（加盖</w:t>
      </w:r>
      <w:r>
        <w:rPr>
          <w:rFonts w:hint="eastAsia" w:ascii="宋体" w:hAnsi="宋体"/>
          <w:color w:val="000000"/>
          <w:sz w:val="24"/>
          <w:lang w:eastAsia="zh-CN"/>
        </w:rPr>
        <w:t>数字签章</w:t>
      </w:r>
      <w:r>
        <w:rPr>
          <w:rFonts w:hint="eastAsia" w:ascii="宋体" w:hAnsi="宋体"/>
          <w:color w:val="000000"/>
          <w:sz w:val="24"/>
        </w:rPr>
        <w:t>），此表可扩展（如信用等级），合同中应包括不限于合同金额、买卖双方名称及盖章。提供的证明材料均不得遮挡涂黑，否则不得分。</w:t>
      </w:r>
    </w:p>
    <w:p>
      <w:pPr>
        <w:tabs>
          <w:tab w:val="left" w:pos="0"/>
          <w:tab w:val="left" w:pos="720"/>
          <w:tab w:val="left" w:pos="1440"/>
          <w:tab w:val="left" w:pos="2160"/>
          <w:tab w:val="left" w:pos="2880"/>
          <w:tab w:val="left" w:pos="3600"/>
          <w:tab w:val="left" w:pos="4320"/>
        </w:tabs>
        <w:autoSpaceDE w:val="0"/>
        <w:autoSpaceDN w:val="0"/>
        <w:ind w:right="-256" w:rightChars="-122"/>
        <w:jc w:val="right"/>
        <w:rPr>
          <w:rFonts w:ascii="宋体" w:hAnsi="宋体" w:cs="仿宋_GB2312"/>
          <w:color w:val="000000"/>
          <w:sz w:val="24"/>
        </w:rPr>
      </w:pPr>
    </w:p>
    <w:p>
      <w:pPr>
        <w:snapToGrid w:val="0"/>
        <w:spacing w:line="500" w:lineRule="exact"/>
        <w:rPr>
          <w:rFonts w:ascii="宋体" w:hAnsi="宋体"/>
          <w:b/>
          <w:color w:val="000000"/>
          <w:sz w:val="28"/>
          <w:szCs w:val="28"/>
        </w:rPr>
      </w:pPr>
      <w:r>
        <w:rPr>
          <w:rFonts w:hint="eastAsia" w:ascii="宋体" w:hAnsi="宋体"/>
          <w:color w:val="000000"/>
          <w:sz w:val="24"/>
          <w:lang w:eastAsia="zh-CN"/>
        </w:rPr>
        <w:t>投标人</w:t>
      </w:r>
      <w:r>
        <w:rPr>
          <w:rFonts w:hint="eastAsia" w:ascii="宋体" w:hAnsi="宋体"/>
          <w:color w:val="000000"/>
          <w:sz w:val="24"/>
        </w:rPr>
        <w:t>（</w:t>
      </w:r>
      <w:r>
        <w:rPr>
          <w:rFonts w:hint="eastAsia" w:ascii="宋体" w:hAnsi="宋体"/>
          <w:color w:val="000000"/>
          <w:sz w:val="24"/>
          <w:lang w:eastAsia="zh-CN"/>
        </w:rPr>
        <w:t>公章</w:t>
      </w:r>
      <w:r>
        <w:rPr>
          <w:rFonts w:hint="eastAsia" w:ascii="宋体" w:hAnsi="宋体"/>
          <w:color w:val="000000"/>
          <w:sz w:val="24"/>
        </w:rPr>
        <w:t>）：                   法定代表人或被授权人（</w:t>
      </w:r>
      <w:r>
        <w:rPr>
          <w:rFonts w:hint="eastAsia" w:ascii="宋体" w:hAnsi="宋体"/>
          <w:color w:val="000000"/>
          <w:sz w:val="24"/>
          <w:lang w:eastAsia="zh-CN"/>
        </w:rPr>
        <w:t>数字签章</w:t>
      </w:r>
      <w:r>
        <w:rPr>
          <w:rFonts w:hint="eastAsia" w:ascii="宋体" w:hAnsi="宋体"/>
          <w:color w:val="000000"/>
          <w:sz w:val="24"/>
        </w:rPr>
        <w:t>）：</w:t>
      </w:r>
    </w:p>
    <w:p>
      <w:pPr>
        <w:snapToGrid w:val="0"/>
        <w:spacing w:line="500" w:lineRule="exact"/>
        <w:rPr>
          <w:rFonts w:ascii="宋体" w:hAnsi="宋体"/>
          <w:b/>
          <w:color w:val="000000"/>
          <w:sz w:val="28"/>
          <w:szCs w:val="28"/>
        </w:rPr>
      </w:pPr>
      <w:r>
        <w:rPr>
          <w:rFonts w:hint="eastAsia" w:ascii="宋体" w:hAnsi="宋体"/>
          <w:b/>
          <w:color w:val="000000"/>
          <w:sz w:val="28"/>
          <w:szCs w:val="28"/>
          <w:lang w:val="en-US" w:eastAsia="zh-CN"/>
        </w:rPr>
        <w:t xml:space="preserve">2. </w:t>
      </w:r>
      <w:r>
        <w:rPr>
          <w:rFonts w:hint="eastAsia" w:ascii="宋体" w:hAnsi="宋体"/>
          <w:b/>
          <w:color w:val="000000"/>
          <w:sz w:val="28"/>
          <w:szCs w:val="28"/>
        </w:rPr>
        <w:t>拟派驻项目经理情况</w:t>
      </w:r>
    </w:p>
    <w:p>
      <w:pPr>
        <w:kinsoku w:val="0"/>
        <w:spacing w:line="500" w:lineRule="exact"/>
        <w:ind w:firstLine="120" w:firstLineChars="50"/>
        <w:rPr>
          <w:rFonts w:ascii="宋体" w:hAnsi="宋体"/>
          <w:color w:val="000000"/>
          <w:sz w:val="24"/>
        </w:rPr>
      </w:pPr>
      <w:r>
        <w:rPr>
          <w:rFonts w:hint="eastAsia" w:ascii="宋体" w:hAnsi="宋体"/>
          <w:color w:val="000000"/>
          <w:sz w:val="24"/>
        </w:rPr>
        <w:t xml:space="preserve">项目名称：                                                 </w:t>
      </w:r>
    </w:p>
    <w:p>
      <w:pPr>
        <w:kinsoku w:val="0"/>
        <w:spacing w:line="500" w:lineRule="exact"/>
        <w:ind w:firstLine="120" w:firstLineChars="50"/>
        <w:rPr>
          <w:rFonts w:ascii="宋体" w:hAnsi="宋体"/>
          <w:color w:val="000000"/>
          <w:sz w:val="24"/>
        </w:rPr>
      </w:pPr>
      <w:r>
        <w:rPr>
          <w:rFonts w:hint="eastAsia" w:ascii="宋体" w:hAnsi="宋体"/>
          <w:color w:val="000000"/>
          <w:sz w:val="24"/>
        </w:rPr>
        <w:t>项目编号：</w:t>
      </w:r>
    </w:p>
    <w:p>
      <w:pPr>
        <w:kinsoku w:val="0"/>
        <w:spacing w:line="500" w:lineRule="exact"/>
        <w:ind w:firstLine="120" w:firstLineChars="50"/>
        <w:rPr>
          <w:color w:val="000000"/>
        </w:rPr>
      </w:pPr>
      <w:r>
        <w:rPr>
          <w:rFonts w:hint="eastAsia" w:ascii="宋体" w:hAnsi="宋体"/>
          <w:color w:val="000000"/>
          <w:sz w:val="24"/>
          <w:lang w:eastAsia="zh-CN"/>
        </w:rPr>
        <w:t>投标人</w:t>
      </w:r>
      <w:r>
        <w:rPr>
          <w:rFonts w:hint="eastAsia" w:ascii="宋体" w:hAnsi="宋体"/>
          <w:color w:val="000000"/>
          <w:sz w:val="24"/>
        </w:rPr>
        <w:t>：</w:t>
      </w:r>
    </w:p>
    <w:tbl>
      <w:tblPr>
        <w:tblStyle w:val="2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350"/>
        <w:gridCol w:w="1337"/>
        <w:gridCol w:w="1450"/>
        <w:gridCol w:w="1537"/>
        <w:gridCol w:w="1537"/>
      </w:tblGrid>
      <w:tr>
        <w:tblPrEx>
          <w:tblLayout w:type="fixed"/>
          <w:tblCellMar>
            <w:top w:w="0" w:type="dxa"/>
            <w:left w:w="108" w:type="dxa"/>
            <w:bottom w:w="0" w:type="dxa"/>
            <w:right w:w="108" w:type="dxa"/>
          </w:tblCellMar>
        </w:tblPrEx>
        <w:trPr>
          <w:trHeight w:val="624" w:hRule="atLeast"/>
          <w:jc w:val="center"/>
        </w:trPr>
        <w:tc>
          <w:tcPr>
            <w:tcW w:w="1311"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姓名</w:t>
            </w:r>
          </w:p>
        </w:tc>
        <w:tc>
          <w:tcPr>
            <w:tcW w:w="1350" w:type="dxa"/>
            <w:vAlign w:val="center"/>
          </w:tcPr>
          <w:p>
            <w:pPr>
              <w:widowControl/>
              <w:jc w:val="center"/>
              <w:rPr>
                <w:rFonts w:ascii="宋体" w:hAnsi="宋体" w:cs="宋体"/>
                <w:b/>
                <w:color w:val="000000"/>
                <w:kern w:val="0"/>
                <w:sz w:val="24"/>
              </w:rPr>
            </w:pPr>
          </w:p>
        </w:tc>
        <w:tc>
          <w:tcPr>
            <w:tcW w:w="1337"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性别</w:t>
            </w:r>
          </w:p>
        </w:tc>
        <w:tc>
          <w:tcPr>
            <w:tcW w:w="1450" w:type="dxa"/>
            <w:vAlign w:val="center"/>
          </w:tcPr>
          <w:p>
            <w:pPr>
              <w:widowControl/>
              <w:jc w:val="center"/>
              <w:rPr>
                <w:rFonts w:ascii="宋体" w:hAnsi="宋体" w:cs="宋体"/>
                <w:b/>
                <w:color w:val="000000"/>
                <w:kern w:val="0"/>
                <w:sz w:val="24"/>
              </w:rPr>
            </w:pPr>
          </w:p>
        </w:tc>
        <w:tc>
          <w:tcPr>
            <w:tcW w:w="1537"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年龄</w:t>
            </w:r>
          </w:p>
        </w:tc>
        <w:tc>
          <w:tcPr>
            <w:tcW w:w="1537" w:type="dxa"/>
            <w:vAlign w:val="center"/>
          </w:tcPr>
          <w:p>
            <w:pPr>
              <w:widowControl/>
              <w:jc w:val="center"/>
              <w:rPr>
                <w:rFonts w:ascii="宋体" w:hAnsi="宋体" w:cs="宋体"/>
                <w:b/>
                <w:color w:val="000000"/>
                <w:kern w:val="0"/>
                <w:sz w:val="24"/>
              </w:rPr>
            </w:pPr>
          </w:p>
        </w:tc>
      </w:tr>
      <w:tr>
        <w:tblPrEx>
          <w:tblLayout w:type="fixed"/>
          <w:tblCellMar>
            <w:top w:w="0" w:type="dxa"/>
            <w:left w:w="108" w:type="dxa"/>
            <w:bottom w:w="0" w:type="dxa"/>
            <w:right w:w="108" w:type="dxa"/>
          </w:tblCellMar>
        </w:tblPrEx>
        <w:trPr>
          <w:trHeight w:val="624" w:hRule="atLeast"/>
          <w:jc w:val="center"/>
        </w:trPr>
        <w:tc>
          <w:tcPr>
            <w:tcW w:w="1311"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学历</w:t>
            </w:r>
          </w:p>
        </w:tc>
        <w:tc>
          <w:tcPr>
            <w:tcW w:w="1350" w:type="dxa"/>
            <w:vAlign w:val="center"/>
          </w:tcPr>
          <w:p>
            <w:pPr>
              <w:widowControl/>
              <w:jc w:val="center"/>
              <w:rPr>
                <w:rFonts w:ascii="宋体" w:hAnsi="宋体" w:cs="宋体"/>
                <w:b/>
                <w:color w:val="000000"/>
                <w:kern w:val="0"/>
                <w:sz w:val="24"/>
              </w:rPr>
            </w:pPr>
          </w:p>
        </w:tc>
        <w:tc>
          <w:tcPr>
            <w:tcW w:w="2787" w:type="dxa"/>
            <w:gridSpan w:val="2"/>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资质证书</w:t>
            </w:r>
          </w:p>
        </w:tc>
        <w:tc>
          <w:tcPr>
            <w:tcW w:w="3074" w:type="dxa"/>
            <w:gridSpan w:val="2"/>
            <w:vAlign w:val="center"/>
          </w:tcPr>
          <w:p>
            <w:pPr>
              <w:widowControl/>
              <w:jc w:val="center"/>
              <w:rPr>
                <w:rFonts w:ascii="宋体" w:hAnsi="宋体" w:cs="宋体"/>
                <w:b/>
                <w:color w:val="000000"/>
                <w:kern w:val="0"/>
                <w:sz w:val="24"/>
              </w:rPr>
            </w:pPr>
          </w:p>
        </w:tc>
      </w:tr>
      <w:tr>
        <w:tblPrEx>
          <w:tblLayout w:type="fixed"/>
          <w:tblCellMar>
            <w:top w:w="0" w:type="dxa"/>
            <w:left w:w="108" w:type="dxa"/>
            <w:bottom w:w="0" w:type="dxa"/>
            <w:right w:w="108" w:type="dxa"/>
          </w:tblCellMar>
        </w:tblPrEx>
        <w:trPr>
          <w:trHeight w:val="624" w:hRule="atLeast"/>
          <w:jc w:val="center"/>
        </w:trPr>
        <w:tc>
          <w:tcPr>
            <w:tcW w:w="5448" w:type="dxa"/>
            <w:gridSpan w:val="4"/>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拟担任职位</w:t>
            </w:r>
          </w:p>
        </w:tc>
        <w:tc>
          <w:tcPr>
            <w:tcW w:w="3074" w:type="dxa"/>
            <w:gridSpan w:val="2"/>
            <w:vAlign w:val="center"/>
          </w:tcPr>
          <w:p>
            <w:pPr>
              <w:widowControl/>
              <w:jc w:val="center"/>
              <w:rPr>
                <w:rFonts w:ascii="宋体" w:hAnsi="宋体" w:cs="宋体"/>
                <w:b/>
                <w:color w:val="000000"/>
                <w:kern w:val="0"/>
                <w:sz w:val="24"/>
              </w:rPr>
            </w:pPr>
          </w:p>
        </w:tc>
      </w:tr>
      <w:tr>
        <w:tblPrEx>
          <w:tblLayout w:type="fixed"/>
          <w:tblCellMar>
            <w:top w:w="0" w:type="dxa"/>
            <w:left w:w="108" w:type="dxa"/>
            <w:bottom w:w="0" w:type="dxa"/>
            <w:right w:w="108" w:type="dxa"/>
          </w:tblCellMar>
        </w:tblPrEx>
        <w:trPr>
          <w:trHeight w:val="624" w:hRule="atLeast"/>
          <w:jc w:val="center"/>
        </w:trPr>
        <w:tc>
          <w:tcPr>
            <w:tcW w:w="8522" w:type="dxa"/>
            <w:gridSpan w:val="6"/>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主 要 经 历</w:t>
            </w:r>
          </w:p>
        </w:tc>
      </w:tr>
      <w:tr>
        <w:tblPrEx>
          <w:tblLayout w:type="fixed"/>
          <w:tblCellMar>
            <w:top w:w="0" w:type="dxa"/>
            <w:left w:w="108" w:type="dxa"/>
            <w:bottom w:w="0" w:type="dxa"/>
            <w:right w:w="108" w:type="dxa"/>
          </w:tblCellMar>
        </w:tblPrEx>
        <w:trPr>
          <w:trHeight w:val="624" w:hRule="atLeast"/>
          <w:jc w:val="center"/>
        </w:trPr>
        <w:tc>
          <w:tcPr>
            <w:tcW w:w="1311"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时 间</w:t>
            </w:r>
          </w:p>
        </w:tc>
        <w:tc>
          <w:tcPr>
            <w:tcW w:w="4137" w:type="dxa"/>
            <w:gridSpan w:val="3"/>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参加过的项目名称及规模</w:t>
            </w:r>
          </w:p>
        </w:tc>
        <w:tc>
          <w:tcPr>
            <w:tcW w:w="3074" w:type="dxa"/>
            <w:gridSpan w:val="2"/>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该项目中任职</w:t>
            </w:r>
          </w:p>
        </w:tc>
      </w:tr>
      <w:tr>
        <w:tblPrEx>
          <w:tblLayout w:type="fixed"/>
          <w:tblCellMar>
            <w:top w:w="0" w:type="dxa"/>
            <w:left w:w="108" w:type="dxa"/>
            <w:bottom w:w="0" w:type="dxa"/>
            <w:right w:w="108" w:type="dxa"/>
          </w:tblCellMar>
        </w:tblPrEx>
        <w:trPr>
          <w:trHeight w:val="2549" w:hRule="atLeast"/>
          <w:jc w:val="center"/>
        </w:trPr>
        <w:tc>
          <w:tcPr>
            <w:tcW w:w="1311" w:type="dxa"/>
            <w:vAlign w:val="center"/>
          </w:tcPr>
          <w:p>
            <w:pPr>
              <w:widowControl/>
              <w:jc w:val="center"/>
              <w:rPr>
                <w:rFonts w:ascii="宋体" w:hAnsi="宋体" w:cs="宋体"/>
                <w:b/>
                <w:color w:val="000000"/>
                <w:kern w:val="0"/>
                <w:sz w:val="24"/>
              </w:rPr>
            </w:pPr>
          </w:p>
        </w:tc>
        <w:tc>
          <w:tcPr>
            <w:tcW w:w="4137" w:type="dxa"/>
            <w:gridSpan w:val="3"/>
            <w:vAlign w:val="center"/>
          </w:tcPr>
          <w:p>
            <w:pPr>
              <w:widowControl/>
              <w:jc w:val="center"/>
              <w:rPr>
                <w:rFonts w:ascii="宋体" w:hAnsi="宋体" w:cs="宋体"/>
                <w:b/>
                <w:color w:val="000000"/>
                <w:kern w:val="0"/>
                <w:sz w:val="24"/>
              </w:rPr>
            </w:pPr>
          </w:p>
        </w:tc>
        <w:tc>
          <w:tcPr>
            <w:tcW w:w="3074" w:type="dxa"/>
            <w:gridSpan w:val="2"/>
            <w:vAlign w:val="center"/>
          </w:tcPr>
          <w:p>
            <w:pPr>
              <w:widowControl/>
              <w:jc w:val="center"/>
              <w:rPr>
                <w:rFonts w:ascii="宋体" w:hAnsi="宋体" w:cs="宋体"/>
                <w:b/>
                <w:color w:val="000000"/>
                <w:kern w:val="0"/>
                <w:sz w:val="24"/>
              </w:rPr>
            </w:pPr>
          </w:p>
        </w:tc>
      </w:tr>
    </w:tbl>
    <w:p>
      <w:pPr>
        <w:spacing w:line="460" w:lineRule="exact"/>
        <w:ind w:right="84" w:rightChars="40" w:firstLine="484" w:firstLineChars="201"/>
        <w:rPr>
          <w:rFonts w:ascii="宋体" w:hAnsi="宋体"/>
          <w:b/>
          <w:color w:val="000000"/>
          <w:sz w:val="24"/>
        </w:rPr>
      </w:pPr>
      <w:r>
        <w:rPr>
          <w:rFonts w:hint="eastAsia" w:ascii="宋体" w:hAnsi="宋体"/>
          <w:b/>
          <w:color w:val="000000"/>
          <w:sz w:val="24"/>
        </w:rPr>
        <w:t>注：须提供拟派驻项目经理学历证书复印件、开标前12个月内至少</w:t>
      </w:r>
      <w:r>
        <w:rPr>
          <w:rFonts w:hint="eastAsia" w:ascii="宋体" w:hAnsi="宋体"/>
          <w:b/>
          <w:color w:val="000000"/>
          <w:sz w:val="24"/>
          <w:lang w:val="en-US" w:eastAsia="zh-CN"/>
        </w:rPr>
        <w:t>1</w:t>
      </w:r>
      <w:r>
        <w:rPr>
          <w:rFonts w:hint="eastAsia" w:ascii="宋体" w:hAnsi="宋体"/>
          <w:b/>
          <w:color w:val="000000"/>
          <w:sz w:val="24"/>
        </w:rPr>
        <w:t>个月缴纳社保的证明、资质证书等相关材料。</w:t>
      </w:r>
    </w:p>
    <w:p>
      <w:pPr>
        <w:tabs>
          <w:tab w:val="left" w:pos="0"/>
          <w:tab w:val="left" w:pos="720"/>
          <w:tab w:val="left" w:pos="1440"/>
          <w:tab w:val="left" w:pos="2160"/>
          <w:tab w:val="left" w:pos="2880"/>
          <w:tab w:val="left" w:pos="3600"/>
          <w:tab w:val="left" w:pos="4320"/>
        </w:tabs>
        <w:autoSpaceDE w:val="0"/>
        <w:autoSpaceDN w:val="0"/>
        <w:ind w:firstLine="523" w:firstLineChars="218"/>
        <w:rPr>
          <w:rFonts w:ascii="宋体" w:hAnsi="宋体" w:cs="仿宋_GB2312"/>
          <w:color w:val="000000"/>
          <w:sz w:val="24"/>
        </w:rPr>
      </w:pPr>
    </w:p>
    <w:p>
      <w:pPr>
        <w:tabs>
          <w:tab w:val="left" w:pos="0"/>
          <w:tab w:val="left" w:pos="720"/>
          <w:tab w:val="left" w:pos="1440"/>
          <w:tab w:val="left" w:pos="2160"/>
          <w:tab w:val="left" w:pos="2880"/>
          <w:tab w:val="left" w:pos="3600"/>
          <w:tab w:val="left" w:pos="4320"/>
        </w:tabs>
        <w:autoSpaceDE w:val="0"/>
        <w:autoSpaceDN w:val="0"/>
        <w:ind w:firstLine="523" w:firstLineChars="218"/>
        <w:rPr>
          <w:rFonts w:ascii="宋体" w:hAnsi="宋体" w:cs="仿宋_GB2312"/>
          <w:color w:val="000000"/>
          <w:sz w:val="24"/>
        </w:rPr>
      </w:pPr>
    </w:p>
    <w:p>
      <w:pPr>
        <w:snapToGrid w:val="0"/>
        <w:spacing w:line="500" w:lineRule="exact"/>
        <w:rPr>
          <w:rFonts w:ascii="宋体" w:hAnsi="宋体"/>
          <w:b/>
          <w:color w:val="000000"/>
          <w:sz w:val="28"/>
          <w:szCs w:val="28"/>
        </w:rPr>
      </w:pPr>
      <w:r>
        <w:rPr>
          <w:rFonts w:hint="eastAsia" w:ascii="宋体" w:hAnsi="宋体"/>
          <w:color w:val="000000"/>
          <w:sz w:val="24"/>
          <w:lang w:eastAsia="zh-CN"/>
        </w:rPr>
        <w:t>投标人</w:t>
      </w:r>
      <w:r>
        <w:rPr>
          <w:rFonts w:hint="eastAsia" w:ascii="宋体" w:hAnsi="宋体"/>
          <w:color w:val="000000"/>
          <w:sz w:val="24"/>
        </w:rPr>
        <w:t>（公章）：                   法定代表人或被授权人（</w:t>
      </w:r>
      <w:r>
        <w:rPr>
          <w:rFonts w:hint="eastAsia" w:ascii="宋体" w:hAnsi="宋体"/>
          <w:color w:val="000000"/>
          <w:sz w:val="24"/>
          <w:lang w:eastAsia="zh-CN"/>
        </w:rPr>
        <w:t>数字签章</w:t>
      </w:r>
      <w:r>
        <w:rPr>
          <w:rFonts w:hint="eastAsia" w:ascii="宋体" w:hAnsi="宋体"/>
          <w:color w:val="000000"/>
          <w:sz w:val="24"/>
        </w:rPr>
        <w:t>）：</w:t>
      </w:r>
    </w:p>
    <w:p>
      <w:pPr>
        <w:pStyle w:val="2"/>
        <w:rPr>
          <w:rFonts w:hint="default"/>
          <w:color w:val="000000"/>
        </w:rPr>
      </w:pPr>
    </w:p>
    <w:p>
      <w:pPr>
        <w:pStyle w:val="2"/>
        <w:rPr>
          <w:rFonts w:hint="default"/>
          <w:color w:val="000000"/>
        </w:rPr>
      </w:pPr>
    </w:p>
    <w:p>
      <w:pPr>
        <w:pStyle w:val="2"/>
        <w:rPr>
          <w:rFonts w:hint="default"/>
          <w:color w:val="000000"/>
        </w:rPr>
      </w:pPr>
    </w:p>
    <w:p>
      <w:pPr>
        <w:pStyle w:val="2"/>
        <w:rPr>
          <w:rFonts w:hint="default"/>
          <w:color w:val="000000"/>
        </w:rPr>
      </w:pPr>
    </w:p>
    <w:p>
      <w:pPr>
        <w:pStyle w:val="2"/>
        <w:rPr>
          <w:rFonts w:hint="default"/>
          <w:color w:val="000000"/>
        </w:rPr>
      </w:pPr>
    </w:p>
    <w:p>
      <w:pPr>
        <w:pStyle w:val="2"/>
        <w:rPr>
          <w:rFonts w:hint="default"/>
          <w:color w:val="000000"/>
        </w:rPr>
      </w:pPr>
    </w:p>
    <w:p>
      <w:pPr>
        <w:pStyle w:val="2"/>
        <w:rPr>
          <w:rFonts w:hint="default"/>
          <w:color w:val="000000"/>
        </w:rPr>
      </w:pPr>
    </w:p>
    <w:p>
      <w:pPr>
        <w:pStyle w:val="2"/>
        <w:rPr>
          <w:rFonts w:hint="default"/>
          <w:color w:val="000000"/>
        </w:rPr>
      </w:pPr>
    </w:p>
    <w:p>
      <w:pPr>
        <w:keepNext/>
        <w:keepLines/>
        <w:spacing w:before="20" w:after="20" w:line="500" w:lineRule="exact"/>
        <w:jc w:val="left"/>
        <w:outlineLvl w:val="1"/>
        <w:rPr>
          <w:rFonts w:ascii="宋体" w:hAnsi="宋体"/>
          <w:b/>
          <w:color w:val="000000"/>
          <w:sz w:val="28"/>
          <w:szCs w:val="28"/>
        </w:rPr>
      </w:pPr>
      <w:bookmarkStart w:id="36" w:name="_Ref517695813"/>
    </w:p>
    <w:p>
      <w:pPr>
        <w:pStyle w:val="2"/>
        <w:rPr>
          <w:rFonts w:hint="default"/>
          <w:color w:val="000000"/>
        </w:rPr>
      </w:pPr>
    </w:p>
    <w:p>
      <w:pPr>
        <w:keepNext/>
        <w:keepLines/>
        <w:spacing w:before="20" w:after="20" w:line="500" w:lineRule="exact"/>
        <w:jc w:val="left"/>
        <w:outlineLvl w:val="1"/>
        <w:rPr>
          <w:rFonts w:ascii="宋体" w:hAnsi="宋体"/>
          <w:b/>
          <w:color w:val="000000"/>
          <w:sz w:val="28"/>
          <w:szCs w:val="28"/>
        </w:rPr>
      </w:pPr>
      <w:r>
        <w:rPr>
          <w:rFonts w:hint="eastAsia" w:ascii="宋体" w:hAnsi="宋体"/>
          <w:b/>
          <w:color w:val="000000"/>
          <w:sz w:val="28"/>
          <w:szCs w:val="28"/>
          <w:lang w:val="en-US" w:eastAsia="zh-CN"/>
        </w:rPr>
        <w:t xml:space="preserve">3. </w:t>
      </w:r>
      <w:r>
        <w:rPr>
          <w:rFonts w:hint="eastAsia" w:ascii="宋体" w:hAnsi="宋体"/>
          <w:b/>
          <w:color w:val="000000"/>
          <w:sz w:val="28"/>
          <w:szCs w:val="28"/>
        </w:rPr>
        <w:t>管理团队情况</w:t>
      </w:r>
      <w:bookmarkEnd w:id="36"/>
    </w:p>
    <w:p>
      <w:pPr>
        <w:kinsoku w:val="0"/>
        <w:spacing w:line="500" w:lineRule="exact"/>
        <w:ind w:firstLine="120" w:firstLineChars="50"/>
        <w:rPr>
          <w:rFonts w:ascii="宋体" w:hAnsi="宋体"/>
          <w:color w:val="000000"/>
          <w:sz w:val="24"/>
        </w:rPr>
      </w:pPr>
      <w:r>
        <w:rPr>
          <w:rFonts w:hint="eastAsia" w:ascii="宋体" w:hAnsi="宋体"/>
          <w:color w:val="000000"/>
          <w:sz w:val="24"/>
        </w:rPr>
        <w:t xml:space="preserve">项目名称：                                                 </w:t>
      </w:r>
    </w:p>
    <w:p>
      <w:pPr>
        <w:kinsoku w:val="0"/>
        <w:spacing w:line="500" w:lineRule="exact"/>
        <w:ind w:firstLine="120" w:firstLineChars="50"/>
        <w:rPr>
          <w:rFonts w:ascii="宋体" w:hAnsi="宋体"/>
          <w:color w:val="000000"/>
          <w:sz w:val="24"/>
        </w:rPr>
      </w:pPr>
      <w:r>
        <w:rPr>
          <w:rFonts w:hint="eastAsia" w:ascii="宋体" w:hAnsi="宋体"/>
          <w:color w:val="000000"/>
          <w:sz w:val="24"/>
        </w:rPr>
        <w:t>项目编号：</w:t>
      </w:r>
    </w:p>
    <w:p>
      <w:pPr>
        <w:kinsoku w:val="0"/>
        <w:spacing w:line="500" w:lineRule="exact"/>
        <w:ind w:firstLine="120" w:firstLineChars="50"/>
        <w:rPr>
          <w:color w:val="000000"/>
        </w:rPr>
      </w:pPr>
      <w:r>
        <w:rPr>
          <w:rFonts w:hint="eastAsia" w:ascii="宋体" w:hAnsi="宋体"/>
          <w:color w:val="000000"/>
          <w:sz w:val="24"/>
          <w:lang w:eastAsia="zh-CN"/>
        </w:rPr>
        <w:t>投标人</w:t>
      </w:r>
      <w:r>
        <w:rPr>
          <w:rFonts w:hint="eastAsia" w:ascii="宋体" w:hAnsi="宋体"/>
          <w:color w:val="000000"/>
          <w:sz w:val="24"/>
        </w:rPr>
        <w:t>：</w:t>
      </w:r>
    </w:p>
    <w:tbl>
      <w:tblPr>
        <w:tblStyle w:val="20"/>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97"/>
        <w:gridCol w:w="775"/>
        <w:gridCol w:w="762"/>
        <w:gridCol w:w="1323"/>
        <w:gridCol w:w="1065"/>
        <w:gridCol w:w="1225"/>
        <w:gridCol w:w="1325"/>
      </w:tblGrid>
      <w:tr>
        <w:tblPrEx>
          <w:tblLayout w:type="fixed"/>
          <w:tblCellMar>
            <w:top w:w="0" w:type="dxa"/>
            <w:left w:w="108" w:type="dxa"/>
            <w:bottom w:w="0" w:type="dxa"/>
            <w:right w:w="108" w:type="dxa"/>
          </w:tblCellMar>
        </w:tblPrEx>
        <w:trPr>
          <w:trHeight w:val="624" w:hRule="atLeast"/>
        </w:trPr>
        <w:tc>
          <w:tcPr>
            <w:tcW w:w="1064" w:type="dxa"/>
            <w:vAlign w:val="center"/>
          </w:tcPr>
          <w:p>
            <w:pPr>
              <w:widowControl/>
              <w:jc w:val="center"/>
              <w:rPr>
                <w:rFonts w:ascii="宋体" w:hAnsi="宋体" w:cs="宋体"/>
                <w:color w:val="000000"/>
                <w:sz w:val="24"/>
              </w:rPr>
            </w:pPr>
            <w:r>
              <w:rPr>
                <w:rFonts w:hint="eastAsia" w:ascii="宋体" w:hAnsi="宋体" w:cs="宋体"/>
                <w:b/>
                <w:color w:val="000000"/>
                <w:kern w:val="0"/>
                <w:sz w:val="24"/>
              </w:rPr>
              <w:t>姓名</w:t>
            </w:r>
          </w:p>
        </w:tc>
        <w:tc>
          <w:tcPr>
            <w:tcW w:w="1397" w:type="dxa"/>
            <w:vAlign w:val="center"/>
          </w:tcPr>
          <w:p>
            <w:pPr>
              <w:widowControl/>
              <w:jc w:val="center"/>
              <w:rPr>
                <w:rFonts w:ascii="宋体" w:hAnsi="宋体" w:cs="宋体"/>
                <w:color w:val="000000"/>
                <w:sz w:val="24"/>
              </w:rPr>
            </w:pPr>
            <w:r>
              <w:rPr>
                <w:rFonts w:hint="eastAsia" w:ascii="宋体" w:hAnsi="宋体" w:cs="宋体"/>
                <w:b/>
                <w:color w:val="000000"/>
                <w:kern w:val="0"/>
                <w:sz w:val="24"/>
              </w:rPr>
              <w:t>本项目拟任岗位</w:t>
            </w:r>
          </w:p>
        </w:tc>
        <w:tc>
          <w:tcPr>
            <w:tcW w:w="775" w:type="dxa"/>
            <w:vAlign w:val="center"/>
          </w:tcPr>
          <w:p>
            <w:pPr>
              <w:pStyle w:val="2"/>
              <w:jc w:val="center"/>
              <w:rPr>
                <w:rFonts w:hint="default" w:ascii="宋体" w:hAnsi="宋体" w:eastAsia="宋体" w:cs="宋体"/>
                <w:color w:val="000000"/>
                <w:sz w:val="24"/>
              </w:rPr>
            </w:pPr>
            <w:r>
              <w:rPr>
                <w:rFonts w:ascii="宋体" w:hAnsi="宋体" w:eastAsia="宋体" w:cs="宋体"/>
                <w:b/>
                <w:color w:val="000000"/>
                <w:sz w:val="24"/>
              </w:rPr>
              <w:t>性别</w:t>
            </w:r>
          </w:p>
        </w:tc>
        <w:tc>
          <w:tcPr>
            <w:tcW w:w="762" w:type="dxa"/>
            <w:vAlign w:val="center"/>
          </w:tcPr>
          <w:p>
            <w:pPr>
              <w:pStyle w:val="2"/>
              <w:jc w:val="center"/>
              <w:rPr>
                <w:rFonts w:hint="default" w:ascii="宋体" w:hAnsi="宋体" w:eastAsia="宋体" w:cs="宋体"/>
                <w:color w:val="000000"/>
                <w:sz w:val="24"/>
              </w:rPr>
            </w:pPr>
            <w:r>
              <w:rPr>
                <w:rFonts w:ascii="宋体" w:hAnsi="宋体" w:eastAsia="宋体" w:cs="宋体"/>
                <w:b/>
                <w:color w:val="000000"/>
                <w:sz w:val="24"/>
              </w:rPr>
              <w:t>年龄</w:t>
            </w:r>
          </w:p>
        </w:tc>
        <w:tc>
          <w:tcPr>
            <w:tcW w:w="1323" w:type="dxa"/>
            <w:vAlign w:val="center"/>
          </w:tcPr>
          <w:p>
            <w:pPr>
              <w:widowControl/>
              <w:jc w:val="center"/>
              <w:rPr>
                <w:rFonts w:ascii="宋体" w:hAnsi="宋体" w:cs="宋体"/>
                <w:color w:val="000000"/>
                <w:sz w:val="24"/>
              </w:rPr>
            </w:pPr>
            <w:r>
              <w:rPr>
                <w:rFonts w:hint="eastAsia" w:ascii="宋体" w:hAnsi="宋体" w:cs="宋体"/>
                <w:b/>
                <w:color w:val="000000"/>
                <w:kern w:val="0"/>
                <w:sz w:val="24"/>
              </w:rPr>
              <w:t>专业/学历</w:t>
            </w:r>
          </w:p>
        </w:tc>
        <w:tc>
          <w:tcPr>
            <w:tcW w:w="1065" w:type="dxa"/>
            <w:vAlign w:val="center"/>
          </w:tcPr>
          <w:p>
            <w:pPr>
              <w:pStyle w:val="2"/>
              <w:jc w:val="center"/>
              <w:rPr>
                <w:rFonts w:hint="default" w:ascii="宋体" w:hAnsi="宋体" w:eastAsia="宋体" w:cs="宋体"/>
                <w:b/>
                <w:color w:val="000000"/>
                <w:sz w:val="24"/>
              </w:rPr>
            </w:pPr>
            <w:r>
              <w:rPr>
                <w:rFonts w:ascii="宋体" w:hAnsi="宋体" w:eastAsia="宋体" w:cs="宋体"/>
                <w:b/>
                <w:color w:val="000000"/>
                <w:sz w:val="24"/>
              </w:rPr>
              <w:t>专业工作年限</w:t>
            </w:r>
          </w:p>
        </w:tc>
        <w:tc>
          <w:tcPr>
            <w:tcW w:w="1225" w:type="dxa"/>
            <w:vAlign w:val="center"/>
          </w:tcPr>
          <w:p>
            <w:pPr>
              <w:pStyle w:val="2"/>
              <w:jc w:val="center"/>
              <w:rPr>
                <w:rFonts w:hint="default" w:ascii="宋体" w:hAnsi="宋体" w:eastAsia="宋体" w:cs="宋体"/>
                <w:b/>
                <w:color w:val="000000"/>
                <w:sz w:val="24"/>
              </w:rPr>
            </w:pPr>
            <w:r>
              <w:rPr>
                <w:rFonts w:ascii="宋体" w:hAnsi="宋体" w:eastAsia="宋体" w:cs="宋体"/>
                <w:b/>
                <w:color w:val="000000"/>
                <w:sz w:val="24"/>
              </w:rPr>
              <w:t>现任职务</w:t>
            </w:r>
          </w:p>
        </w:tc>
        <w:tc>
          <w:tcPr>
            <w:tcW w:w="1325" w:type="dxa"/>
            <w:vAlign w:val="center"/>
          </w:tcPr>
          <w:p>
            <w:pPr>
              <w:pStyle w:val="2"/>
              <w:jc w:val="center"/>
              <w:rPr>
                <w:rFonts w:hint="default" w:ascii="宋体" w:hAnsi="宋体" w:eastAsia="宋体" w:cs="宋体"/>
                <w:b/>
                <w:color w:val="000000"/>
                <w:sz w:val="24"/>
              </w:rPr>
            </w:pPr>
            <w:r>
              <w:rPr>
                <w:rFonts w:ascii="宋体" w:hAnsi="宋体" w:eastAsia="宋体" w:cs="宋体"/>
                <w:b/>
                <w:color w:val="000000"/>
                <w:sz w:val="24"/>
              </w:rPr>
              <w:t>资质证书</w:t>
            </w:r>
          </w:p>
        </w:tc>
      </w:tr>
      <w:tr>
        <w:tblPrEx>
          <w:tblLayout w:type="fixed"/>
          <w:tblCellMar>
            <w:top w:w="0" w:type="dxa"/>
            <w:left w:w="108" w:type="dxa"/>
            <w:bottom w:w="0" w:type="dxa"/>
            <w:right w:w="108" w:type="dxa"/>
          </w:tblCellMar>
        </w:tblPrEx>
        <w:trPr>
          <w:trHeight w:val="624" w:hRule="atLeast"/>
        </w:trPr>
        <w:tc>
          <w:tcPr>
            <w:tcW w:w="1064" w:type="dxa"/>
            <w:vAlign w:val="center"/>
          </w:tcPr>
          <w:p>
            <w:pPr>
              <w:pStyle w:val="2"/>
              <w:jc w:val="center"/>
              <w:rPr>
                <w:rFonts w:hint="default" w:ascii="宋体" w:hAnsi="宋体" w:eastAsia="宋体" w:cs="宋体"/>
                <w:color w:val="000000"/>
                <w:sz w:val="24"/>
              </w:rPr>
            </w:pPr>
          </w:p>
        </w:tc>
        <w:tc>
          <w:tcPr>
            <w:tcW w:w="1397" w:type="dxa"/>
            <w:vAlign w:val="center"/>
          </w:tcPr>
          <w:p>
            <w:pPr>
              <w:pStyle w:val="2"/>
              <w:jc w:val="center"/>
              <w:rPr>
                <w:rFonts w:hint="default" w:ascii="宋体" w:hAnsi="宋体" w:eastAsia="宋体" w:cs="宋体"/>
                <w:color w:val="000000"/>
                <w:sz w:val="24"/>
              </w:rPr>
            </w:pPr>
          </w:p>
        </w:tc>
        <w:tc>
          <w:tcPr>
            <w:tcW w:w="775" w:type="dxa"/>
            <w:vAlign w:val="center"/>
          </w:tcPr>
          <w:p>
            <w:pPr>
              <w:pStyle w:val="2"/>
              <w:jc w:val="center"/>
              <w:rPr>
                <w:rFonts w:hint="default" w:ascii="宋体" w:hAnsi="宋体" w:eastAsia="宋体" w:cs="宋体"/>
                <w:color w:val="000000"/>
                <w:sz w:val="24"/>
              </w:rPr>
            </w:pPr>
          </w:p>
        </w:tc>
        <w:tc>
          <w:tcPr>
            <w:tcW w:w="762" w:type="dxa"/>
            <w:vAlign w:val="center"/>
          </w:tcPr>
          <w:p>
            <w:pPr>
              <w:pStyle w:val="2"/>
              <w:jc w:val="center"/>
              <w:rPr>
                <w:rFonts w:hint="default" w:ascii="宋体" w:hAnsi="宋体" w:eastAsia="宋体" w:cs="宋体"/>
                <w:color w:val="000000"/>
                <w:sz w:val="24"/>
              </w:rPr>
            </w:pPr>
          </w:p>
        </w:tc>
        <w:tc>
          <w:tcPr>
            <w:tcW w:w="1323" w:type="dxa"/>
            <w:vAlign w:val="center"/>
          </w:tcPr>
          <w:p>
            <w:pPr>
              <w:pStyle w:val="2"/>
              <w:jc w:val="center"/>
              <w:rPr>
                <w:rFonts w:hint="default" w:ascii="宋体" w:hAnsi="宋体" w:eastAsia="宋体" w:cs="宋体"/>
                <w:color w:val="000000"/>
                <w:sz w:val="24"/>
              </w:rPr>
            </w:pPr>
          </w:p>
        </w:tc>
        <w:tc>
          <w:tcPr>
            <w:tcW w:w="1065" w:type="dxa"/>
            <w:vAlign w:val="center"/>
          </w:tcPr>
          <w:p>
            <w:pPr>
              <w:pStyle w:val="2"/>
              <w:jc w:val="center"/>
              <w:rPr>
                <w:rFonts w:hint="default" w:ascii="宋体" w:hAnsi="宋体" w:eastAsia="宋体" w:cs="宋体"/>
                <w:color w:val="000000"/>
                <w:sz w:val="24"/>
              </w:rPr>
            </w:pPr>
          </w:p>
        </w:tc>
        <w:tc>
          <w:tcPr>
            <w:tcW w:w="1225" w:type="dxa"/>
            <w:vAlign w:val="center"/>
          </w:tcPr>
          <w:p>
            <w:pPr>
              <w:pStyle w:val="2"/>
              <w:jc w:val="center"/>
              <w:rPr>
                <w:rFonts w:hint="default" w:ascii="宋体" w:hAnsi="宋体" w:eastAsia="宋体" w:cs="宋体"/>
                <w:color w:val="000000"/>
                <w:sz w:val="24"/>
              </w:rPr>
            </w:pPr>
          </w:p>
        </w:tc>
        <w:tc>
          <w:tcPr>
            <w:tcW w:w="1325" w:type="dxa"/>
            <w:vAlign w:val="center"/>
          </w:tcPr>
          <w:p>
            <w:pPr>
              <w:pStyle w:val="2"/>
              <w:jc w:val="center"/>
              <w:rPr>
                <w:rFonts w:hint="default" w:ascii="宋体" w:hAnsi="宋体" w:eastAsia="宋体" w:cs="宋体"/>
                <w:color w:val="000000"/>
                <w:sz w:val="24"/>
              </w:rPr>
            </w:pPr>
          </w:p>
        </w:tc>
      </w:tr>
      <w:tr>
        <w:tblPrEx>
          <w:tblLayout w:type="fixed"/>
          <w:tblCellMar>
            <w:top w:w="0" w:type="dxa"/>
            <w:left w:w="108" w:type="dxa"/>
            <w:bottom w:w="0" w:type="dxa"/>
            <w:right w:w="108" w:type="dxa"/>
          </w:tblCellMar>
        </w:tblPrEx>
        <w:trPr>
          <w:trHeight w:val="624" w:hRule="atLeast"/>
        </w:trPr>
        <w:tc>
          <w:tcPr>
            <w:tcW w:w="1064" w:type="dxa"/>
            <w:vAlign w:val="center"/>
          </w:tcPr>
          <w:p>
            <w:pPr>
              <w:pStyle w:val="2"/>
              <w:jc w:val="center"/>
              <w:rPr>
                <w:rFonts w:hint="default" w:ascii="宋体" w:hAnsi="宋体" w:eastAsia="宋体" w:cs="宋体"/>
                <w:color w:val="000000"/>
                <w:sz w:val="24"/>
              </w:rPr>
            </w:pPr>
          </w:p>
        </w:tc>
        <w:tc>
          <w:tcPr>
            <w:tcW w:w="1397" w:type="dxa"/>
            <w:vAlign w:val="center"/>
          </w:tcPr>
          <w:p>
            <w:pPr>
              <w:pStyle w:val="2"/>
              <w:jc w:val="center"/>
              <w:rPr>
                <w:rFonts w:hint="default" w:ascii="宋体" w:hAnsi="宋体" w:eastAsia="宋体" w:cs="宋体"/>
                <w:color w:val="000000"/>
                <w:sz w:val="24"/>
              </w:rPr>
            </w:pPr>
          </w:p>
        </w:tc>
        <w:tc>
          <w:tcPr>
            <w:tcW w:w="775" w:type="dxa"/>
            <w:vAlign w:val="center"/>
          </w:tcPr>
          <w:p>
            <w:pPr>
              <w:pStyle w:val="2"/>
              <w:jc w:val="center"/>
              <w:rPr>
                <w:rFonts w:hint="default" w:ascii="宋体" w:hAnsi="宋体" w:eastAsia="宋体" w:cs="宋体"/>
                <w:color w:val="000000"/>
                <w:sz w:val="24"/>
              </w:rPr>
            </w:pPr>
          </w:p>
        </w:tc>
        <w:tc>
          <w:tcPr>
            <w:tcW w:w="762" w:type="dxa"/>
            <w:vAlign w:val="center"/>
          </w:tcPr>
          <w:p>
            <w:pPr>
              <w:pStyle w:val="2"/>
              <w:jc w:val="center"/>
              <w:rPr>
                <w:rFonts w:hint="default" w:ascii="宋体" w:hAnsi="宋体" w:eastAsia="宋体" w:cs="宋体"/>
                <w:color w:val="000000"/>
                <w:sz w:val="24"/>
              </w:rPr>
            </w:pPr>
          </w:p>
        </w:tc>
        <w:tc>
          <w:tcPr>
            <w:tcW w:w="1323" w:type="dxa"/>
            <w:vAlign w:val="center"/>
          </w:tcPr>
          <w:p>
            <w:pPr>
              <w:pStyle w:val="2"/>
              <w:jc w:val="center"/>
              <w:rPr>
                <w:rFonts w:hint="default" w:ascii="宋体" w:hAnsi="宋体" w:eastAsia="宋体" w:cs="宋体"/>
                <w:color w:val="000000"/>
                <w:sz w:val="24"/>
              </w:rPr>
            </w:pPr>
          </w:p>
        </w:tc>
        <w:tc>
          <w:tcPr>
            <w:tcW w:w="1065" w:type="dxa"/>
            <w:vAlign w:val="center"/>
          </w:tcPr>
          <w:p>
            <w:pPr>
              <w:pStyle w:val="2"/>
              <w:jc w:val="center"/>
              <w:rPr>
                <w:rFonts w:hint="default" w:ascii="宋体" w:hAnsi="宋体" w:eastAsia="宋体" w:cs="宋体"/>
                <w:color w:val="000000"/>
                <w:sz w:val="24"/>
              </w:rPr>
            </w:pPr>
          </w:p>
        </w:tc>
        <w:tc>
          <w:tcPr>
            <w:tcW w:w="1225" w:type="dxa"/>
            <w:vAlign w:val="center"/>
          </w:tcPr>
          <w:p>
            <w:pPr>
              <w:pStyle w:val="2"/>
              <w:jc w:val="center"/>
              <w:rPr>
                <w:rFonts w:hint="default" w:ascii="宋体" w:hAnsi="宋体" w:eastAsia="宋体" w:cs="宋体"/>
                <w:color w:val="000000"/>
                <w:sz w:val="24"/>
              </w:rPr>
            </w:pPr>
          </w:p>
        </w:tc>
        <w:tc>
          <w:tcPr>
            <w:tcW w:w="1325" w:type="dxa"/>
            <w:vAlign w:val="center"/>
          </w:tcPr>
          <w:p>
            <w:pPr>
              <w:pStyle w:val="2"/>
              <w:jc w:val="center"/>
              <w:rPr>
                <w:rFonts w:hint="default" w:ascii="宋体" w:hAnsi="宋体" w:eastAsia="宋体" w:cs="宋体"/>
                <w:color w:val="000000"/>
                <w:sz w:val="24"/>
              </w:rPr>
            </w:pPr>
          </w:p>
        </w:tc>
      </w:tr>
      <w:tr>
        <w:tblPrEx>
          <w:tblLayout w:type="fixed"/>
          <w:tblCellMar>
            <w:top w:w="0" w:type="dxa"/>
            <w:left w:w="108" w:type="dxa"/>
            <w:bottom w:w="0" w:type="dxa"/>
            <w:right w:w="108" w:type="dxa"/>
          </w:tblCellMar>
        </w:tblPrEx>
        <w:trPr>
          <w:trHeight w:val="624" w:hRule="atLeast"/>
        </w:trPr>
        <w:tc>
          <w:tcPr>
            <w:tcW w:w="1064" w:type="dxa"/>
            <w:vAlign w:val="center"/>
          </w:tcPr>
          <w:p>
            <w:pPr>
              <w:pStyle w:val="2"/>
              <w:jc w:val="center"/>
              <w:rPr>
                <w:rFonts w:hint="default" w:ascii="宋体" w:hAnsi="宋体" w:eastAsia="宋体" w:cs="宋体"/>
                <w:color w:val="000000"/>
                <w:sz w:val="24"/>
              </w:rPr>
            </w:pPr>
          </w:p>
        </w:tc>
        <w:tc>
          <w:tcPr>
            <w:tcW w:w="1397" w:type="dxa"/>
            <w:vAlign w:val="center"/>
          </w:tcPr>
          <w:p>
            <w:pPr>
              <w:pStyle w:val="2"/>
              <w:jc w:val="center"/>
              <w:rPr>
                <w:rFonts w:hint="default" w:ascii="宋体" w:hAnsi="宋体" w:eastAsia="宋体" w:cs="宋体"/>
                <w:color w:val="000000"/>
                <w:sz w:val="24"/>
              </w:rPr>
            </w:pPr>
          </w:p>
        </w:tc>
        <w:tc>
          <w:tcPr>
            <w:tcW w:w="775" w:type="dxa"/>
            <w:vAlign w:val="center"/>
          </w:tcPr>
          <w:p>
            <w:pPr>
              <w:pStyle w:val="2"/>
              <w:jc w:val="center"/>
              <w:rPr>
                <w:rFonts w:hint="default" w:ascii="宋体" w:hAnsi="宋体" w:eastAsia="宋体" w:cs="宋体"/>
                <w:color w:val="000000"/>
                <w:sz w:val="24"/>
              </w:rPr>
            </w:pPr>
          </w:p>
        </w:tc>
        <w:tc>
          <w:tcPr>
            <w:tcW w:w="762" w:type="dxa"/>
            <w:vAlign w:val="center"/>
          </w:tcPr>
          <w:p>
            <w:pPr>
              <w:pStyle w:val="2"/>
              <w:jc w:val="center"/>
              <w:rPr>
                <w:rFonts w:hint="default" w:ascii="宋体" w:hAnsi="宋体" w:eastAsia="宋体" w:cs="宋体"/>
                <w:color w:val="000000"/>
                <w:sz w:val="24"/>
              </w:rPr>
            </w:pPr>
          </w:p>
        </w:tc>
        <w:tc>
          <w:tcPr>
            <w:tcW w:w="1323" w:type="dxa"/>
            <w:vAlign w:val="center"/>
          </w:tcPr>
          <w:p>
            <w:pPr>
              <w:pStyle w:val="2"/>
              <w:jc w:val="center"/>
              <w:rPr>
                <w:rFonts w:hint="default" w:ascii="宋体" w:hAnsi="宋体" w:eastAsia="宋体" w:cs="宋体"/>
                <w:color w:val="000000"/>
                <w:sz w:val="24"/>
              </w:rPr>
            </w:pPr>
          </w:p>
        </w:tc>
        <w:tc>
          <w:tcPr>
            <w:tcW w:w="1065" w:type="dxa"/>
            <w:vAlign w:val="center"/>
          </w:tcPr>
          <w:p>
            <w:pPr>
              <w:pStyle w:val="2"/>
              <w:jc w:val="center"/>
              <w:rPr>
                <w:rFonts w:hint="default" w:ascii="宋体" w:hAnsi="宋体" w:eastAsia="宋体" w:cs="宋体"/>
                <w:color w:val="000000"/>
                <w:sz w:val="24"/>
              </w:rPr>
            </w:pPr>
          </w:p>
        </w:tc>
        <w:tc>
          <w:tcPr>
            <w:tcW w:w="1225" w:type="dxa"/>
            <w:vAlign w:val="center"/>
          </w:tcPr>
          <w:p>
            <w:pPr>
              <w:pStyle w:val="2"/>
              <w:jc w:val="center"/>
              <w:rPr>
                <w:rFonts w:hint="default" w:ascii="宋体" w:hAnsi="宋体" w:eastAsia="宋体" w:cs="宋体"/>
                <w:color w:val="000000"/>
                <w:sz w:val="24"/>
              </w:rPr>
            </w:pPr>
          </w:p>
        </w:tc>
        <w:tc>
          <w:tcPr>
            <w:tcW w:w="1325" w:type="dxa"/>
            <w:vAlign w:val="center"/>
          </w:tcPr>
          <w:p>
            <w:pPr>
              <w:pStyle w:val="2"/>
              <w:jc w:val="center"/>
              <w:rPr>
                <w:rFonts w:hint="default" w:ascii="宋体" w:hAnsi="宋体" w:eastAsia="宋体" w:cs="宋体"/>
                <w:color w:val="000000"/>
                <w:sz w:val="24"/>
              </w:rPr>
            </w:pPr>
          </w:p>
        </w:tc>
      </w:tr>
      <w:tr>
        <w:tblPrEx>
          <w:tblLayout w:type="fixed"/>
          <w:tblCellMar>
            <w:top w:w="0" w:type="dxa"/>
            <w:left w:w="108" w:type="dxa"/>
            <w:bottom w:w="0" w:type="dxa"/>
            <w:right w:w="108" w:type="dxa"/>
          </w:tblCellMar>
        </w:tblPrEx>
        <w:trPr>
          <w:trHeight w:val="624" w:hRule="atLeast"/>
        </w:trPr>
        <w:tc>
          <w:tcPr>
            <w:tcW w:w="1064" w:type="dxa"/>
            <w:vAlign w:val="center"/>
          </w:tcPr>
          <w:p>
            <w:pPr>
              <w:pStyle w:val="2"/>
              <w:jc w:val="center"/>
              <w:rPr>
                <w:rFonts w:hint="default" w:ascii="宋体" w:hAnsi="宋体" w:eastAsia="宋体" w:cs="宋体"/>
                <w:color w:val="000000"/>
                <w:sz w:val="24"/>
              </w:rPr>
            </w:pPr>
          </w:p>
        </w:tc>
        <w:tc>
          <w:tcPr>
            <w:tcW w:w="1397" w:type="dxa"/>
            <w:vAlign w:val="center"/>
          </w:tcPr>
          <w:p>
            <w:pPr>
              <w:pStyle w:val="2"/>
              <w:jc w:val="center"/>
              <w:rPr>
                <w:rFonts w:hint="default" w:ascii="宋体" w:hAnsi="宋体" w:eastAsia="宋体" w:cs="宋体"/>
                <w:color w:val="000000"/>
                <w:sz w:val="24"/>
              </w:rPr>
            </w:pPr>
          </w:p>
        </w:tc>
        <w:tc>
          <w:tcPr>
            <w:tcW w:w="775" w:type="dxa"/>
            <w:vAlign w:val="center"/>
          </w:tcPr>
          <w:p>
            <w:pPr>
              <w:pStyle w:val="2"/>
              <w:jc w:val="center"/>
              <w:rPr>
                <w:rFonts w:hint="default" w:ascii="宋体" w:hAnsi="宋体" w:eastAsia="宋体" w:cs="宋体"/>
                <w:color w:val="000000"/>
                <w:sz w:val="24"/>
              </w:rPr>
            </w:pPr>
          </w:p>
        </w:tc>
        <w:tc>
          <w:tcPr>
            <w:tcW w:w="762" w:type="dxa"/>
            <w:vAlign w:val="center"/>
          </w:tcPr>
          <w:p>
            <w:pPr>
              <w:pStyle w:val="2"/>
              <w:jc w:val="center"/>
              <w:rPr>
                <w:rFonts w:hint="default" w:ascii="宋体" w:hAnsi="宋体" w:eastAsia="宋体" w:cs="宋体"/>
                <w:color w:val="000000"/>
                <w:sz w:val="24"/>
              </w:rPr>
            </w:pPr>
          </w:p>
        </w:tc>
        <w:tc>
          <w:tcPr>
            <w:tcW w:w="1323" w:type="dxa"/>
            <w:vAlign w:val="center"/>
          </w:tcPr>
          <w:p>
            <w:pPr>
              <w:pStyle w:val="2"/>
              <w:jc w:val="center"/>
              <w:rPr>
                <w:rFonts w:hint="default" w:ascii="宋体" w:hAnsi="宋体" w:eastAsia="宋体" w:cs="宋体"/>
                <w:color w:val="000000"/>
                <w:sz w:val="24"/>
              </w:rPr>
            </w:pPr>
          </w:p>
        </w:tc>
        <w:tc>
          <w:tcPr>
            <w:tcW w:w="1065" w:type="dxa"/>
            <w:vAlign w:val="center"/>
          </w:tcPr>
          <w:p>
            <w:pPr>
              <w:pStyle w:val="2"/>
              <w:jc w:val="center"/>
              <w:rPr>
                <w:rFonts w:hint="default" w:ascii="宋体" w:hAnsi="宋体" w:eastAsia="宋体" w:cs="宋体"/>
                <w:color w:val="000000"/>
                <w:sz w:val="24"/>
              </w:rPr>
            </w:pPr>
          </w:p>
        </w:tc>
        <w:tc>
          <w:tcPr>
            <w:tcW w:w="1225" w:type="dxa"/>
            <w:vAlign w:val="center"/>
          </w:tcPr>
          <w:p>
            <w:pPr>
              <w:pStyle w:val="2"/>
              <w:jc w:val="center"/>
              <w:rPr>
                <w:rFonts w:hint="default" w:ascii="宋体" w:hAnsi="宋体" w:eastAsia="宋体" w:cs="宋体"/>
                <w:color w:val="000000"/>
                <w:sz w:val="24"/>
              </w:rPr>
            </w:pPr>
          </w:p>
        </w:tc>
        <w:tc>
          <w:tcPr>
            <w:tcW w:w="1325" w:type="dxa"/>
            <w:vAlign w:val="center"/>
          </w:tcPr>
          <w:p>
            <w:pPr>
              <w:pStyle w:val="2"/>
              <w:jc w:val="center"/>
              <w:rPr>
                <w:rFonts w:hint="default" w:ascii="宋体" w:hAnsi="宋体" w:eastAsia="宋体" w:cs="宋体"/>
                <w:color w:val="000000"/>
                <w:sz w:val="24"/>
              </w:rPr>
            </w:pPr>
          </w:p>
        </w:tc>
      </w:tr>
      <w:tr>
        <w:tblPrEx>
          <w:tblLayout w:type="fixed"/>
          <w:tblCellMar>
            <w:top w:w="0" w:type="dxa"/>
            <w:left w:w="108" w:type="dxa"/>
            <w:bottom w:w="0" w:type="dxa"/>
            <w:right w:w="108" w:type="dxa"/>
          </w:tblCellMar>
        </w:tblPrEx>
        <w:trPr>
          <w:trHeight w:val="624" w:hRule="atLeast"/>
        </w:trPr>
        <w:tc>
          <w:tcPr>
            <w:tcW w:w="1064" w:type="dxa"/>
            <w:vAlign w:val="center"/>
          </w:tcPr>
          <w:p>
            <w:pPr>
              <w:pStyle w:val="2"/>
              <w:jc w:val="center"/>
              <w:rPr>
                <w:rFonts w:hint="default" w:ascii="宋体" w:hAnsi="宋体" w:eastAsia="宋体" w:cs="宋体"/>
                <w:color w:val="000000"/>
                <w:sz w:val="24"/>
              </w:rPr>
            </w:pPr>
          </w:p>
        </w:tc>
        <w:tc>
          <w:tcPr>
            <w:tcW w:w="1397" w:type="dxa"/>
            <w:vAlign w:val="center"/>
          </w:tcPr>
          <w:p>
            <w:pPr>
              <w:pStyle w:val="2"/>
              <w:jc w:val="center"/>
              <w:rPr>
                <w:rFonts w:hint="default" w:ascii="宋体" w:hAnsi="宋体" w:eastAsia="宋体" w:cs="宋体"/>
                <w:color w:val="000000"/>
                <w:sz w:val="24"/>
              </w:rPr>
            </w:pPr>
          </w:p>
        </w:tc>
        <w:tc>
          <w:tcPr>
            <w:tcW w:w="775" w:type="dxa"/>
            <w:vAlign w:val="center"/>
          </w:tcPr>
          <w:p>
            <w:pPr>
              <w:pStyle w:val="2"/>
              <w:jc w:val="center"/>
              <w:rPr>
                <w:rFonts w:hint="default" w:ascii="宋体" w:hAnsi="宋体" w:eastAsia="宋体" w:cs="宋体"/>
                <w:color w:val="000000"/>
                <w:sz w:val="24"/>
              </w:rPr>
            </w:pPr>
          </w:p>
        </w:tc>
        <w:tc>
          <w:tcPr>
            <w:tcW w:w="762" w:type="dxa"/>
            <w:vAlign w:val="center"/>
          </w:tcPr>
          <w:p>
            <w:pPr>
              <w:pStyle w:val="2"/>
              <w:jc w:val="center"/>
              <w:rPr>
                <w:rFonts w:hint="default" w:ascii="宋体" w:hAnsi="宋体" w:eastAsia="宋体" w:cs="宋体"/>
                <w:color w:val="000000"/>
                <w:sz w:val="24"/>
              </w:rPr>
            </w:pPr>
          </w:p>
        </w:tc>
        <w:tc>
          <w:tcPr>
            <w:tcW w:w="1323" w:type="dxa"/>
            <w:vAlign w:val="center"/>
          </w:tcPr>
          <w:p>
            <w:pPr>
              <w:pStyle w:val="2"/>
              <w:jc w:val="center"/>
              <w:rPr>
                <w:rFonts w:hint="default" w:ascii="宋体" w:hAnsi="宋体" w:eastAsia="宋体" w:cs="宋体"/>
                <w:color w:val="000000"/>
                <w:sz w:val="24"/>
              </w:rPr>
            </w:pPr>
          </w:p>
        </w:tc>
        <w:tc>
          <w:tcPr>
            <w:tcW w:w="1065" w:type="dxa"/>
            <w:vAlign w:val="center"/>
          </w:tcPr>
          <w:p>
            <w:pPr>
              <w:pStyle w:val="2"/>
              <w:jc w:val="center"/>
              <w:rPr>
                <w:rFonts w:hint="default" w:ascii="宋体" w:hAnsi="宋体" w:eastAsia="宋体" w:cs="宋体"/>
                <w:color w:val="000000"/>
                <w:sz w:val="24"/>
              </w:rPr>
            </w:pPr>
          </w:p>
        </w:tc>
        <w:tc>
          <w:tcPr>
            <w:tcW w:w="1225" w:type="dxa"/>
            <w:vAlign w:val="center"/>
          </w:tcPr>
          <w:p>
            <w:pPr>
              <w:pStyle w:val="2"/>
              <w:jc w:val="center"/>
              <w:rPr>
                <w:rFonts w:hint="default" w:ascii="宋体" w:hAnsi="宋体" w:eastAsia="宋体" w:cs="宋体"/>
                <w:color w:val="000000"/>
                <w:sz w:val="24"/>
              </w:rPr>
            </w:pPr>
          </w:p>
        </w:tc>
        <w:tc>
          <w:tcPr>
            <w:tcW w:w="1325" w:type="dxa"/>
            <w:vAlign w:val="center"/>
          </w:tcPr>
          <w:p>
            <w:pPr>
              <w:pStyle w:val="2"/>
              <w:jc w:val="center"/>
              <w:rPr>
                <w:rFonts w:hint="default" w:ascii="宋体" w:hAnsi="宋体" w:eastAsia="宋体" w:cs="宋体"/>
                <w:color w:val="000000"/>
                <w:sz w:val="24"/>
              </w:rPr>
            </w:pPr>
          </w:p>
        </w:tc>
      </w:tr>
      <w:tr>
        <w:tblPrEx>
          <w:tblLayout w:type="fixed"/>
          <w:tblCellMar>
            <w:top w:w="0" w:type="dxa"/>
            <w:left w:w="108" w:type="dxa"/>
            <w:bottom w:w="0" w:type="dxa"/>
            <w:right w:w="108" w:type="dxa"/>
          </w:tblCellMar>
        </w:tblPrEx>
        <w:trPr>
          <w:trHeight w:val="624" w:hRule="atLeast"/>
        </w:trPr>
        <w:tc>
          <w:tcPr>
            <w:tcW w:w="1064" w:type="dxa"/>
            <w:vAlign w:val="center"/>
          </w:tcPr>
          <w:p>
            <w:pPr>
              <w:pStyle w:val="2"/>
              <w:jc w:val="center"/>
              <w:rPr>
                <w:rFonts w:hint="default" w:ascii="宋体" w:hAnsi="宋体" w:eastAsia="宋体" w:cs="宋体"/>
                <w:color w:val="000000"/>
                <w:sz w:val="24"/>
              </w:rPr>
            </w:pPr>
          </w:p>
        </w:tc>
        <w:tc>
          <w:tcPr>
            <w:tcW w:w="1397" w:type="dxa"/>
            <w:vAlign w:val="center"/>
          </w:tcPr>
          <w:p>
            <w:pPr>
              <w:pStyle w:val="2"/>
              <w:jc w:val="center"/>
              <w:rPr>
                <w:rFonts w:hint="default" w:ascii="宋体" w:hAnsi="宋体" w:eastAsia="宋体" w:cs="宋体"/>
                <w:color w:val="000000"/>
                <w:sz w:val="24"/>
              </w:rPr>
            </w:pPr>
          </w:p>
        </w:tc>
        <w:tc>
          <w:tcPr>
            <w:tcW w:w="775" w:type="dxa"/>
            <w:vAlign w:val="center"/>
          </w:tcPr>
          <w:p>
            <w:pPr>
              <w:pStyle w:val="2"/>
              <w:jc w:val="center"/>
              <w:rPr>
                <w:rFonts w:hint="default" w:ascii="宋体" w:hAnsi="宋体" w:eastAsia="宋体" w:cs="宋体"/>
                <w:color w:val="000000"/>
                <w:sz w:val="24"/>
              </w:rPr>
            </w:pPr>
          </w:p>
        </w:tc>
        <w:tc>
          <w:tcPr>
            <w:tcW w:w="762" w:type="dxa"/>
            <w:vAlign w:val="center"/>
          </w:tcPr>
          <w:p>
            <w:pPr>
              <w:pStyle w:val="2"/>
              <w:jc w:val="center"/>
              <w:rPr>
                <w:rFonts w:hint="default" w:ascii="宋体" w:hAnsi="宋体" w:eastAsia="宋体" w:cs="宋体"/>
                <w:color w:val="000000"/>
                <w:sz w:val="24"/>
              </w:rPr>
            </w:pPr>
          </w:p>
        </w:tc>
        <w:tc>
          <w:tcPr>
            <w:tcW w:w="1323" w:type="dxa"/>
            <w:vAlign w:val="center"/>
          </w:tcPr>
          <w:p>
            <w:pPr>
              <w:pStyle w:val="2"/>
              <w:jc w:val="center"/>
              <w:rPr>
                <w:rFonts w:hint="default" w:ascii="宋体" w:hAnsi="宋体" w:eastAsia="宋体" w:cs="宋体"/>
                <w:color w:val="000000"/>
                <w:sz w:val="24"/>
              </w:rPr>
            </w:pPr>
          </w:p>
        </w:tc>
        <w:tc>
          <w:tcPr>
            <w:tcW w:w="1065" w:type="dxa"/>
            <w:vAlign w:val="center"/>
          </w:tcPr>
          <w:p>
            <w:pPr>
              <w:pStyle w:val="2"/>
              <w:jc w:val="center"/>
              <w:rPr>
                <w:rFonts w:hint="default" w:ascii="宋体" w:hAnsi="宋体" w:eastAsia="宋体" w:cs="宋体"/>
                <w:color w:val="000000"/>
                <w:sz w:val="24"/>
              </w:rPr>
            </w:pPr>
          </w:p>
        </w:tc>
        <w:tc>
          <w:tcPr>
            <w:tcW w:w="1225" w:type="dxa"/>
            <w:vAlign w:val="center"/>
          </w:tcPr>
          <w:p>
            <w:pPr>
              <w:pStyle w:val="2"/>
              <w:jc w:val="center"/>
              <w:rPr>
                <w:rFonts w:hint="default" w:ascii="宋体" w:hAnsi="宋体" w:eastAsia="宋体" w:cs="宋体"/>
                <w:color w:val="000000"/>
                <w:sz w:val="24"/>
              </w:rPr>
            </w:pPr>
          </w:p>
        </w:tc>
        <w:tc>
          <w:tcPr>
            <w:tcW w:w="1325" w:type="dxa"/>
            <w:vAlign w:val="center"/>
          </w:tcPr>
          <w:p>
            <w:pPr>
              <w:pStyle w:val="2"/>
              <w:jc w:val="center"/>
              <w:rPr>
                <w:rFonts w:hint="default" w:ascii="宋体" w:hAnsi="宋体" w:eastAsia="宋体" w:cs="宋体"/>
                <w:color w:val="000000"/>
                <w:sz w:val="24"/>
              </w:rPr>
            </w:pPr>
          </w:p>
        </w:tc>
      </w:tr>
      <w:tr>
        <w:tblPrEx>
          <w:tblLayout w:type="fixed"/>
          <w:tblCellMar>
            <w:top w:w="0" w:type="dxa"/>
            <w:left w:w="108" w:type="dxa"/>
            <w:bottom w:w="0" w:type="dxa"/>
            <w:right w:w="108" w:type="dxa"/>
          </w:tblCellMar>
        </w:tblPrEx>
        <w:trPr>
          <w:trHeight w:val="624" w:hRule="atLeast"/>
        </w:trPr>
        <w:tc>
          <w:tcPr>
            <w:tcW w:w="1064" w:type="dxa"/>
            <w:vAlign w:val="center"/>
          </w:tcPr>
          <w:p>
            <w:pPr>
              <w:pStyle w:val="2"/>
              <w:jc w:val="center"/>
              <w:rPr>
                <w:rFonts w:hint="default" w:ascii="宋体" w:hAnsi="宋体" w:eastAsia="宋体" w:cs="宋体"/>
                <w:color w:val="000000"/>
                <w:sz w:val="24"/>
              </w:rPr>
            </w:pPr>
          </w:p>
        </w:tc>
        <w:tc>
          <w:tcPr>
            <w:tcW w:w="1397" w:type="dxa"/>
            <w:vAlign w:val="center"/>
          </w:tcPr>
          <w:p>
            <w:pPr>
              <w:pStyle w:val="2"/>
              <w:jc w:val="center"/>
              <w:rPr>
                <w:rFonts w:hint="default" w:ascii="宋体" w:hAnsi="宋体" w:eastAsia="宋体" w:cs="宋体"/>
                <w:color w:val="000000"/>
                <w:sz w:val="24"/>
              </w:rPr>
            </w:pPr>
          </w:p>
        </w:tc>
        <w:tc>
          <w:tcPr>
            <w:tcW w:w="775" w:type="dxa"/>
            <w:vAlign w:val="center"/>
          </w:tcPr>
          <w:p>
            <w:pPr>
              <w:pStyle w:val="2"/>
              <w:jc w:val="center"/>
              <w:rPr>
                <w:rFonts w:hint="default" w:ascii="宋体" w:hAnsi="宋体" w:eastAsia="宋体" w:cs="宋体"/>
                <w:color w:val="000000"/>
                <w:sz w:val="24"/>
              </w:rPr>
            </w:pPr>
          </w:p>
        </w:tc>
        <w:tc>
          <w:tcPr>
            <w:tcW w:w="762" w:type="dxa"/>
            <w:vAlign w:val="center"/>
          </w:tcPr>
          <w:p>
            <w:pPr>
              <w:pStyle w:val="2"/>
              <w:jc w:val="center"/>
              <w:rPr>
                <w:rFonts w:hint="default" w:ascii="宋体" w:hAnsi="宋体" w:eastAsia="宋体" w:cs="宋体"/>
                <w:color w:val="000000"/>
                <w:sz w:val="24"/>
              </w:rPr>
            </w:pPr>
          </w:p>
        </w:tc>
        <w:tc>
          <w:tcPr>
            <w:tcW w:w="1323" w:type="dxa"/>
            <w:vAlign w:val="center"/>
          </w:tcPr>
          <w:p>
            <w:pPr>
              <w:pStyle w:val="2"/>
              <w:jc w:val="center"/>
              <w:rPr>
                <w:rFonts w:hint="default" w:ascii="宋体" w:hAnsi="宋体" w:eastAsia="宋体" w:cs="宋体"/>
                <w:color w:val="000000"/>
                <w:sz w:val="24"/>
              </w:rPr>
            </w:pPr>
          </w:p>
        </w:tc>
        <w:tc>
          <w:tcPr>
            <w:tcW w:w="1065" w:type="dxa"/>
            <w:vAlign w:val="center"/>
          </w:tcPr>
          <w:p>
            <w:pPr>
              <w:pStyle w:val="2"/>
              <w:jc w:val="center"/>
              <w:rPr>
                <w:rFonts w:hint="default" w:ascii="宋体" w:hAnsi="宋体" w:eastAsia="宋体" w:cs="宋体"/>
                <w:color w:val="000000"/>
                <w:sz w:val="24"/>
              </w:rPr>
            </w:pPr>
          </w:p>
        </w:tc>
        <w:tc>
          <w:tcPr>
            <w:tcW w:w="1225" w:type="dxa"/>
            <w:vAlign w:val="center"/>
          </w:tcPr>
          <w:p>
            <w:pPr>
              <w:pStyle w:val="2"/>
              <w:jc w:val="center"/>
              <w:rPr>
                <w:rFonts w:hint="default" w:ascii="宋体" w:hAnsi="宋体" w:eastAsia="宋体" w:cs="宋体"/>
                <w:color w:val="000000"/>
                <w:sz w:val="24"/>
              </w:rPr>
            </w:pPr>
          </w:p>
        </w:tc>
        <w:tc>
          <w:tcPr>
            <w:tcW w:w="1325" w:type="dxa"/>
            <w:vAlign w:val="center"/>
          </w:tcPr>
          <w:p>
            <w:pPr>
              <w:pStyle w:val="2"/>
              <w:jc w:val="center"/>
              <w:rPr>
                <w:rFonts w:hint="default" w:ascii="宋体" w:hAnsi="宋体" w:eastAsia="宋体" w:cs="宋体"/>
                <w:color w:val="000000"/>
                <w:sz w:val="24"/>
              </w:rPr>
            </w:pPr>
          </w:p>
        </w:tc>
      </w:tr>
      <w:tr>
        <w:tblPrEx>
          <w:tblLayout w:type="fixed"/>
          <w:tblCellMar>
            <w:top w:w="0" w:type="dxa"/>
            <w:left w:w="108" w:type="dxa"/>
            <w:bottom w:w="0" w:type="dxa"/>
            <w:right w:w="108" w:type="dxa"/>
          </w:tblCellMar>
        </w:tblPrEx>
        <w:trPr>
          <w:trHeight w:val="624" w:hRule="atLeast"/>
        </w:trPr>
        <w:tc>
          <w:tcPr>
            <w:tcW w:w="1064" w:type="dxa"/>
            <w:vAlign w:val="center"/>
          </w:tcPr>
          <w:p>
            <w:pPr>
              <w:pStyle w:val="2"/>
              <w:jc w:val="center"/>
              <w:rPr>
                <w:rFonts w:hint="default" w:ascii="宋体" w:hAnsi="宋体" w:eastAsia="宋体" w:cs="宋体"/>
                <w:color w:val="000000"/>
                <w:sz w:val="24"/>
              </w:rPr>
            </w:pPr>
          </w:p>
        </w:tc>
        <w:tc>
          <w:tcPr>
            <w:tcW w:w="1397" w:type="dxa"/>
            <w:vAlign w:val="center"/>
          </w:tcPr>
          <w:p>
            <w:pPr>
              <w:pStyle w:val="2"/>
              <w:jc w:val="center"/>
              <w:rPr>
                <w:rFonts w:hint="default" w:ascii="宋体" w:hAnsi="宋体" w:eastAsia="宋体" w:cs="宋体"/>
                <w:color w:val="000000"/>
                <w:sz w:val="24"/>
              </w:rPr>
            </w:pPr>
          </w:p>
        </w:tc>
        <w:tc>
          <w:tcPr>
            <w:tcW w:w="775" w:type="dxa"/>
            <w:vAlign w:val="center"/>
          </w:tcPr>
          <w:p>
            <w:pPr>
              <w:pStyle w:val="2"/>
              <w:jc w:val="center"/>
              <w:rPr>
                <w:rFonts w:hint="default" w:ascii="宋体" w:hAnsi="宋体" w:eastAsia="宋体" w:cs="宋体"/>
                <w:color w:val="000000"/>
                <w:sz w:val="24"/>
              </w:rPr>
            </w:pPr>
          </w:p>
        </w:tc>
        <w:tc>
          <w:tcPr>
            <w:tcW w:w="762" w:type="dxa"/>
            <w:vAlign w:val="center"/>
          </w:tcPr>
          <w:p>
            <w:pPr>
              <w:pStyle w:val="2"/>
              <w:jc w:val="center"/>
              <w:rPr>
                <w:rFonts w:hint="default" w:ascii="宋体" w:hAnsi="宋体" w:eastAsia="宋体" w:cs="宋体"/>
                <w:color w:val="000000"/>
                <w:sz w:val="24"/>
              </w:rPr>
            </w:pPr>
          </w:p>
        </w:tc>
        <w:tc>
          <w:tcPr>
            <w:tcW w:w="1323" w:type="dxa"/>
            <w:vAlign w:val="center"/>
          </w:tcPr>
          <w:p>
            <w:pPr>
              <w:pStyle w:val="2"/>
              <w:jc w:val="center"/>
              <w:rPr>
                <w:rFonts w:hint="default" w:ascii="宋体" w:hAnsi="宋体" w:eastAsia="宋体" w:cs="宋体"/>
                <w:color w:val="000000"/>
                <w:sz w:val="24"/>
              </w:rPr>
            </w:pPr>
          </w:p>
        </w:tc>
        <w:tc>
          <w:tcPr>
            <w:tcW w:w="1065" w:type="dxa"/>
            <w:vAlign w:val="center"/>
          </w:tcPr>
          <w:p>
            <w:pPr>
              <w:pStyle w:val="2"/>
              <w:jc w:val="center"/>
              <w:rPr>
                <w:rFonts w:hint="default" w:ascii="宋体" w:hAnsi="宋体" w:eastAsia="宋体" w:cs="宋体"/>
                <w:color w:val="000000"/>
                <w:sz w:val="24"/>
              </w:rPr>
            </w:pPr>
          </w:p>
        </w:tc>
        <w:tc>
          <w:tcPr>
            <w:tcW w:w="1225" w:type="dxa"/>
            <w:vAlign w:val="center"/>
          </w:tcPr>
          <w:p>
            <w:pPr>
              <w:pStyle w:val="2"/>
              <w:jc w:val="center"/>
              <w:rPr>
                <w:rFonts w:hint="default" w:ascii="宋体" w:hAnsi="宋体" w:eastAsia="宋体" w:cs="宋体"/>
                <w:color w:val="000000"/>
                <w:sz w:val="24"/>
              </w:rPr>
            </w:pPr>
          </w:p>
        </w:tc>
        <w:tc>
          <w:tcPr>
            <w:tcW w:w="1325" w:type="dxa"/>
            <w:vAlign w:val="center"/>
          </w:tcPr>
          <w:p>
            <w:pPr>
              <w:pStyle w:val="2"/>
              <w:jc w:val="center"/>
              <w:rPr>
                <w:rFonts w:hint="default" w:ascii="宋体" w:hAnsi="宋体" w:eastAsia="宋体" w:cs="宋体"/>
                <w:color w:val="000000"/>
                <w:sz w:val="24"/>
              </w:rPr>
            </w:pPr>
          </w:p>
        </w:tc>
      </w:tr>
      <w:tr>
        <w:tblPrEx>
          <w:tblLayout w:type="fixed"/>
          <w:tblCellMar>
            <w:top w:w="0" w:type="dxa"/>
            <w:left w:w="108" w:type="dxa"/>
            <w:bottom w:w="0" w:type="dxa"/>
            <w:right w:w="108" w:type="dxa"/>
          </w:tblCellMar>
        </w:tblPrEx>
        <w:trPr>
          <w:trHeight w:val="624" w:hRule="atLeast"/>
        </w:trPr>
        <w:tc>
          <w:tcPr>
            <w:tcW w:w="1064" w:type="dxa"/>
            <w:vAlign w:val="center"/>
          </w:tcPr>
          <w:p>
            <w:pPr>
              <w:pStyle w:val="2"/>
              <w:jc w:val="center"/>
              <w:rPr>
                <w:rFonts w:hint="default" w:ascii="宋体" w:hAnsi="宋体" w:eastAsia="宋体" w:cs="宋体"/>
                <w:color w:val="000000"/>
                <w:sz w:val="24"/>
              </w:rPr>
            </w:pPr>
          </w:p>
        </w:tc>
        <w:tc>
          <w:tcPr>
            <w:tcW w:w="1397" w:type="dxa"/>
            <w:vAlign w:val="center"/>
          </w:tcPr>
          <w:p>
            <w:pPr>
              <w:pStyle w:val="2"/>
              <w:jc w:val="center"/>
              <w:rPr>
                <w:rFonts w:hint="default" w:ascii="宋体" w:hAnsi="宋体" w:eastAsia="宋体" w:cs="宋体"/>
                <w:color w:val="000000"/>
                <w:sz w:val="24"/>
              </w:rPr>
            </w:pPr>
          </w:p>
        </w:tc>
        <w:tc>
          <w:tcPr>
            <w:tcW w:w="775" w:type="dxa"/>
            <w:vAlign w:val="center"/>
          </w:tcPr>
          <w:p>
            <w:pPr>
              <w:pStyle w:val="2"/>
              <w:jc w:val="center"/>
              <w:rPr>
                <w:rFonts w:hint="default" w:ascii="宋体" w:hAnsi="宋体" w:eastAsia="宋体" w:cs="宋体"/>
                <w:color w:val="000000"/>
                <w:sz w:val="24"/>
              </w:rPr>
            </w:pPr>
          </w:p>
        </w:tc>
        <w:tc>
          <w:tcPr>
            <w:tcW w:w="762" w:type="dxa"/>
            <w:vAlign w:val="center"/>
          </w:tcPr>
          <w:p>
            <w:pPr>
              <w:pStyle w:val="2"/>
              <w:jc w:val="center"/>
              <w:rPr>
                <w:rFonts w:hint="default" w:ascii="宋体" w:hAnsi="宋体" w:eastAsia="宋体" w:cs="宋体"/>
                <w:color w:val="000000"/>
                <w:sz w:val="24"/>
              </w:rPr>
            </w:pPr>
          </w:p>
        </w:tc>
        <w:tc>
          <w:tcPr>
            <w:tcW w:w="1323" w:type="dxa"/>
            <w:vAlign w:val="center"/>
          </w:tcPr>
          <w:p>
            <w:pPr>
              <w:pStyle w:val="2"/>
              <w:jc w:val="center"/>
              <w:rPr>
                <w:rFonts w:hint="default" w:ascii="宋体" w:hAnsi="宋体" w:eastAsia="宋体" w:cs="宋体"/>
                <w:color w:val="000000"/>
                <w:sz w:val="24"/>
              </w:rPr>
            </w:pPr>
          </w:p>
        </w:tc>
        <w:tc>
          <w:tcPr>
            <w:tcW w:w="1065" w:type="dxa"/>
            <w:vAlign w:val="center"/>
          </w:tcPr>
          <w:p>
            <w:pPr>
              <w:pStyle w:val="2"/>
              <w:jc w:val="center"/>
              <w:rPr>
                <w:rFonts w:hint="default" w:ascii="宋体" w:hAnsi="宋体" w:eastAsia="宋体" w:cs="宋体"/>
                <w:color w:val="000000"/>
                <w:sz w:val="24"/>
              </w:rPr>
            </w:pPr>
          </w:p>
        </w:tc>
        <w:tc>
          <w:tcPr>
            <w:tcW w:w="1225" w:type="dxa"/>
            <w:vAlign w:val="center"/>
          </w:tcPr>
          <w:p>
            <w:pPr>
              <w:pStyle w:val="2"/>
              <w:jc w:val="center"/>
              <w:rPr>
                <w:rFonts w:hint="default" w:ascii="宋体" w:hAnsi="宋体" w:eastAsia="宋体" w:cs="宋体"/>
                <w:color w:val="000000"/>
                <w:sz w:val="24"/>
              </w:rPr>
            </w:pPr>
          </w:p>
        </w:tc>
        <w:tc>
          <w:tcPr>
            <w:tcW w:w="1325" w:type="dxa"/>
            <w:vAlign w:val="center"/>
          </w:tcPr>
          <w:p>
            <w:pPr>
              <w:pStyle w:val="2"/>
              <w:jc w:val="center"/>
              <w:rPr>
                <w:rFonts w:hint="default" w:ascii="宋体" w:hAnsi="宋体" w:eastAsia="宋体" w:cs="宋体"/>
                <w:color w:val="000000"/>
                <w:sz w:val="24"/>
              </w:rPr>
            </w:pPr>
          </w:p>
        </w:tc>
      </w:tr>
    </w:tbl>
    <w:p>
      <w:pPr>
        <w:widowControl/>
        <w:jc w:val="left"/>
        <w:rPr>
          <w:rFonts w:ascii="宋体" w:hAnsi="宋体"/>
          <w:color w:val="000000"/>
          <w:sz w:val="24"/>
        </w:rPr>
      </w:pPr>
      <w:r>
        <w:rPr>
          <w:rFonts w:hint="eastAsia" w:ascii="宋体" w:hAnsi="宋体"/>
          <w:b/>
          <w:color w:val="000000"/>
          <w:sz w:val="24"/>
        </w:rPr>
        <w:t>注：需提供各专业管理人员、主要技术人员上岗资格证书、开标前12个月内至少</w:t>
      </w:r>
      <w:r>
        <w:rPr>
          <w:rFonts w:hint="eastAsia" w:ascii="宋体" w:hAnsi="宋体"/>
          <w:b/>
          <w:color w:val="000000"/>
          <w:sz w:val="24"/>
          <w:lang w:val="en-US" w:eastAsia="zh-CN"/>
        </w:rPr>
        <w:t>1</w:t>
      </w:r>
      <w:r>
        <w:rPr>
          <w:rFonts w:hint="eastAsia" w:ascii="宋体" w:hAnsi="宋体"/>
          <w:b/>
          <w:color w:val="000000"/>
          <w:sz w:val="24"/>
        </w:rPr>
        <w:t>个月缴纳社保等相关材料复印件，并加盖企业公章。</w:t>
      </w:r>
    </w:p>
    <w:p>
      <w:pPr>
        <w:tabs>
          <w:tab w:val="left" w:pos="0"/>
          <w:tab w:val="left" w:pos="720"/>
          <w:tab w:val="left" w:pos="1440"/>
          <w:tab w:val="left" w:pos="2160"/>
          <w:tab w:val="left" w:pos="2880"/>
          <w:tab w:val="left" w:pos="3600"/>
          <w:tab w:val="left" w:pos="4320"/>
        </w:tabs>
        <w:autoSpaceDE w:val="0"/>
        <w:autoSpaceDN w:val="0"/>
        <w:ind w:right="-256" w:rightChars="-122" w:firstLine="374" w:firstLineChars="156"/>
        <w:rPr>
          <w:rFonts w:ascii="宋体" w:hAnsi="宋体" w:cs="仿宋_GB2312"/>
          <w:color w:val="000000"/>
          <w:sz w:val="24"/>
        </w:rPr>
      </w:pPr>
    </w:p>
    <w:p>
      <w:pPr>
        <w:tabs>
          <w:tab w:val="left" w:pos="0"/>
          <w:tab w:val="left" w:pos="720"/>
          <w:tab w:val="left" w:pos="1440"/>
          <w:tab w:val="left" w:pos="2160"/>
          <w:tab w:val="left" w:pos="2880"/>
          <w:tab w:val="left" w:pos="3600"/>
          <w:tab w:val="left" w:pos="4320"/>
        </w:tabs>
        <w:autoSpaceDE w:val="0"/>
        <w:autoSpaceDN w:val="0"/>
        <w:ind w:right="-256" w:rightChars="-122" w:firstLine="374" w:firstLineChars="156"/>
        <w:rPr>
          <w:rFonts w:ascii="宋体" w:hAnsi="宋体" w:cs="仿宋_GB2312"/>
          <w:color w:val="000000"/>
          <w:sz w:val="24"/>
        </w:rPr>
      </w:pPr>
    </w:p>
    <w:p>
      <w:pPr>
        <w:snapToGrid w:val="0"/>
        <w:spacing w:line="500" w:lineRule="exact"/>
        <w:rPr>
          <w:rFonts w:ascii="宋体" w:hAnsi="宋体"/>
          <w:b/>
          <w:color w:val="000000"/>
          <w:sz w:val="28"/>
          <w:szCs w:val="28"/>
        </w:rPr>
      </w:pPr>
      <w:r>
        <w:rPr>
          <w:rFonts w:hint="eastAsia" w:ascii="宋体" w:hAnsi="宋体"/>
          <w:color w:val="000000"/>
          <w:sz w:val="24"/>
          <w:lang w:eastAsia="zh-CN"/>
        </w:rPr>
        <w:t>投标人</w:t>
      </w:r>
      <w:r>
        <w:rPr>
          <w:rFonts w:hint="eastAsia" w:ascii="宋体" w:hAnsi="宋体"/>
          <w:color w:val="000000"/>
          <w:sz w:val="24"/>
        </w:rPr>
        <w:t>（公章）：                   法定代表人或被授权人（</w:t>
      </w:r>
      <w:r>
        <w:rPr>
          <w:rFonts w:hint="eastAsia" w:ascii="宋体" w:hAnsi="宋体"/>
          <w:color w:val="000000"/>
          <w:sz w:val="24"/>
          <w:lang w:eastAsia="zh-CN"/>
        </w:rPr>
        <w:t>数字签章</w:t>
      </w:r>
      <w:r>
        <w:rPr>
          <w:rFonts w:hint="eastAsia" w:ascii="宋体" w:hAnsi="宋体"/>
          <w:color w:val="000000"/>
          <w:sz w:val="24"/>
        </w:rPr>
        <w:t>）：</w:t>
      </w:r>
    </w:p>
    <w:p>
      <w:pPr>
        <w:pStyle w:val="2"/>
        <w:rPr>
          <w:rFonts w:hint="default"/>
          <w:color w:val="000000"/>
        </w:rPr>
      </w:pPr>
    </w:p>
    <w:p>
      <w:pPr>
        <w:pStyle w:val="2"/>
        <w:rPr>
          <w:rFonts w:hint="default"/>
          <w:color w:val="000000"/>
        </w:rPr>
      </w:pPr>
    </w:p>
    <w:p>
      <w:pPr>
        <w:snapToGrid w:val="0"/>
        <w:spacing w:line="500" w:lineRule="exact"/>
        <w:jc w:val="left"/>
        <w:rPr>
          <w:rFonts w:ascii="宋体" w:hAnsi="宋体"/>
          <w:b/>
          <w:color w:val="000000"/>
          <w:kern w:val="0"/>
          <w:szCs w:val="21"/>
        </w:rPr>
      </w:pPr>
    </w:p>
    <w:p>
      <w:pPr>
        <w:pStyle w:val="2"/>
        <w:rPr>
          <w:rFonts w:hint="default" w:ascii="宋体" w:hAnsi="宋体"/>
          <w:b/>
          <w:color w:val="000000"/>
          <w:szCs w:val="21"/>
        </w:rPr>
      </w:pPr>
    </w:p>
    <w:p>
      <w:pPr>
        <w:pStyle w:val="2"/>
        <w:rPr>
          <w:rFonts w:hint="default" w:ascii="宋体" w:hAnsi="宋体"/>
          <w:b/>
          <w:color w:val="000000"/>
          <w:szCs w:val="21"/>
        </w:rPr>
      </w:pPr>
    </w:p>
    <w:p>
      <w:pPr>
        <w:pStyle w:val="2"/>
        <w:rPr>
          <w:rFonts w:hint="default" w:ascii="宋体" w:hAnsi="宋体"/>
          <w:b/>
          <w:color w:val="000000"/>
          <w:szCs w:val="21"/>
        </w:rPr>
      </w:pPr>
    </w:p>
    <w:p>
      <w:pPr>
        <w:pStyle w:val="2"/>
        <w:rPr>
          <w:rFonts w:hint="default" w:ascii="宋体" w:hAnsi="宋体"/>
          <w:b/>
          <w:color w:val="000000"/>
          <w:szCs w:val="21"/>
        </w:rPr>
      </w:pPr>
    </w:p>
    <w:p>
      <w:pPr>
        <w:pStyle w:val="2"/>
        <w:rPr>
          <w:rFonts w:hint="default" w:ascii="宋体" w:hAnsi="宋体"/>
          <w:b/>
          <w:color w:val="000000"/>
          <w:szCs w:val="21"/>
        </w:rPr>
      </w:pPr>
    </w:p>
    <w:p>
      <w:pPr>
        <w:pStyle w:val="2"/>
        <w:rPr>
          <w:rFonts w:hint="default" w:ascii="宋体" w:hAnsi="宋体"/>
          <w:b/>
          <w:color w:val="000000"/>
          <w:szCs w:val="21"/>
        </w:rPr>
      </w:pPr>
    </w:p>
    <w:p>
      <w:pPr>
        <w:pStyle w:val="2"/>
        <w:rPr>
          <w:rFonts w:hint="default" w:ascii="宋体" w:hAnsi="宋体"/>
          <w:b/>
          <w:color w:val="000000"/>
          <w:szCs w:val="21"/>
        </w:rPr>
      </w:pPr>
    </w:p>
    <w:p>
      <w:pPr>
        <w:keepNext/>
        <w:keepLines/>
        <w:spacing w:before="20" w:after="20" w:line="500" w:lineRule="exact"/>
        <w:jc w:val="left"/>
        <w:outlineLvl w:val="1"/>
        <w:rPr>
          <w:rFonts w:ascii="宋体" w:hAnsi="宋体"/>
          <w:b/>
          <w:color w:val="000000"/>
          <w:sz w:val="28"/>
          <w:szCs w:val="28"/>
        </w:rPr>
      </w:pPr>
      <w:r>
        <w:rPr>
          <w:rFonts w:hint="eastAsia" w:ascii="宋体" w:hAnsi="宋体"/>
          <w:b/>
          <w:color w:val="000000"/>
          <w:sz w:val="28"/>
          <w:szCs w:val="28"/>
          <w:lang w:val="en-US" w:eastAsia="zh-CN"/>
        </w:rPr>
        <w:t xml:space="preserve">4. </w:t>
      </w:r>
      <w:r>
        <w:rPr>
          <w:rFonts w:hint="eastAsia" w:ascii="宋体" w:hAnsi="宋体"/>
          <w:b/>
          <w:color w:val="000000"/>
          <w:sz w:val="28"/>
          <w:szCs w:val="28"/>
        </w:rPr>
        <w:t>人员配备表</w:t>
      </w:r>
    </w:p>
    <w:p>
      <w:pPr>
        <w:kinsoku w:val="0"/>
        <w:spacing w:line="500" w:lineRule="exact"/>
        <w:ind w:firstLine="120" w:firstLineChars="50"/>
        <w:rPr>
          <w:rFonts w:ascii="宋体" w:hAnsi="宋体"/>
          <w:color w:val="000000"/>
          <w:sz w:val="24"/>
        </w:rPr>
      </w:pPr>
      <w:r>
        <w:rPr>
          <w:rFonts w:hint="eastAsia" w:ascii="宋体" w:hAnsi="宋体"/>
          <w:color w:val="000000"/>
          <w:sz w:val="24"/>
        </w:rPr>
        <w:t xml:space="preserve">项目名称：                                                 </w:t>
      </w:r>
    </w:p>
    <w:p>
      <w:pPr>
        <w:kinsoku w:val="0"/>
        <w:spacing w:line="500" w:lineRule="exact"/>
        <w:ind w:firstLine="120" w:firstLineChars="50"/>
        <w:rPr>
          <w:rFonts w:ascii="宋体" w:hAnsi="宋体"/>
          <w:color w:val="000000"/>
          <w:sz w:val="24"/>
        </w:rPr>
      </w:pPr>
      <w:r>
        <w:rPr>
          <w:rFonts w:hint="eastAsia" w:ascii="宋体" w:hAnsi="宋体"/>
          <w:color w:val="000000"/>
          <w:sz w:val="24"/>
        </w:rPr>
        <w:t>项目编号：</w:t>
      </w:r>
    </w:p>
    <w:p>
      <w:pPr>
        <w:kinsoku w:val="0"/>
        <w:spacing w:line="500" w:lineRule="exact"/>
        <w:ind w:firstLine="120" w:firstLineChars="50"/>
        <w:rPr>
          <w:rFonts w:ascii="宋体" w:hAnsi="宋体" w:cs="仿宋_GB2312"/>
          <w:color w:val="000000"/>
          <w:szCs w:val="21"/>
        </w:rPr>
      </w:pPr>
      <w:r>
        <w:rPr>
          <w:rFonts w:hint="eastAsia" w:ascii="宋体" w:hAnsi="宋体"/>
          <w:color w:val="000000"/>
          <w:sz w:val="24"/>
          <w:lang w:eastAsia="zh-CN"/>
        </w:rPr>
        <w:t>投标人</w:t>
      </w:r>
      <w:r>
        <w:rPr>
          <w:rFonts w:hint="eastAsia" w:ascii="宋体" w:hAnsi="宋体"/>
          <w:color w:val="000000"/>
          <w:sz w:val="24"/>
        </w:rPr>
        <w:t>：</w:t>
      </w:r>
    </w:p>
    <w:tbl>
      <w:tblPr>
        <w:tblStyle w:val="19"/>
        <w:tblW w:w="103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3902"/>
        <w:gridCol w:w="3355"/>
        <w:gridCol w:w="1559"/>
      </w:tblGrid>
      <w:tr>
        <w:tblPrEx>
          <w:tblLayout w:type="fixed"/>
          <w:tblCellMar>
            <w:top w:w="0" w:type="dxa"/>
            <w:left w:w="108" w:type="dxa"/>
            <w:bottom w:w="0" w:type="dxa"/>
            <w:right w:w="108" w:type="dxa"/>
          </w:tblCellMar>
        </w:tblPrEx>
        <w:trPr>
          <w:cantSplit/>
          <w:trHeight w:val="295" w:hRule="atLeast"/>
          <w:tblHeader/>
          <w:jc w:val="center"/>
        </w:trPr>
        <w:tc>
          <w:tcPr>
            <w:tcW w:w="1496" w:type="dxa"/>
            <w:vMerge w:val="restart"/>
            <w:vAlign w:val="center"/>
          </w:tcPr>
          <w:p>
            <w:pPr>
              <w:widowControl/>
              <w:snapToGrid w:val="0"/>
              <w:spacing w:before="156" w:beforeLines="50"/>
              <w:jc w:val="center"/>
              <w:rPr>
                <w:rFonts w:ascii="宋体" w:hAnsi="宋体" w:cs="仿宋_GB2312"/>
                <w:b/>
                <w:color w:val="000000"/>
                <w:kern w:val="0"/>
                <w:sz w:val="24"/>
              </w:rPr>
            </w:pPr>
            <w:r>
              <w:rPr>
                <w:rFonts w:hint="eastAsia" w:ascii="宋体" w:hAnsi="宋体" w:cs="仿宋_GB2312"/>
                <w:b/>
                <w:color w:val="000000"/>
                <w:kern w:val="0"/>
                <w:sz w:val="24"/>
              </w:rPr>
              <w:t>类别</w:t>
            </w:r>
          </w:p>
        </w:tc>
        <w:tc>
          <w:tcPr>
            <w:tcW w:w="7257" w:type="dxa"/>
            <w:gridSpan w:val="2"/>
            <w:vAlign w:val="top"/>
          </w:tcPr>
          <w:p>
            <w:pPr>
              <w:widowControl/>
              <w:snapToGrid w:val="0"/>
              <w:spacing w:before="156" w:beforeLines="50"/>
              <w:jc w:val="center"/>
              <w:rPr>
                <w:rFonts w:ascii="宋体" w:hAnsi="宋体" w:cs="仿宋_GB2312"/>
                <w:b/>
                <w:color w:val="000000"/>
                <w:kern w:val="0"/>
                <w:sz w:val="24"/>
              </w:rPr>
            </w:pPr>
            <w:r>
              <w:rPr>
                <w:rFonts w:hint="eastAsia" w:ascii="宋体" w:hAnsi="宋体" w:cs="仿宋_GB2312"/>
                <w:b/>
                <w:color w:val="000000"/>
                <w:kern w:val="0"/>
                <w:sz w:val="24"/>
              </w:rPr>
              <w:t>岗位设置</w:t>
            </w:r>
          </w:p>
        </w:tc>
        <w:tc>
          <w:tcPr>
            <w:tcW w:w="1559" w:type="dxa"/>
            <w:vMerge w:val="restart"/>
            <w:vAlign w:val="center"/>
          </w:tcPr>
          <w:p>
            <w:pPr>
              <w:widowControl/>
              <w:snapToGrid w:val="0"/>
              <w:spacing w:before="156" w:beforeLines="50"/>
              <w:jc w:val="center"/>
              <w:rPr>
                <w:rFonts w:ascii="宋体" w:hAnsi="宋体" w:cs="仿宋_GB2312"/>
                <w:b/>
                <w:color w:val="000000"/>
                <w:kern w:val="0"/>
                <w:sz w:val="24"/>
              </w:rPr>
            </w:pPr>
            <w:r>
              <w:rPr>
                <w:rFonts w:hint="eastAsia" w:ascii="宋体" w:hAnsi="宋体" w:cs="仿宋_GB2312"/>
                <w:b/>
                <w:color w:val="000000"/>
                <w:kern w:val="0"/>
                <w:sz w:val="24"/>
              </w:rPr>
              <w:t>薪资标准</w:t>
            </w:r>
          </w:p>
          <w:p>
            <w:pPr>
              <w:widowControl/>
              <w:snapToGrid w:val="0"/>
              <w:spacing w:before="156" w:beforeLines="50"/>
              <w:jc w:val="center"/>
              <w:rPr>
                <w:rFonts w:ascii="宋体" w:hAnsi="宋体" w:cs="仿宋_GB2312"/>
                <w:b/>
                <w:color w:val="000000"/>
                <w:kern w:val="0"/>
                <w:sz w:val="24"/>
              </w:rPr>
            </w:pPr>
            <w:r>
              <w:rPr>
                <w:rFonts w:hint="eastAsia" w:ascii="宋体" w:hAnsi="宋体" w:cs="仿宋_GB2312"/>
                <w:b/>
                <w:color w:val="000000"/>
                <w:kern w:val="0"/>
                <w:sz w:val="24"/>
              </w:rPr>
              <w:t>（按年）</w:t>
            </w:r>
          </w:p>
        </w:tc>
      </w:tr>
      <w:tr>
        <w:tblPrEx>
          <w:tblLayout w:type="fixed"/>
          <w:tblCellMar>
            <w:top w:w="0" w:type="dxa"/>
            <w:left w:w="108" w:type="dxa"/>
            <w:bottom w:w="0" w:type="dxa"/>
            <w:right w:w="108" w:type="dxa"/>
          </w:tblCellMar>
        </w:tblPrEx>
        <w:trPr>
          <w:cantSplit/>
          <w:trHeight w:val="295" w:hRule="atLeast"/>
          <w:tblHeader/>
          <w:jc w:val="center"/>
        </w:trPr>
        <w:tc>
          <w:tcPr>
            <w:tcW w:w="1496" w:type="dxa"/>
            <w:vMerge w:val="continue"/>
            <w:vAlign w:val="center"/>
          </w:tcPr>
          <w:p>
            <w:pPr>
              <w:widowControl/>
              <w:snapToGrid w:val="0"/>
              <w:spacing w:before="156" w:beforeLines="50"/>
              <w:jc w:val="center"/>
              <w:rPr>
                <w:rFonts w:ascii="宋体" w:hAnsi="宋体" w:cs="仿宋_GB2312"/>
                <w:color w:val="000000"/>
                <w:kern w:val="0"/>
                <w:sz w:val="24"/>
              </w:rPr>
            </w:pPr>
          </w:p>
        </w:tc>
        <w:tc>
          <w:tcPr>
            <w:tcW w:w="3902" w:type="dxa"/>
            <w:vAlign w:val="center"/>
          </w:tcPr>
          <w:p>
            <w:pPr>
              <w:widowControl/>
              <w:snapToGrid w:val="0"/>
              <w:spacing w:before="156" w:beforeLines="50"/>
              <w:jc w:val="center"/>
              <w:rPr>
                <w:rFonts w:ascii="宋体" w:hAnsi="宋体" w:cs="仿宋_GB2312"/>
                <w:b/>
                <w:color w:val="000000"/>
                <w:kern w:val="0"/>
                <w:sz w:val="24"/>
              </w:rPr>
            </w:pPr>
            <w:r>
              <w:rPr>
                <w:rFonts w:hint="eastAsia" w:ascii="宋体" w:hAnsi="宋体" w:cs="仿宋_GB2312"/>
                <w:b/>
                <w:color w:val="000000"/>
                <w:kern w:val="0"/>
                <w:sz w:val="24"/>
              </w:rPr>
              <w:t>岗位名称</w:t>
            </w:r>
          </w:p>
        </w:tc>
        <w:tc>
          <w:tcPr>
            <w:tcW w:w="3355" w:type="dxa"/>
            <w:vAlign w:val="top"/>
          </w:tcPr>
          <w:p>
            <w:pPr>
              <w:widowControl/>
              <w:snapToGrid w:val="0"/>
              <w:spacing w:before="156" w:beforeLines="50"/>
              <w:jc w:val="center"/>
              <w:rPr>
                <w:rFonts w:ascii="宋体" w:hAnsi="宋体" w:cs="仿宋_GB2312"/>
                <w:b/>
                <w:color w:val="000000"/>
                <w:kern w:val="0"/>
                <w:sz w:val="24"/>
              </w:rPr>
            </w:pPr>
            <w:r>
              <w:rPr>
                <w:rFonts w:hint="eastAsia" w:ascii="宋体" w:hAnsi="宋体" w:cs="仿宋_GB2312"/>
                <w:b/>
                <w:color w:val="000000"/>
                <w:kern w:val="0"/>
                <w:sz w:val="24"/>
              </w:rPr>
              <w:t>岗位人数</w:t>
            </w:r>
          </w:p>
        </w:tc>
        <w:tc>
          <w:tcPr>
            <w:tcW w:w="1559" w:type="dxa"/>
            <w:vMerge w:val="continue"/>
            <w:vAlign w:val="center"/>
          </w:tcPr>
          <w:p>
            <w:pPr>
              <w:widowControl/>
              <w:snapToGrid w:val="0"/>
              <w:spacing w:before="156" w:beforeLines="50"/>
              <w:jc w:val="center"/>
              <w:rPr>
                <w:rFonts w:ascii="宋体" w:hAnsi="宋体" w:cs="仿宋_GB2312"/>
                <w:color w:val="000000"/>
                <w:kern w:val="0"/>
                <w:sz w:val="24"/>
              </w:rPr>
            </w:pPr>
          </w:p>
        </w:tc>
      </w:tr>
      <w:tr>
        <w:tblPrEx>
          <w:tblLayout w:type="fixed"/>
          <w:tblCellMar>
            <w:top w:w="0" w:type="dxa"/>
            <w:left w:w="108" w:type="dxa"/>
            <w:bottom w:w="0" w:type="dxa"/>
            <w:right w:w="108" w:type="dxa"/>
          </w:tblCellMar>
        </w:tblPrEx>
        <w:trPr>
          <w:cantSplit/>
          <w:trHeight w:val="295" w:hRule="atLeast"/>
          <w:jc w:val="center"/>
        </w:trPr>
        <w:tc>
          <w:tcPr>
            <w:tcW w:w="1496" w:type="dxa"/>
            <w:vMerge w:val="restart"/>
            <w:vAlign w:val="center"/>
          </w:tcPr>
          <w:p>
            <w:pPr>
              <w:spacing w:before="156" w:beforeLines="50"/>
              <w:jc w:val="center"/>
              <w:rPr>
                <w:rFonts w:ascii="宋体" w:hAnsi="宋体" w:cs="仿宋_GB2312"/>
                <w:b/>
                <w:color w:val="000000"/>
                <w:sz w:val="24"/>
              </w:rPr>
            </w:pPr>
            <w:r>
              <w:rPr>
                <w:rFonts w:hint="eastAsia" w:ascii="宋体" w:hAnsi="宋体" w:cs="仿宋_GB2312"/>
                <w:b/>
                <w:color w:val="000000"/>
                <w:sz w:val="24"/>
              </w:rPr>
              <w:t>管理人员</w:t>
            </w:r>
          </w:p>
        </w:tc>
        <w:tc>
          <w:tcPr>
            <w:tcW w:w="3902" w:type="dxa"/>
            <w:vAlign w:val="center"/>
          </w:tcPr>
          <w:p>
            <w:pPr>
              <w:spacing w:before="156" w:beforeLines="50"/>
              <w:jc w:val="center"/>
              <w:rPr>
                <w:rFonts w:ascii="宋体" w:hAnsi="宋体" w:cs="仿宋_GB2312"/>
                <w:color w:val="000000"/>
                <w:sz w:val="24"/>
              </w:rPr>
            </w:pPr>
          </w:p>
        </w:tc>
        <w:tc>
          <w:tcPr>
            <w:tcW w:w="3355" w:type="dxa"/>
            <w:vAlign w:val="top"/>
          </w:tcPr>
          <w:p>
            <w:pPr>
              <w:widowControl/>
              <w:snapToGrid w:val="0"/>
              <w:spacing w:before="156" w:beforeLines="50"/>
              <w:jc w:val="center"/>
              <w:rPr>
                <w:rFonts w:ascii="宋体" w:hAnsi="宋体" w:cs="仿宋_GB2312"/>
                <w:color w:val="000000"/>
                <w:kern w:val="0"/>
                <w:sz w:val="24"/>
              </w:rPr>
            </w:pPr>
          </w:p>
        </w:tc>
        <w:tc>
          <w:tcPr>
            <w:tcW w:w="1559" w:type="dxa"/>
            <w:vAlign w:val="center"/>
          </w:tcPr>
          <w:p>
            <w:pPr>
              <w:widowControl/>
              <w:snapToGrid w:val="0"/>
              <w:spacing w:before="156" w:beforeLines="50"/>
              <w:jc w:val="center"/>
              <w:rPr>
                <w:rFonts w:ascii="宋体" w:hAnsi="宋体" w:cs="仿宋_GB2312"/>
                <w:color w:val="000000"/>
                <w:kern w:val="0"/>
                <w:sz w:val="24"/>
              </w:rPr>
            </w:pPr>
          </w:p>
        </w:tc>
      </w:tr>
      <w:tr>
        <w:tblPrEx>
          <w:tblLayout w:type="fixed"/>
          <w:tblCellMar>
            <w:top w:w="0" w:type="dxa"/>
            <w:left w:w="108" w:type="dxa"/>
            <w:bottom w:w="0" w:type="dxa"/>
            <w:right w:w="108" w:type="dxa"/>
          </w:tblCellMar>
        </w:tblPrEx>
        <w:trPr>
          <w:cantSplit/>
          <w:trHeight w:val="295" w:hRule="atLeast"/>
          <w:jc w:val="center"/>
        </w:trPr>
        <w:tc>
          <w:tcPr>
            <w:tcW w:w="1496" w:type="dxa"/>
            <w:vMerge w:val="continue"/>
            <w:vAlign w:val="center"/>
          </w:tcPr>
          <w:p>
            <w:pPr>
              <w:widowControl/>
              <w:snapToGrid w:val="0"/>
              <w:spacing w:before="156" w:beforeLines="50"/>
              <w:jc w:val="center"/>
              <w:rPr>
                <w:rFonts w:ascii="宋体" w:hAnsi="宋体" w:cs="仿宋_GB2312"/>
                <w:color w:val="000000"/>
                <w:kern w:val="0"/>
                <w:sz w:val="24"/>
              </w:rPr>
            </w:pPr>
          </w:p>
        </w:tc>
        <w:tc>
          <w:tcPr>
            <w:tcW w:w="3902" w:type="dxa"/>
            <w:vAlign w:val="center"/>
          </w:tcPr>
          <w:p>
            <w:pPr>
              <w:spacing w:before="156" w:beforeLines="50"/>
              <w:jc w:val="center"/>
              <w:rPr>
                <w:rFonts w:ascii="宋体" w:hAnsi="宋体" w:cs="仿宋_GB2312"/>
                <w:color w:val="000000"/>
                <w:sz w:val="24"/>
              </w:rPr>
            </w:pPr>
          </w:p>
        </w:tc>
        <w:tc>
          <w:tcPr>
            <w:tcW w:w="3355" w:type="dxa"/>
            <w:vAlign w:val="top"/>
          </w:tcPr>
          <w:p>
            <w:pPr>
              <w:widowControl/>
              <w:snapToGrid w:val="0"/>
              <w:spacing w:before="156" w:beforeLines="50"/>
              <w:jc w:val="center"/>
              <w:rPr>
                <w:rFonts w:ascii="宋体" w:hAnsi="宋体" w:cs="仿宋_GB2312"/>
                <w:color w:val="000000"/>
                <w:kern w:val="0"/>
                <w:sz w:val="24"/>
              </w:rPr>
            </w:pPr>
          </w:p>
        </w:tc>
        <w:tc>
          <w:tcPr>
            <w:tcW w:w="1559" w:type="dxa"/>
            <w:vAlign w:val="center"/>
          </w:tcPr>
          <w:p>
            <w:pPr>
              <w:widowControl/>
              <w:snapToGrid w:val="0"/>
              <w:spacing w:before="156" w:beforeLines="50"/>
              <w:jc w:val="center"/>
              <w:rPr>
                <w:rFonts w:ascii="宋体" w:hAnsi="宋体" w:cs="仿宋_GB2312"/>
                <w:color w:val="000000"/>
                <w:kern w:val="0"/>
                <w:sz w:val="24"/>
              </w:rPr>
            </w:pPr>
          </w:p>
        </w:tc>
      </w:tr>
      <w:tr>
        <w:tblPrEx>
          <w:tblLayout w:type="fixed"/>
          <w:tblCellMar>
            <w:top w:w="0" w:type="dxa"/>
            <w:left w:w="108" w:type="dxa"/>
            <w:bottom w:w="0" w:type="dxa"/>
            <w:right w:w="108" w:type="dxa"/>
          </w:tblCellMar>
        </w:tblPrEx>
        <w:trPr>
          <w:cantSplit/>
          <w:trHeight w:val="295" w:hRule="atLeast"/>
          <w:jc w:val="center"/>
        </w:trPr>
        <w:tc>
          <w:tcPr>
            <w:tcW w:w="1496" w:type="dxa"/>
            <w:vMerge w:val="continue"/>
            <w:vAlign w:val="center"/>
          </w:tcPr>
          <w:p>
            <w:pPr>
              <w:widowControl/>
              <w:snapToGrid w:val="0"/>
              <w:spacing w:before="156" w:beforeLines="50"/>
              <w:jc w:val="center"/>
              <w:rPr>
                <w:rFonts w:ascii="宋体" w:hAnsi="宋体" w:cs="仿宋_GB2312"/>
                <w:color w:val="000000"/>
                <w:kern w:val="0"/>
                <w:sz w:val="24"/>
              </w:rPr>
            </w:pPr>
          </w:p>
        </w:tc>
        <w:tc>
          <w:tcPr>
            <w:tcW w:w="3902" w:type="dxa"/>
            <w:vAlign w:val="center"/>
          </w:tcPr>
          <w:p>
            <w:pPr>
              <w:widowControl/>
              <w:snapToGrid w:val="0"/>
              <w:spacing w:before="156" w:beforeLines="50"/>
              <w:jc w:val="center"/>
              <w:rPr>
                <w:rFonts w:ascii="宋体" w:hAnsi="宋体" w:cs="仿宋_GB2312"/>
                <w:color w:val="000000"/>
                <w:kern w:val="0"/>
                <w:sz w:val="24"/>
              </w:rPr>
            </w:pPr>
            <w:r>
              <w:rPr>
                <w:rFonts w:hint="eastAsia" w:ascii="宋体" w:hAnsi="宋体" w:cs="仿宋_GB2312"/>
                <w:color w:val="000000"/>
                <w:kern w:val="0"/>
                <w:sz w:val="24"/>
              </w:rPr>
              <w:t>小计</w:t>
            </w:r>
          </w:p>
        </w:tc>
        <w:tc>
          <w:tcPr>
            <w:tcW w:w="3355" w:type="dxa"/>
            <w:vAlign w:val="top"/>
          </w:tcPr>
          <w:p>
            <w:pPr>
              <w:widowControl/>
              <w:snapToGrid w:val="0"/>
              <w:spacing w:before="156" w:beforeLines="50"/>
              <w:jc w:val="center"/>
              <w:rPr>
                <w:rFonts w:ascii="宋体" w:hAnsi="宋体" w:cs="仿宋_GB2312"/>
                <w:color w:val="000000"/>
                <w:kern w:val="0"/>
                <w:sz w:val="24"/>
              </w:rPr>
            </w:pPr>
          </w:p>
        </w:tc>
        <w:tc>
          <w:tcPr>
            <w:tcW w:w="1559" w:type="dxa"/>
            <w:vAlign w:val="center"/>
          </w:tcPr>
          <w:p>
            <w:pPr>
              <w:widowControl/>
              <w:snapToGrid w:val="0"/>
              <w:spacing w:before="156" w:beforeLines="50"/>
              <w:jc w:val="center"/>
              <w:rPr>
                <w:rFonts w:ascii="宋体" w:hAnsi="宋体" w:cs="仿宋_GB2312"/>
                <w:color w:val="000000"/>
                <w:kern w:val="0"/>
                <w:sz w:val="24"/>
              </w:rPr>
            </w:pPr>
          </w:p>
        </w:tc>
      </w:tr>
      <w:tr>
        <w:tblPrEx>
          <w:tblLayout w:type="fixed"/>
          <w:tblCellMar>
            <w:top w:w="0" w:type="dxa"/>
            <w:left w:w="108" w:type="dxa"/>
            <w:bottom w:w="0" w:type="dxa"/>
            <w:right w:w="108" w:type="dxa"/>
          </w:tblCellMar>
        </w:tblPrEx>
        <w:trPr>
          <w:cantSplit/>
          <w:trHeight w:val="295" w:hRule="atLeast"/>
          <w:jc w:val="center"/>
        </w:trPr>
        <w:tc>
          <w:tcPr>
            <w:tcW w:w="1496" w:type="dxa"/>
            <w:vMerge w:val="restart"/>
            <w:vAlign w:val="center"/>
          </w:tcPr>
          <w:p>
            <w:pPr>
              <w:spacing w:before="156" w:beforeLines="50"/>
              <w:jc w:val="center"/>
              <w:rPr>
                <w:rFonts w:ascii="宋体" w:hAnsi="宋体" w:cs="仿宋_GB2312"/>
                <w:color w:val="000000"/>
                <w:kern w:val="0"/>
                <w:sz w:val="24"/>
              </w:rPr>
            </w:pPr>
            <w:r>
              <w:rPr>
                <w:rFonts w:hint="eastAsia" w:ascii="宋体" w:hAnsi="宋体" w:cs="仿宋_GB2312"/>
                <w:b/>
                <w:color w:val="000000"/>
                <w:sz w:val="24"/>
              </w:rPr>
              <w:t>保洁</w:t>
            </w:r>
          </w:p>
        </w:tc>
        <w:tc>
          <w:tcPr>
            <w:tcW w:w="3902" w:type="dxa"/>
            <w:vAlign w:val="center"/>
          </w:tcPr>
          <w:p>
            <w:pPr>
              <w:spacing w:before="156" w:beforeLines="50"/>
              <w:jc w:val="center"/>
              <w:rPr>
                <w:rFonts w:ascii="宋体" w:hAnsi="宋体" w:cs="仿宋_GB2312"/>
                <w:color w:val="000000"/>
                <w:sz w:val="24"/>
              </w:rPr>
            </w:pPr>
          </w:p>
        </w:tc>
        <w:tc>
          <w:tcPr>
            <w:tcW w:w="3355" w:type="dxa"/>
            <w:vAlign w:val="top"/>
          </w:tcPr>
          <w:p>
            <w:pPr>
              <w:widowControl/>
              <w:snapToGrid w:val="0"/>
              <w:spacing w:before="156" w:beforeLines="50"/>
              <w:jc w:val="center"/>
              <w:rPr>
                <w:rFonts w:ascii="宋体" w:hAnsi="宋体" w:cs="仿宋_GB2312"/>
                <w:color w:val="000000"/>
                <w:kern w:val="0"/>
                <w:sz w:val="24"/>
              </w:rPr>
            </w:pPr>
          </w:p>
        </w:tc>
        <w:tc>
          <w:tcPr>
            <w:tcW w:w="1559" w:type="dxa"/>
            <w:vAlign w:val="center"/>
          </w:tcPr>
          <w:p>
            <w:pPr>
              <w:widowControl/>
              <w:snapToGrid w:val="0"/>
              <w:spacing w:before="156" w:beforeLines="50"/>
              <w:jc w:val="center"/>
              <w:rPr>
                <w:rFonts w:ascii="宋体" w:hAnsi="宋体" w:cs="仿宋_GB2312"/>
                <w:color w:val="000000"/>
                <w:kern w:val="0"/>
                <w:sz w:val="24"/>
              </w:rPr>
            </w:pPr>
          </w:p>
        </w:tc>
      </w:tr>
      <w:tr>
        <w:tblPrEx>
          <w:tblLayout w:type="fixed"/>
          <w:tblCellMar>
            <w:top w:w="0" w:type="dxa"/>
            <w:left w:w="108" w:type="dxa"/>
            <w:bottom w:w="0" w:type="dxa"/>
            <w:right w:w="108" w:type="dxa"/>
          </w:tblCellMar>
        </w:tblPrEx>
        <w:trPr>
          <w:cantSplit/>
          <w:trHeight w:val="295" w:hRule="atLeast"/>
          <w:jc w:val="center"/>
        </w:trPr>
        <w:tc>
          <w:tcPr>
            <w:tcW w:w="1496" w:type="dxa"/>
            <w:vMerge w:val="continue"/>
            <w:vAlign w:val="center"/>
          </w:tcPr>
          <w:p>
            <w:pPr>
              <w:widowControl/>
              <w:snapToGrid w:val="0"/>
              <w:spacing w:before="156" w:beforeLines="50"/>
              <w:jc w:val="center"/>
              <w:rPr>
                <w:rFonts w:ascii="宋体" w:hAnsi="宋体" w:cs="仿宋_GB2312"/>
                <w:color w:val="000000"/>
                <w:kern w:val="0"/>
                <w:sz w:val="24"/>
              </w:rPr>
            </w:pPr>
          </w:p>
        </w:tc>
        <w:tc>
          <w:tcPr>
            <w:tcW w:w="3902" w:type="dxa"/>
            <w:vAlign w:val="center"/>
          </w:tcPr>
          <w:p>
            <w:pPr>
              <w:spacing w:before="156" w:beforeLines="50"/>
              <w:jc w:val="center"/>
              <w:rPr>
                <w:rFonts w:ascii="宋体" w:hAnsi="宋体" w:cs="仿宋_GB2312"/>
                <w:color w:val="000000"/>
                <w:sz w:val="24"/>
              </w:rPr>
            </w:pPr>
          </w:p>
        </w:tc>
        <w:tc>
          <w:tcPr>
            <w:tcW w:w="3355" w:type="dxa"/>
            <w:vAlign w:val="top"/>
          </w:tcPr>
          <w:p>
            <w:pPr>
              <w:widowControl/>
              <w:snapToGrid w:val="0"/>
              <w:spacing w:before="156" w:beforeLines="50"/>
              <w:jc w:val="center"/>
              <w:rPr>
                <w:rFonts w:ascii="宋体" w:hAnsi="宋体" w:cs="仿宋_GB2312"/>
                <w:color w:val="000000"/>
                <w:kern w:val="0"/>
                <w:sz w:val="24"/>
              </w:rPr>
            </w:pPr>
          </w:p>
        </w:tc>
        <w:tc>
          <w:tcPr>
            <w:tcW w:w="1559" w:type="dxa"/>
            <w:vAlign w:val="center"/>
          </w:tcPr>
          <w:p>
            <w:pPr>
              <w:widowControl/>
              <w:snapToGrid w:val="0"/>
              <w:spacing w:before="156" w:beforeLines="50"/>
              <w:jc w:val="center"/>
              <w:rPr>
                <w:rFonts w:ascii="宋体" w:hAnsi="宋体" w:cs="仿宋_GB2312"/>
                <w:color w:val="000000"/>
                <w:kern w:val="0"/>
                <w:sz w:val="24"/>
              </w:rPr>
            </w:pPr>
          </w:p>
        </w:tc>
      </w:tr>
      <w:tr>
        <w:tblPrEx>
          <w:tblLayout w:type="fixed"/>
          <w:tblCellMar>
            <w:top w:w="0" w:type="dxa"/>
            <w:left w:w="108" w:type="dxa"/>
            <w:bottom w:w="0" w:type="dxa"/>
            <w:right w:w="108" w:type="dxa"/>
          </w:tblCellMar>
        </w:tblPrEx>
        <w:trPr>
          <w:cantSplit/>
          <w:trHeight w:val="295" w:hRule="atLeast"/>
          <w:jc w:val="center"/>
        </w:trPr>
        <w:tc>
          <w:tcPr>
            <w:tcW w:w="1496" w:type="dxa"/>
            <w:vMerge w:val="continue"/>
            <w:vAlign w:val="center"/>
          </w:tcPr>
          <w:p>
            <w:pPr>
              <w:widowControl/>
              <w:snapToGrid w:val="0"/>
              <w:spacing w:before="156" w:beforeLines="50"/>
              <w:jc w:val="center"/>
              <w:rPr>
                <w:rFonts w:ascii="宋体" w:hAnsi="宋体" w:cs="仿宋_GB2312"/>
                <w:color w:val="000000"/>
                <w:kern w:val="0"/>
                <w:sz w:val="24"/>
              </w:rPr>
            </w:pPr>
          </w:p>
        </w:tc>
        <w:tc>
          <w:tcPr>
            <w:tcW w:w="3902" w:type="dxa"/>
            <w:vAlign w:val="center"/>
          </w:tcPr>
          <w:p>
            <w:pPr>
              <w:spacing w:before="156" w:beforeLines="50"/>
              <w:jc w:val="center"/>
              <w:rPr>
                <w:rFonts w:ascii="宋体" w:hAnsi="宋体" w:cs="仿宋_GB2312"/>
                <w:color w:val="000000"/>
                <w:sz w:val="24"/>
              </w:rPr>
            </w:pPr>
            <w:r>
              <w:rPr>
                <w:rFonts w:hint="eastAsia" w:ascii="宋体" w:hAnsi="宋体" w:cs="仿宋_GB2312"/>
                <w:color w:val="000000"/>
                <w:kern w:val="0"/>
                <w:sz w:val="24"/>
              </w:rPr>
              <w:t>小计</w:t>
            </w:r>
          </w:p>
        </w:tc>
        <w:tc>
          <w:tcPr>
            <w:tcW w:w="3355" w:type="dxa"/>
            <w:vAlign w:val="top"/>
          </w:tcPr>
          <w:p>
            <w:pPr>
              <w:widowControl/>
              <w:snapToGrid w:val="0"/>
              <w:spacing w:before="156" w:beforeLines="50"/>
              <w:jc w:val="center"/>
              <w:rPr>
                <w:rFonts w:ascii="宋体" w:hAnsi="宋体" w:cs="仿宋_GB2312"/>
                <w:color w:val="000000"/>
                <w:kern w:val="0"/>
                <w:sz w:val="24"/>
              </w:rPr>
            </w:pPr>
          </w:p>
        </w:tc>
        <w:tc>
          <w:tcPr>
            <w:tcW w:w="1559" w:type="dxa"/>
            <w:vAlign w:val="center"/>
          </w:tcPr>
          <w:p>
            <w:pPr>
              <w:widowControl/>
              <w:snapToGrid w:val="0"/>
              <w:spacing w:before="156" w:beforeLines="50"/>
              <w:jc w:val="center"/>
              <w:rPr>
                <w:rFonts w:ascii="宋体" w:hAnsi="宋体" w:cs="仿宋_GB2312"/>
                <w:color w:val="000000"/>
                <w:kern w:val="0"/>
                <w:sz w:val="24"/>
              </w:rPr>
            </w:pPr>
          </w:p>
        </w:tc>
      </w:tr>
      <w:tr>
        <w:tblPrEx>
          <w:tblLayout w:type="fixed"/>
          <w:tblCellMar>
            <w:top w:w="0" w:type="dxa"/>
            <w:left w:w="108" w:type="dxa"/>
            <w:bottom w:w="0" w:type="dxa"/>
            <w:right w:w="108" w:type="dxa"/>
          </w:tblCellMar>
        </w:tblPrEx>
        <w:trPr>
          <w:cantSplit/>
          <w:trHeight w:val="295" w:hRule="atLeast"/>
          <w:jc w:val="center"/>
        </w:trPr>
        <w:tc>
          <w:tcPr>
            <w:tcW w:w="1496" w:type="dxa"/>
            <w:vMerge w:val="restart"/>
            <w:vAlign w:val="center"/>
          </w:tcPr>
          <w:p>
            <w:pPr>
              <w:spacing w:before="156" w:beforeLines="50"/>
              <w:jc w:val="center"/>
              <w:rPr>
                <w:rFonts w:ascii="宋体" w:hAnsi="宋体" w:cs="仿宋_GB2312"/>
                <w:color w:val="000000"/>
                <w:kern w:val="0"/>
                <w:sz w:val="24"/>
              </w:rPr>
            </w:pPr>
            <w:r>
              <w:rPr>
                <w:rFonts w:hint="eastAsia" w:ascii="宋体" w:hAnsi="宋体" w:cs="仿宋_GB2312"/>
                <w:b/>
                <w:color w:val="000000"/>
                <w:sz w:val="24"/>
              </w:rPr>
              <w:t>厨师</w:t>
            </w:r>
          </w:p>
        </w:tc>
        <w:tc>
          <w:tcPr>
            <w:tcW w:w="3902" w:type="dxa"/>
            <w:vAlign w:val="center"/>
          </w:tcPr>
          <w:p>
            <w:pPr>
              <w:spacing w:before="156" w:beforeLines="50"/>
              <w:jc w:val="center"/>
              <w:rPr>
                <w:rFonts w:ascii="宋体" w:hAnsi="宋体" w:cs="仿宋_GB2312"/>
                <w:color w:val="000000"/>
                <w:sz w:val="24"/>
              </w:rPr>
            </w:pPr>
          </w:p>
        </w:tc>
        <w:tc>
          <w:tcPr>
            <w:tcW w:w="3355" w:type="dxa"/>
            <w:vAlign w:val="top"/>
          </w:tcPr>
          <w:p>
            <w:pPr>
              <w:widowControl/>
              <w:snapToGrid w:val="0"/>
              <w:spacing w:before="156" w:beforeLines="50"/>
              <w:jc w:val="center"/>
              <w:rPr>
                <w:rFonts w:ascii="宋体" w:hAnsi="宋体" w:cs="仿宋_GB2312"/>
                <w:color w:val="000000"/>
                <w:kern w:val="0"/>
                <w:sz w:val="24"/>
              </w:rPr>
            </w:pPr>
          </w:p>
        </w:tc>
        <w:tc>
          <w:tcPr>
            <w:tcW w:w="1559" w:type="dxa"/>
            <w:vAlign w:val="center"/>
          </w:tcPr>
          <w:p>
            <w:pPr>
              <w:widowControl/>
              <w:snapToGrid w:val="0"/>
              <w:spacing w:before="156" w:beforeLines="50"/>
              <w:jc w:val="center"/>
              <w:rPr>
                <w:rFonts w:ascii="宋体" w:hAnsi="宋体" w:cs="仿宋_GB2312"/>
                <w:color w:val="000000"/>
                <w:kern w:val="0"/>
                <w:sz w:val="24"/>
              </w:rPr>
            </w:pPr>
          </w:p>
        </w:tc>
      </w:tr>
      <w:tr>
        <w:tblPrEx>
          <w:tblLayout w:type="fixed"/>
          <w:tblCellMar>
            <w:top w:w="0" w:type="dxa"/>
            <w:left w:w="108" w:type="dxa"/>
            <w:bottom w:w="0" w:type="dxa"/>
            <w:right w:w="108" w:type="dxa"/>
          </w:tblCellMar>
        </w:tblPrEx>
        <w:trPr>
          <w:cantSplit/>
          <w:trHeight w:val="295" w:hRule="atLeast"/>
          <w:jc w:val="center"/>
        </w:trPr>
        <w:tc>
          <w:tcPr>
            <w:tcW w:w="1496" w:type="dxa"/>
            <w:vMerge w:val="continue"/>
            <w:vAlign w:val="center"/>
          </w:tcPr>
          <w:p>
            <w:pPr>
              <w:widowControl/>
              <w:snapToGrid w:val="0"/>
              <w:spacing w:before="156" w:beforeLines="50"/>
              <w:jc w:val="center"/>
              <w:rPr>
                <w:rFonts w:ascii="宋体" w:hAnsi="宋体" w:cs="仿宋_GB2312"/>
                <w:color w:val="000000"/>
                <w:kern w:val="0"/>
                <w:sz w:val="24"/>
              </w:rPr>
            </w:pPr>
          </w:p>
        </w:tc>
        <w:tc>
          <w:tcPr>
            <w:tcW w:w="3902" w:type="dxa"/>
            <w:vAlign w:val="center"/>
          </w:tcPr>
          <w:p>
            <w:pPr>
              <w:spacing w:before="156" w:beforeLines="50"/>
              <w:jc w:val="center"/>
              <w:rPr>
                <w:rFonts w:ascii="宋体" w:hAnsi="宋体" w:cs="仿宋_GB2312"/>
                <w:color w:val="000000"/>
                <w:sz w:val="24"/>
              </w:rPr>
            </w:pPr>
          </w:p>
        </w:tc>
        <w:tc>
          <w:tcPr>
            <w:tcW w:w="3355" w:type="dxa"/>
            <w:vAlign w:val="top"/>
          </w:tcPr>
          <w:p>
            <w:pPr>
              <w:widowControl/>
              <w:snapToGrid w:val="0"/>
              <w:spacing w:before="156" w:beforeLines="50"/>
              <w:jc w:val="center"/>
              <w:rPr>
                <w:rFonts w:ascii="宋体" w:hAnsi="宋体" w:cs="仿宋_GB2312"/>
                <w:color w:val="000000"/>
                <w:kern w:val="0"/>
                <w:sz w:val="24"/>
              </w:rPr>
            </w:pPr>
          </w:p>
        </w:tc>
        <w:tc>
          <w:tcPr>
            <w:tcW w:w="1559" w:type="dxa"/>
            <w:vAlign w:val="center"/>
          </w:tcPr>
          <w:p>
            <w:pPr>
              <w:widowControl/>
              <w:snapToGrid w:val="0"/>
              <w:spacing w:before="156" w:beforeLines="50"/>
              <w:jc w:val="center"/>
              <w:rPr>
                <w:rFonts w:ascii="宋体" w:hAnsi="宋体" w:cs="仿宋_GB2312"/>
                <w:color w:val="000000"/>
                <w:kern w:val="0"/>
                <w:sz w:val="24"/>
              </w:rPr>
            </w:pPr>
          </w:p>
        </w:tc>
      </w:tr>
      <w:tr>
        <w:tblPrEx>
          <w:tblLayout w:type="fixed"/>
          <w:tblCellMar>
            <w:top w:w="0" w:type="dxa"/>
            <w:left w:w="108" w:type="dxa"/>
            <w:bottom w:w="0" w:type="dxa"/>
            <w:right w:w="108" w:type="dxa"/>
          </w:tblCellMar>
        </w:tblPrEx>
        <w:trPr>
          <w:cantSplit/>
          <w:trHeight w:val="295" w:hRule="atLeast"/>
          <w:jc w:val="center"/>
        </w:trPr>
        <w:tc>
          <w:tcPr>
            <w:tcW w:w="1496" w:type="dxa"/>
            <w:vMerge w:val="continue"/>
            <w:vAlign w:val="center"/>
          </w:tcPr>
          <w:p>
            <w:pPr>
              <w:widowControl/>
              <w:snapToGrid w:val="0"/>
              <w:spacing w:before="156" w:beforeLines="50"/>
              <w:jc w:val="center"/>
              <w:rPr>
                <w:rFonts w:ascii="宋体" w:hAnsi="宋体" w:cs="仿宋_GB2312"/>
                <w:color w:val="000000"/>
                <w:kern w:val="0"/>
                <w:sz w:val="24"/>
              </w:rPr>
            </w:pPr>
          </w:p>
        </w:tc>
        <w:tc>
          <w:tcPr>
            <w:tcW w:w="3902" w:type="dxa"/>
            <w:vAlign w:val="center"/>
          </w:tcPr>
          <w:p>
            <w:pPr>
              <w:spacing w:before="156" w:beforeLines="50"/>
              <w:jc w:val="center"/>
              <w:rPr>
                <w:rFonts w:ascii="宋体" w:hAnsi="宋体" w:cs="仿宋_GB2312"/>
                <w:color w:val="000000"/>
                <w:sz w:val="24"/>
              </w:rPr>
            </w:pPr>
            <w:r>
              <w:rPr>
                <w:rFonts w:hint="eastAsia" w:ascii="宋体" w:hAnsi="宋体" w:cs="仿宋_GB2312"/>
                <w:color w:val="000000"/>
                <w:kern w:val="0"/>
                <w:sz w:val="24"/>
              </w:rPr>
              <w:t>小计</w:t>
            </w:r>
          </w:p>
        </w:tc>
        <w:tc>
          <w:tcPr>
            <w:tcW w:w="3355" w:type="dxa"/>
            <w:vAlign w:val="top"/>
          </w:tcPr>
          <w:p>
            <w:pPr>
              <w:widowControl/>
              <w:snapToGrid w:val="0"/>
              <w:spacing w:before="156" w:beforeLines="50"/>
              <w:jc w:val="center"/>
              <w:rPr>
                <w:rFonts w:ascii="宋体" w:hAnsi="宋体" w:cs="仿宋_GB2312"/>
                <w:color w:val="000000"/>
                <w:kern w:val="0"/>
                <w:sz w:val="24"/>
              </w:rPr>
            </w:pPr>
          </w:p>
        </w:tc>
        <w:tc>
          <w:tcPr>
            <w:tcW w:w="1559" w:type="dxa"/>
            <w:vAlign w:val="center"/>
          </w:tcPr>
          <w:p>
            <w:pPr>
              <w:widowControl/>
              <w:snapToGrid w:val="0"/>
              <w:spacing w:before="156" w:beforeLines="50"/>
              <w:jc w:val="center"/>
              <w:rPr>
                <w:rFonts w:ascii="宋体" w:hAnsi="宋体" w:cs="仿宋_GB2312"/>
                <w:color w:val="000000"/>
                <w:kern w:val="0"/>
                <w:sz w:val="24"/>
              </w:rPr>
            </w:pPr>
          </w:p>
        </w:tc>
      </w:tr>
      <w:tr>
        <w:tblPrEx>
          <w:tblLayout w:type="fixed"/>
          <w:tblCellMar>
            <w:top w:w="0" w:type="dxa"/>
            <w:left w:w="108" w:type="dxa"/>
            <w:bottom w:w="0" w:type="dxa"/>
            <w:right w:w="108" w:type="dxa"/>
          </w:tblCellMar>
        </w:tblPrEx>
        <w:trPr>
          <w:cantSplit/>
          <w:trHeight w:val="295" w:hRule="atLeast"/>
          <w:jc w:val="center"/>
        </w:trPr>
        <w:tc>
          <w:tcPr>
            <w:tcW w:w="1496" w:type="dxa"/>
            <w:vMerge w:val="restart"/>
            <w:vAlign w:val="center"/>
          </w:tcPr>
          <w:p>
            <w:pPr>
              <w:widowControl/>
              <w:snapToGrid w:val="0"/>
              <w:spacing w:before="156" w:beforeLines="50"/>
              <w:jc w:val="center"/>
              <w:rPr>
                <w:rFonts w:ascii="宋体" w:hAnsi="宋体" w:cs="仿宋_GB2312"/>
                <w:color w:val="000000"/>
                <w:kern w:val="0"/>
                <w:sz w:val="24"/>
              </w:rPr>
            </w:pPr>
            <w:r>
              <w:rPr>
                <w:rFonts w:hint="eastAsia" w:ascii="宋体" w:hAnsi="宋体" w:cs="仿宋_GB2312"/>
                <w:b/>
                <w:color w:val="000000"/>
                <w:sz w:val="24"/>
              </w:rPr>
              <w:t>工程</w:t>
            </w:r>
          </w:p>
        </w:tc>
        <w:tc>
          <w:tcPr>
            <w:tcW w:w="3902" w:type="dxa"/>
            <w:vAlign w:val="center"/>
          </w:tcPr>
          <w:p>
            <w:pPr>
              <w:spacing w:before="156" w:beforeLines="50"/>
              <w:jc w:val="center"/>
              <w:rPr>
                <w:rFonts w:ascii="宋体" w:hAnsi="宋体" w:cs="仿宋_GB2312"/>
                <w:color w:val="000000"/>
                <w:kern w:val="0"/>
                <w:sz w:val="24"/>
              </w:rPr>
            </w:pPr>
          </w:p>
        </w:tc>
        <w:tc>
          <w:tcPr>
            <w:tcW w:w="3355" w:type="dxa"/>
            <w:vAlign w:val="top"/>
          </w:tcPr>
          <w:p>
            <w:pPr>
              <w:widowControl/>
              <w:snapToGrid w:val="0"/>
              <w:spacing w:before="156" w:beforeLines="50"/>
              <w:jc w:val="center"/>
              <w:rPr>
                <w:rFonts w:ascii="宋体" w:hAnsi="宋体" w:cs="仿宋_GB2312"/>
                <w:color w:val="000000"/>
                <w:kern w:val="0"/>
                <w:sz w:val="24"/>
              </w:rPr>
            </w:pPr>
          </w:p>
        </w:tc>
        <w:tc>
          <w:tcPr>
            <w:tcW w:w="1559" w:type="dxa"/>
            <w:vAlign w:val="center"/>
          </w:tcPr>
          <w:p>
            <w:pPr>
              <w:widowControl/>
              <w:snapToGrid w:val="0"/>
              <w:spacing w:before="156" w:beforeLines="50"/>
              <w:jc w:val="center"/>
              <w:rPr>
                <w:rFonts w:ascii="宋体" w:hAnsi="宋体" w:cs="仿宋_GB2312"/>
                <w:color w:val="000000"/>
                <w:kern w:val="0"/>
                <w:sz w:val="24"/>
              </w:rPr>
            </w:pPr>
          </w:p>
        </w:tc>
      </w:tr>
      <w:tr>
        <w:tblPrEx>
          <w:tblLayout w:type="fixed"/>
          <w:tblCellMar>
            <w:top w:w="0" w:type="dxa"/>
            <w:left w:w="108" w:type="dxa"/>
            <w:bottom w:w="0" w:type="dxa"/>
            <w:right w:w="108" w:type="dxa"/>
          </w:tblCellMar>
        </w:tblPrEx>
        <w:trPr>
          <w:cantSplit/>
          <w:trHeight w:val="295" w:hRule="atLeast"/>
          <w:jc w:val="center"/>
        </w:trPr>
        <w:tc>
          <w:tcPr>
            <w:tcW w:w="1496" w:type="dxa"/>
            <w:vMerge w:val="continue"/>
            <w:vAlign w:val="center"/>
          </w:tcPr>
          <w:p>
            <w:pPr>
              <w:widowControl/>
              <w:snapToGrid w:val="0"/>
              <w:spacing w:before="156" w:beforeLines="50"/>
              <w:jc w:val="center"/>
              <w:rPr>
                <w:rFonts w:ascii="宋体" w:hAnsi="宋体" w:cs="仿宋_GB2312"/>
                <w:color w:val="000000"/>
                <w:kern w:val="0"/>
                <w:sz w:val="24"/>
              </w:rPr>
            </w:pPr>
          </w:p>
        </w:tc>
        <w:tc>
          <w:tcPr>
            <w:tcW w:w="3902" w:type="dxa"/>
            <w:vAlign w:val="center"/>
          </w:tcPr>
          <w:p>
            <w:pPr>
              <w:spacing w:before="156" w:beforeLines="50"/>
              <w:jc w:val="center"/>
              <w:rPr>
                <w:rFonts w:ascii="宋体" w:hAnsi="宋体" w:cs="仿宋_GB2312"/>
                <w:color w:val="000000"/>
                <w:kern w:val="0"/>
                <w:sz w:val="24"/>
              </w:rPr>
            </w:pPr>
          </w:p>
        </w:tc>
        <w:tc>
          <w:tcPr>
            <w:tcW w:w="3355" w:type="dxa"/>
            <w:vAlign w:val="top"/>
          </w:tcPr>
          <w:p>
            <w:pPr>
              <w:widowControl/>
              <w:snapToGrid w:val="0"/>
              <w:spacing w:before="156" w:beforeLines="50"/>
              <w:jc w:val="center"/>
              <w:rPr>
                <w:rFonts w:ascii="宋体" w:hAnsi="宋体" w:cs="仿宋_GB2312"/>
                <w:color w:val="000000"/>
                <w:kern w:val="0"/>
                <w:sz w:val="24"/>
              </w:rPr>
            </w:pPr>
          </w:p>
        </w:tc>
        <w:tc>
          <w:tcPr>
            <w:tcW w:w="1559" w:type="dxa"/>
            <w:vAlign w:val="center"/>
          </w:tcPr>
          <w:p>
            <w:pPr>
              <w:widowControl/>
              <w:snapToGrid w:val="0"/>
              <w:spacing w:before="156" w:beforeLines="50"/>
              <w:jc w:val="center"/>
              <w:rPr>
                <w:rFonts w:ascii="宋体" w:hAnsi="宋体" w:cs="仿宋_GB2312"/>
                <w:color w:val="000000"/>
                <w:kern w:val="0"/>
                <w:sz w:val="24"/>
              </w:rPr>
            </w:pPr>
          </w:p>
        </w:tc>
      </w:tr>
      <w:tr>
        <w:tblPrEx>
          <w:tblLayout w:type="fixed"/>
          <w:tblCellMar>
            <w:top w:w="0" w:type="dxa"/>
            <w:left w:w="108" w:type="dxa"/>
            <w:bottom w:w="0" w:type="dxa"/>
            <w:right w:w="108" w:type="dxa"/>
          </w:tblCellMar>
        </w:tblPrEx>
        <w:trPr>
          <w:cantSplit/>
          <w:trHeight w:val="295" w:hRule="atLeast"/>
          <w:jc w:val="center"/>
        </w:trPr>
        <w:tc>
          <w:tcPr>
            <w:tcW w:w="1496" w:type="dxa"/>
            <w:vMerge w:val="continue"/>
            <w:vAlign w:val="center"/>
          </w:tcPr>
          <w:p>
            <w:pPr>
              <w:widowControl/>
              <w:snapToGrid w:val="0"/>
              <w:spacing w:before="156" w:beforeLines="50"/>
              <w:jc w:val="center"/>
              <w:rPr>
                <w:rFonts w:ascii="宋体" w:hAnsi="宋体" w:cs="仿宋_GB2312"/>
                <w:color w:val="000000"/>
                <w:kern w:val="0"/>
                <w:sz w:val="24"/>
              </w:rPr>
            </w:pPr>
          </w:p>
        </w:tc>
        <w:tc>
          <w:tcPr>
            <w:tcW w:w="3902" w:type="dxa"/>
            <w:vAlign w:val="center"/>
          </w:tcPr>
          <w:p>
            <w:pPr>
              <w:spacing w:before="156" w:beforeLines="50"/>
              <w:jc w:val="center"/>
              <w:rPr>
                <w:rFonts w:ascii="宋体" w:hAnsi="宋体" w:cs="仿宋_GB2312"/>
                <w:color w:val="000000"/>
                <w:kern w:val="0"/>
                <w:sz w:val="24"/>
              </w:rPr>
            </w:pPr>
            <w:r>
              <w:rPr>
                <w:rFonts w:hint="eastAsia" w:ascii="宋体" w:hAnsi="宋体" w:cs="仿宋_GB2312"/>
                <w:color w:val="000000"/>
                <w:kern w:val="0"/>
                <w:sz w:val="24"/>
              </w:rPr>
              <w:t>小计</w:t>
            </w:r>
          </w:p>
        </w:tc>
        <w:tc>
          <w:tcPr>
            <w:tcW w:w="3355" w:type="dxa"/>
            <w:vAlign w:val="top"/>
          </w:tcPr>
          <w:p>
            <w:pPr>
              <w:widowControl/>
              <w:snapToGrid w:val="0"/>
              <w:spacing w:before="156" w:beforeLines="50"/>
              <w:jc w:val="center"/>
              <w:rPr>
                <w:rFonts w:ascii="宋体" w:hAnsi="宋体" w:cs="仿宋_GB2312"/>
                <w:color w:val="000000"/>
                <w:kern w:val="0"/>
                <w:sz w:val="24"/>
              </w:rPr>
            </w:pPr>
          </w:p>
        </w:tc>
        <w:tc>
          <w:tcPr>
            <w:tcW w:w="1559" w:type="dxa"/>
            <w:vAlign w:val="center"/>
          </w:tcPr>
          <w:p>
            <w:pPr>
              <w:widowControl/>
              <w:snapToGrid w:val="0"/>
              <w:spacing w:before="156" w:beforeLines="50"/>
              <w:jc w:val="center"/>
              <w:rPr>
                <w:rFonts w:ascii="宋体" w:hAnsi="宋体" w:cs="仿宋_GB2312"/>
                <w:color w:val="000000"/>
                <w:kern w:val="0"/>
                <w:sz w:val="24"/>
              </w:rPr>
            </w:pPr>
          </w:p>
        </w:tc>
      </w:tr>
      <w:tr>
        <w:tblPrEx>
          <w:tblLayout w:type="fixed"/>
          <w:tblCellMar>
            <w:top w:w="0" w:type="dxa"/>
            <w:left w:w="108" w:type="dxa"/>
            <w:bottom w:w="0" w:type="dxa"/>
            <w:right w:w="108" w:type="dxa"/>
          </w:tblCellMar>
        </w:tblPrEx>
        <w:trPr>
          <w:cantSplit/>
          <w:trHeight w:val="295" w:hRule="atLeast"/>
          <w:jc w:val="center"/>
        </w:trPr>
        <w:tc>
          <w:tcPr>
            <w:tcW w:w="1496" w:type="dxa"/>
            <w:vAlign w:val="center"/>
          </w:tcPr>
          <w:p>
            <w:pPr>
              <w:widowControl/>
              <w:snapToGrid w:val="0"/>
              <w:spacing w:before="156" w:beforeLines="50"/>
              <w:jc w:val="center"/>
              <w:rPr>
                <w:rFonts w:ascii="宋体" w:hAnsi="宋体" w:cs="仿宋_GB2312"/>
                <w:b/>
                <w:color w:val="000000"/>
                <w:kern w:val="0"/>
                <w:sz w:val="24"/>
              </w:rPr>
            </w:pPr>
            <w:r>
              <w:rPr>
                <w:rFonts w:hint="eastAsia" w:ascii="宋体" w:hAnsi="宋体" w:cs="仿宋_GB2312"/>
                <w:b/>
                <w:color w:val="000000"/>
                <w:kern w:val="0"/>
                <w:sz w:val="24"/>
              </w:rPr>
              <w:t>合计</w:t>
            </w:r>
          </w:p>
        </w:tc>
        <w:tc>
          <w:tcPr>
            <w:tcW w:w="3902" w:type="dxa"/>
            <w:vAlign w:val="center"/>
          </w:tcPr>
          <w:p>
            <w:pPr>
              <w:widowControl/>
              <w:snapToGrid w:val="0"/>
              <w:spacing w:before="156" w:beforeLines="50"/>
              <w:jc w:val="center"/>
              <w:rPr>
                <w:rFonts w:ascii="宋体" w:hAnsi="宋体" w:cs="仿宋_GB2312"/>
                <w:color w:val="000000"/>
                <w:kern w:val="0"/>
                <w:sz w:val="24"/>
              </w:rPr>
            </w:pPr>
          </w:p>
        </w:tc>
        <w:tc>
          <w:tcPr>
            <w:tcW w:w="3355" w:type="dxa"/>
            <w:vAlign w:val="top"/>
          </w:tcPr>
          <w:p>
            <w:pPr>
              <w:widowControl/>
              <w:snapToGrid w:val="0"/>
              <w:spacing w:before="156" w:beforeLines="50"/>
              <w:jc w:val="center"/>
              <w:rPr>
                <w:rFonts w:ascii="宋体" w:hAnsi="宋体" w:cs="仿宋_GB2312"/>
                <w:color w:val="000000"/>
                <w:kern w:val="0"/>
                <w:sz w:val="24"/>
              </w:rPr>
            </w:pPr>
          </w:p>
        </w:tc>
        <w:tc>
          <w:tcPr>
            <w:tcW w:w="1559" w:type="dxa"/>
            <w:vAlign w:val="center"/>
          </w:tcPr>
          <w:p>
            <w:pPr>
              <w:widowControl/>
              <w:snapToGrid w:val="0"/>
              <w:spacing w:before="156" w:beforeLines="50"/>
              <w:jc w:val="center"/>
              <w:rPr>
                <w:rFonts w:ascii="宋体" w:hAnsi="宋体" w:cs="仿宋_GB2312"/>
                <w:color w:val="000000"/>
                <w:kern w:val="0"/>
                <w:sz w:val="24"/>
              </w:rPr>
            </w:pPr>
          </w:p>
        </w:tc>
      </w:tr>
    </w:tbl>
    <w:p>
      <w:pPr>
        <w:tabs>
          <w:tab w:val="left" w:pos="0"/>
          <w:tab w:val="left" w:pos="720"/>
          <w:tab w:val="left" w:pos="1440"/>
          <w:tab w:val="left" w:pos="2160"/>
          <w:tab w:val="left" w:pos="2880"/>
          <w:tab w:val="left" w:pos="3600"/>
          <w:tab w:val="left" w:pos="4320"/>
        </w:tabs>
        <w:autoSpaceDE w:val="0"/>
        <w:autoSpaceDN w:val="0"/>
        <w:ind w:right="-256" w:rightChars="-122"/>
        <w:rPr>
          <w:rFonts w:ascii="宋体" w:hAnsi="宋体" w:cs="仿宋_GB2312"/>
          <w:b/>
          <w:bCs/>
          <w:color w:val="000000"/>
          <w:sz w:val="24"/>
        </w:rPr>
      </w:pPr>
      <w:r>
        <w:rPr>
          <w:rFonts w:hint="eastAsia" w:ascii="宋体" w:hAnsi="宋体" w:cs="仿宋_GB2312"/>
          <w:b/>
          <w:bCs/>
          <w:color w:val="000000"/>
          <w:spacing w:val="-4"/>
          <w:sz w:val="24"/>
        </w:rPr>
        <w:t>注：</w:t>
      </w:r>
      <w:r>
        <w:rPr>
          <w:rFonts w:hint="eastAsia" w:ascii="宋体" w:hAnsi="宋体" w:cs="仿宋_GB2312"/>
          <w:b/>
          <w:bCs/>
          <w:color w:val="000000"/>
          <w:sz w:val="24"/>
        </w:rPr>
        <w:t>本表可以按相同格式扩展。</w:t>
      </w:r>
    </w:p>
    <w:p>
      <w:pPr>
        <w:tabs>
          <w:tab w:val="left" w:pos="0"/>
          <w:tab w:val="left" w:pos="720"/>
          <w:tab w:val="left" w:pos="1440"/>
          <w:tab w:val="left" w:pos="2160"/>
          <w:tab w:val="left" w:pos="2880"/>
          <w:tab w:val="left" w:pos="3600"/>
          <w:tab w:val="left" w:pos="4320"/>
        </w:tabs>
        <w:autoSpaceDE w:val="0"/>
        <w:autoSpaceDN w:val="0"/>
        <w:ind w:right="-256" w:rightChars="-122"/>
        <w:rPr>
          <w:rFonts w:ascii="宋体" w:hAnsi="宋体" w:cs="仿宋_GB2312"/>
          <w:color w:val="000000"/>
          <w:sz w:val="24"/>
        </w:rPr>
      </w:pPr>
    </w:p>
    <w:p>
      <w:pPr>
        <w:widowControl/>
        <w:ind w:left="4788" w:leftChars="2280"/>
        <w:jc w:val="left"/>
        <w:rPr>
          <w:rFonts w:ascii="宋体" w:hAnsi="宋体" w:cs="宋体"/>
          <w:b/>
          <w:color w:val="000000"/>
          <w:kern w:val="0"/>
          <w:sz w:val="24"/>
        </w:rPr>
      </w:pPr>
      <w:bookmarkStart w:id="37" w:name="_Ref517695815"/>
    </w:p>
    <w:p>
      <w:pPr>
        <w:snapToGrid w:val="0"/>
        <w:spacing w:line="500" w:lineRule="exact"/>
        <w:rPr>
          <w:rFonts w:ascii="宋体" w:hAnsi="宋体"/>
          <w:b/>
          <w:color w:val="000000"/>
          <w:sz w:val="28"/>
          <w:szCs w:val="28"/>
        </w:rPr>
      </w:pPr>
      <w:r>
        <w:rPr>
          <w:rFonts w:hint="eastAsia" w:ascii="宋体" w:hAnsi="宋体"/>
          <w:color w:val="000000"/>
          <w:sz w:val="24"/>
          <w:lang w:eastAsia="zh-CN"/>
        </w:rPr>
        <w:t>投标人</w:t>
      </w:r>
      <w:r>
        <w:rPr>
          <w:rFonts w:hint="eastAsia" w:ascii="宋体" w:hAnsi="宋体"/>
          <w:color w:val="000000"/>
          <w:sz w:val="24"/>
        </w:rPr>
        <w:t>（公章）：                   法定代表人或被授权人（</w:t>
      </w:r>
      <w:r>
        <w:rPr>
          <w:rFonts w:hint="eastAsia" w:ascii="宋体" w:hAnsi="宋体"/>
          <w:color w:val="000000"/>
          <w:sz w:val="24"/>
          <w:lang w:eastAsia="zh-CN"/>
        </w:rPr>
        <w:t>数字签章</w:t>
      </w:r>
      <w:r>
        <w:rPr>
          <w:rFonts w:hint="eastAsia" w:ascii="宋体" w:hAnsi="宋体"/>
          <w:color w:val="000000"/>
          <w:sz w:val="24"/>
        </w:rPr>
        <w:t>）：</w:t>
      </w:r>
    </w:p>
    <w:p>
      <w:pPr>
        <w:pStyle w:val="2"/>
        <w:rPr>
          <w:rFonts w:hint="default"/>
          <w:color w:val="000000"/>
        </w:rPr>
      </w:pPr>
    </w:p>
    <w:p>
      <w:pPr>
        <w:pStyle w:val="2"/>
        <w:rPr>
          <w:rFonts w:hint="default"/>
          <w:color w:val="000000"/>
        </w:rPr>
      </w:pPr>
    </w:p>
    <w:p>
      <w:pPr>
        <w:tabs>
          <w:tab w:val="left" w:pos="0"/>
          <w:tab w:val="left" w:pos="720"/>
          <w:tab w:val="left" w:pos="1440"/>
          <w:tab w:val="left" w:pos="2160"/>
          <w:tab w:val="left" w:pos="2880"/>
          <w:tab w:val="left" w:pos="3600"/>
          <w:tab w:val="left" w:pos="4320"/>
        </w:tabs>
        <w:autoSpaceDE w:val="0"/>
        <w:autoSpaceDN w:val="0"/>
        <w:ind w:right="-256" w:rightChars="-122"/>
        <w:jc w:val="right"/>
        <w:rPr>
          <w:rFonts w:ascii="宋体" w:hAnsi="宋体" w:cs="仿宋_GB2312"/>
          <w:color w:val="000000"/>
          <w:szCs w:val="21"/>
        </w:rPr>
      </w:pPr>
    </w:p>
    <w:p>
      <w:pPr>
        <w:pStyle w:val="2"/>
        <w:rPr>
          <w:rFonts w:hint="default"/>
          <w:color w:val="000000"/>
        </w:rPr>
      </w:pPr>
    </w:p>
    <w:p>
      <w:pPr>
        <w:tabs>
          <w:tab w:val="left" w:pos="0"/>
          <w:tab w:val="left" w:pos="720"/>
          <w:tab w:val="left" w:pos="1440"/>
          <w:tab w:val="left" w:pos="2160"/>
          <w:tab w:val="left" w:pos="2880"/>
          <w:tab w:val="left" w:pos="3600"/>
          <w:tab w:val="left" w:pos="4320"/>
        </w:tabs>
        <w:autoSpaceDE w:val="0"/>
        <w:autoSpaceDN w:val="0"/>
        <w:ind w:right="-256" w:rightChars="-122"/>
        <w:jc w:val="right"/>
        <w:rPr>
          <w:rFonts w:ascii="宋体" w:hAnsi="宋体" w:cs="仿宋_GB2312"/>
          <w:color w:val="000000"/>
          <w:szCs w:val="21"/>
        </w:rPr>
      </w:pPr>
    </w:p>
    <w:p>
      <w:pPr>
        <w:tabs>
          <w:tab w:val="left" w:pos="0"/>
          <w:tab w:val="left" w:pos="720"/>
          <w:tab w:val="left" w:pos="1440"/>
          <w:tab w:val="left" w:pos="2160"/>
          <w:tab w:val="left" w:pos="2880"/>
          <w:tab w:val="left" w:pos="3600"/>
          <w:tab w:val="left" w:pos="4320"/>
        </w:tabs>
        <w:autoSpaceDE w:val="0"/>
        <w:autoSpaceDN w:val="0"/>
        <w:ind w:right="-256" w:rightChars="-122"/>
        <w:jc w:val="right"/>
        <w:rPr>
          <w:rFonts w:ascii="宋体" w:hAnsi="宋体" w:cs="仿宋_GB2312"/>
          <w:color w:val="000000"/>
          <w:szCs w:val="21"/>
        </w:rPr>
      </w:pPr>
    </w:p>
    <w:p>
      <w:pPr>
        <w:tabs>
          <w:tab w:val="left" w:pos="0"/>
          <w:tab w:val="left" w:pos="720"/>
          <w:tab w:val="left" w:pos="1440"/>
          <w:tab w:val="left" w:pos="2160"/>
          <w:tab w:val="left" w:pos="2880"/>
          <w:tab w:val="left" w:pos="3600"/>
          <w:tab w:val="left" w:pos="4320"/>
        </w:tabs>
        <w:autoSpaceDE w:val="0"/>
        <w:autoSpaceDN w:val="0"/>
        <w:ind w:right="-256" w:rightChars="-122"/>
        <w:jc w:val="right"/>
        <w:rPr>
          <w:rFonts w:ascii="宋体" w:hAnsi="宋体" w:cs="仿宋_GB2312"/>
          <w:color w:val="000000"/>
          <w:szCs w:val="21"/>
        </w:rPr>
      </w:pPr>
    </w:p>
    <w:p>
      <w:pPr>
        <w:tabs>
          <w:tab w:val="left" w:pos="0"/>
          <w:tab w:val="left" w:pos="720"/>
          <w:tab w:val="left" w:pos="1440"/>
          <w:tab w:val="left" w:pos="2160"/>
          <w:tab w:val="left" w:pos="2880"/>
          <w:tab w:val="left" w:pos="3600"/>
          <w:tab w:val="left" w:pos="4320"/>
        </w:tabs>
        <w:autoSpaceDE w:val="0"/>
        <w:autoSpaceDN w:val="0"/>
        <w:ind w:right="-256" w:rightChars="-122"/>
        <w:jc w:val="right"/>
        <w:rPr>
          <w:rFonts w:ascii="宋体" w:hAnsi="宋体" w:cs="仿宋_GB2312"/>
          <w:color w:val="000000"/>
          <w:szCs w:val="21"/>
        </w:rPr>
      </w:pPr>
    </w:p>
    <w:p>
      <w:pPr>
        <w:tabs>
          <w:tab w:val="left" w:pos="0"/>
          <w:tab w:val="left" w:pos="720"/>
          <w:tab w:val="left" w:pos="1440"/>
          <w:tab w:val="left" w:pos="2160"/>
          <w:tab w:val="left" w:pos="2880"/>
          <w:tab w:val="left" w:pos="3600"/>
          <w:tab w:val="left" w:pos="4320"/>
        </w:tabs>
        <w:autoSpaceDE w:val="0"/>
        <w:autoSpaceDN w:val="0"/>
        <w:ind w:right="-256" w:rightChars="-122"/>
        <w:jc w:val="right"/>
        <w:rPr>
          <w:rFonts w:ascii="宋体" w:hAnsi="宋体" w:cs="仿宋_GB2312"/>
          <w:color w:val="000000"/>
          <w:szCs w:val="21"/>
        </w:rPr>
      </w:pPr>
    </w:p>
    <w:p>
      <w:pPr>
        <w:tabs>
          <w:tab w:val="left" w:pos="0"/>
          <w:tab w:val="left" w:pos="720"/>
          <w:tab w:val="left" w:pos="1440"/>
          <w:tab w:val="left" w:pos="2160"/>
          <w:tab w:val="left" w:pos="2880"/>
          <w:tab w:val="left" w:pos="3600"/>
          <w:tab w:val="left" w:pos="4320"/>
        </w:tabs>
        <w:autoSpaceDE w:val="0"/>
        <w:autoSpaceDN w:val="0"/>
        <w:ind w:right="-256" w:rightChars="-122"/>
        <w:rPr>
          <w:rFonts w:ascii="宋体" w:hAnsi="宋体" w:cs="仿宋_GB2312"/>
          <w:color w:val="000000"/>
          <w:szCs w:val="21"/>
        </w:rPr>
      </w:pPr>
    </w:p>
    <w:bookmarkEnd w:id="37"/>
    <w:p>
      <w:pPr>
        <w:keepNext/>
        <w:keepLines/>
        <w:spacing w:before="20" w:after="20" w:line="500" w:lineRule="exact"/>
        <w:jc w:val="left"/>
        <w:outlineLvl w:val="1"/>
        <w:rPr>
          <w:rFonts w:ascii="宋体" w:hAnsi="宋体"/>
          <w:b/>
          <w:color w:val="000000"/>
          <w:sz w:val="28"/>
          <w:szCs w:val="28"/>
        </w:rPr>
      </w:pPr>
      <w:r>
        <w:rPr>
          <w:rFonts w:hint="eastAsia" w:ascii="宋体" w:hAnsi="宋体"/>
          <w:b/>
          <w:color w:val="000000"/>
          <w:sz w:val="28"/>
          <w:szCs w:val="28"/>
          <w:lang w:val="en-US" w:eastAsia="zh-CN"/>
        </w:rPr>
        <w:t xml:space="preserve">5. </w:t>
      </w:r>
      <w:r>
        <w:rPr>
          <w:rFonts w:hint="eastAsia" w:ascii="宋体" w:hAnsi="宋体"/>
          <w:b/>
          <w:color w:val="000000"/>
          <w:sz w:val="28"/>
          <w:szCs w:val="28"/>
        </w:rPr>
        <w:t>餐饮管理运行全过程成本测算及成本费用分析表</w:t>
      </w:r>
    </w:p>
    <w:p>
      <w:pPr>
        <w:kinsoku w:val="0"/>
        <w:spacing w:line="500" w:lineRule="exact"/>
        <w:ind w:firstLine="120" w:firstLineChars="50"/>
        <w:rPr>
          <w:rFonts w:ascii="宋体" w:hAnsi="宋体"/>
          <w:color w:val="000000"/>
          <w:sz w:val="24"/>
        </w:rPr>
      </w:pPr>
      <w:r>
        <w:rPr>
          <w:rFonts w:hint="eastAsia" w:ascii="宋体" w:hAnsi="宋体"/>
          <w:color w:val="000000"/>
          <w:sz w:val="24"/>
        </w:rPr>
        <w:t xml:space="preserve">项目名称：                                                 </w:t>
      </w:r>
    </w:p>
    <w:p>
      <w:pPr>
        <w:kinsoku w:val="0"/>
        <w:spacing w:line="500" w:lineRule="exact"/>
        <w:ind w:firstLine="120" w:firstLineChars="50"/>
        <w:rPr>
          <w:rFonts w:ascii="宋体" w:hAnsi="宋体"/>
          <w:color w:val="000000"/>
          <w:sz w:val="24"/>
        </w:rPr>
      </w:pPr>
      <w:r>
        <w:rPr>
          <w:rFonts w:hint="eastAsia" w:ascii="宋体" w:hAnsi="宋体"/>
          <w:color w:val="000000"/>
          <w:sz w:val="24"/>
        </w:rPr>
        <w:t>项目编号：</w:t>
      </w:r>
    </w:p>
    <w:p>
      <w:pPr>
        <w:kinsoku w:val="0"/>
        <w:spacing w:line="500" w:lineRule="exact"/>
        <w:ind w:firstLine="120" w:firstLineChars="50"/>
        <w:rPr>
          <w:color w:val="000000"/>
        </w:rPr>
      </w:pPr>
      <w:r>
        <w:rPr>
          <w:rFonts w:hint="eastAsia" w:ascii="宋体" w:hAnsi="宋体"/>
          <w:color w:val="000000"/>
          <w:sz w:val="24"/>
          <w:lang w:eastAsia="zh-CN"/>
        </w:rPr>
        <w:t>投标人</w:t>
      </w:r>
      <w:r>
        <w:rPr>
          <w:rFonts w:hint="eastAsia" w:ascii="宋体" w:hAnsi="宋体"/>
          <w:color w:val="000000"/>
          <w:sz w:val="24"/>
        </w:rPr>
        <w:t>：</w:t>
      </w:r>
    </w:p>
    <w:tbl>
      <w:tblPr>
        <w:tblStyle w:val="19"/>
        <w:tblW w:w="82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7"/>
        <w:gridCol w:w="3361"/>
        <w:gridCol w:w="2765"/>
      </w:tblGrid>
      <w:tr>
        <w:tblPrEx>
          <w:tblLayout w:type="fixed"/>
          <w:tblCellMar>
            <w:top w:w="0" w:type="dxa"/>
            <w:left w:w="108" w:type="dxa"/>
            <w:bottom w:w="0" w:type="dxa"/>
            <w:right w:w="108" w:type="dxa"/>
          </w:tblCellMar>
        </w:tblPrEx>
        <w:tc>
          <w:tcPr>
            <w:tcW w:w="216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4"/>
              </w:rPr>
            </w:pPr>
            <w:bookmarkStart w:id="38" w:name="_Ref517695812"/>
            <w:r>
              <w:rPr>
                <w:rFonts w:hint="eastAsia" w:ascii="宋体" w:hAnsi="宋体"/>
                <w:color w:val="000000"/>
                <w:sz w:val="24"/>
              </w:rPr>
              <w:t>内容</w:t>
            </w:r>
          </w:p>
        </w:tc>
        <w:tc>
          <w:tcPr>
            <w:tcW w:w="3361"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4"/>
              </w:rPr>
            </w:pPr>
            <w:r>
              <w:rPr>
                <w:rFonts w:hint="eastAsia" w:ascii="宋体" w:hAnsi="宋体"/>
                <w:color w:val="000000"/>
                <w:sz w:val="24"/>
              </w:rPr>
              <w:t>包含项目</w:t>
            </w:r>
          </w:p>
        </w:tc>
        <w:tc>
          <w:tcPr>
            <w:tcW w:w="2765"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4"/>
              </w:rPr>
            </w:pPr>
            <w:r>
              <w:rPr>
                <w:rFonts w:hint="eastAsia" w:ascii="宋体" w:hAnsi="宋体"/>
                <w:color w:val="000000"/>
                <w:sz w:val="24"/>
              </w:rPr>
              <w:t>费用占比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67" w:type="dxa"/>
            <w:vMerge w:val="restart"/>
            <w:tcBorders>
              <w:top w:val="single" w:color="auto" w:sz="4" w:space="0"/>
              <w:left w:val="single" w:color="auto" w:sz="4" w:space="0"/>
              <w:right w:val="single" w:color="auto" w:sz="4" w:space="0"/>
            </w:tcBorders>
            <w:vAlign w:val="center"/>
          </w:tcPr>
          <w:p>
            <w:pPr>
              <w:spacing w:line="540" w:lineRule="exact"/>
              <w:jc w:val="center"/>
              <w:rPr>
                <w:rFonts w:ascii="宋体" w:hAnsi="宋体"/>
                <w:color w:val="000000"/>
                <w:sz w:val="24"/>
              </w:rPr>
            </w:pPr>
            <w:r>
              <w:rPr>
                <w:rFonts w:hint="eastAsia" w:ascii="宋体" w:hAnsi="宋体"/>
                <w:color w:val="000000"/>
                <w:sz w:val="24"/>
                <w:lang w:val="en-US" w:eastAsia="zh-CN"/>
              </w:rPr>
              <w:t>直接成本</w:t>
            </w:r>
          </w:p>
        </w:tc>
        <w:tc>
          <w:tcPr>
            <w:tcW w:w="3361" w:type="dxa"/>
            <w:tcBorders>
              <w:top w:val="single" w:color="auto" w:sz="4" w:space="0"/>
              <w:left w:val="single" w:color="auto" w:sz="4" w:space="0"/>
              <w:bottom w:val="single" w:color="auto" w:sz="4" w:space="0"/>
              <w:right w:val="single" w:color="auto" w:sz="4" w:space="0"/>
            </w:tcBorders>
            <w:vAlign w:val="top"/>
          </w:tcPr>
          <w:p>
            <w:pPr>
              <w:spacing w:line="540" w:lineRule="exact"/>
              <w:rPr>
                <w:rFonts w:ascii="宋体" w:hAnsi="宋体"/>
                <w:color w:val="000000"/>
                <w:sz w:val="24"/>
              </w:rPr>
            </w:pPr>
            <w:r>
              <w:rPr>
                <w:rFonts w:hint="eastAsia" w:ascii="宋体" w:hAnsi="宋体"/>
                <w:color w:val="000000"/>
                <w:sz w:val="24"/>
              </w:rPr>
              <w:t>原材料费</w:t>
            </w:r>
          </w:p>
        </w:tc>
        <w:tc>
          <w:tcPr>
            <w:tcW w:w="2765" w:type="dxa"/>
            <w:tcBorders>
              <w:top w:val="single" w:color="auto" w:sz="4" w:space="0"/>
              <w:left w:val="single" w:color="auto" w:sz="4" w:space="0"/>
              <w:bottom w:val="single" w:color="auto" w:sz="4" w:space="0"/>
              <w:right w:val="single" w:color="auto" w:sz="4" w:space="0"/>
            </w:tcBorders>
            <w:vAlign w:val="top"/>
          </w:tcPr>
          <w:p>
            <w:pPr>
              <w:spacing w:line="540" w:lineRule="exact"/>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67" w:type="dxa"/>
            <w:vMerge w:val="continue"/>
            <w:tcBorders>
              <w:left w:val="single" w:color="auto" w:sz="4" w:space="0"/>
              <w:bottom w:val="single" w:color="auto" w:sz="4" w:space="0"/>
              <w:right w:val="single" w:color="auto" w:sz="4" w:space="0"/>
            </w:tcBorders>
            <w:vAlign w:val="top"/>
          </w:tcPr>
          <w:p>
            <w:pPr>
              <w:spacing w:line="540" w:lineRule="exact"/>
              <w:jc w:val="center"/>
              <w:rPr>
                <w:rFonts w:ascii="宋体" w:hAnsi="宋体"/>
                <w:color w:val="000000"/>
                <w:sz w:val="24"/>
              </w:rPr>
            </w:pPr>
          </w:p>
        </w:tc>
        <w:tc>
          <w:tcPr>
            <w:tcW w:w="3361" w:type="dxa"/>
            <w:tcBorders>
              <w:top w:val="single" w:color="auto" w:sz="4" w:space="0"/>
              <w:left w:val="single" w:color="auto" w:sz="4" w:space="0"/>
              <w:bottom w:val="single" w:color="auto" w:sz="4" w:space="0"/>
              <w:right w:val="single" w:color="auto" w:sz="4" w:space="0"/>
            </w:tcBorders>
            <w:vAlign w:val="top"/>
          </w:tcPr>
          <w:p>
            <w:pPr>
              <w:spacing w:line="540" w:lineRule="exact"/>
              <w:rPr>
                <w:rFonts w:hint="default" w:ascii="宋体" w:hAnsi="宋体" w:eastAsia="宋体"/>
                <w:color w:val="000000"/>
                <w:sz w:val="24"/>
                <w:lang w:val="en-US" w:eastAsia="zh-CN"/>
              </w:rPr>
            </w:pPr>
            <w:r>
              <w:rPr>
                <w:rFonts w:hint="eastAsia" w:ascii="宋体" w:hAnsi="宋体"/>
                <w:color w:val="000000"/>
                <w:sz w:val="24"/>
                <w:lang w:val="en-US" w:eastAsia="zh-CN"/>
              </w:rPr>
              <w:t>水电气费</w:t>
            </w:r>
          </w:p>
        </w:tc>
        <w:tc>
          <w:tcPr>
            <w:tcW w:w="2765" w:type="dxa"/>
            <w:tcBorders>
              <w:top w:val="single" w:color="auto" w:sz="4" w:space="0"/>
              <w:left w:val="single" w:color="auto" w:sz="4" w:space="0"/>
              <w:bottom w:val="single" w:color="auto" w:sz="4" w:space="0"/>
              <w:right w:val="single" w:color="auto" w:sz="4" w:space="0"/>
            </w:tcBorders>
            <w:vAlign w:val="top"/>
          </w:tcPr>
          <w:p>
            <w:pPr>
              <w:spacing w:line="540" w:lineRule="exact"/>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eastAsia" w:ascii="宋体" w:hAnsi="宋体"/>
                <w:color w:val="000000"/>
                <w:sz w:val="24"/>
              </w:rPr>
            </w:pPr>
            <w:r>
              <w:rPr>
                <w:rFonts w:hint="eastAsia" w:ascii="宋体" w:hAnsi="宋体"/>
                <w:color w:val="000000"/>
                <w:sz w:val="24"/>
              </w:rPr>
              <w:t>毛利润</w:t>
            </w:r>
          </w:p>
        </w:tc>
        <w:tc>
          <w:tcPr>
            <w:tcW w:w="2765" w:type="dxa"/>
            <w:tcBorders>
              <w:top w:val="single" w:color="auto" w:sz="4" w:space="0"/>
              <w:left w:val="single" w:color="auto" w:sz="4" w:space="0"/>
              <w:bottom w:val="single" w:color="auto" w:sz="4" w:space="0"/>
              <w:right w:val="single" w:color="auto" w:sz="4" w:space="0"/>
            </w:tcBorders>
            <w:vAlign w:val="top"/>
          </w:tcPr>
          <w:p>
            <w:pPr>
              <w:spacing w:line="540" w:lineRule="exact"/>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67" w:type="dxa"/>
            <w:vMerge w:val="restart"/>
            <w:tcBorders>
              <w:top w:val="single" w:color="auto" w:sz="4" w:space="0"/>
              <w:left w:val="single" w:color="auto" w:sz="4" w:space="0"/>
              <w:right w:val="single" w:color="auto" w:sz="4" w:space="0"/>
            </w:tcBorders>
            <w:vAlign w:val="center"/>
          </w:tcPr>
          <w:p>
            <w:pPr>
              <w:spacing w:line="54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间接成本</w:t>
            </w:r>
          </w:p>
        </w:tc>
        <w:tc>
          <w:tcPr>
            <w:tcW w:w="3361" w:type="dxa"/>
            <w:tcBorders>
              <w:top w:val="single" w:color="auto" w:sz="4" w:space="0"/>
              <w:left w:val="single" w:color="auto" w:sz="4" w:space="0"/>
              <w:bottom w:val="single" w:color="auto" w:sz="4" w:space="0"/>
              <w:right w:val="single" w:color="auto" w:sz="4" w:space="0"/>
            </w:tcBorders>
            <w:vAlign w:val="top"/>
          </w:tcPr>
          <w:p>
            <w:pPr>
              <w:spacing w:line="540" w:lineRule="exact"/>
              <w:rPr>
                <w:rFonts w:ascii="宋体" w:hAnsi="宋体"/>
                <w:color w:val="000000"/>
                <w:sz w:val="24"/>
              </w:rPr>
            </w:pPr>
            <w:r>
              <w:rPr>
                <w:rFonts w:hint="eastAsia" w:ascii="宋体" w:hAnsi="宋体"/>
                <w:color w:val="000000"/>
                <w:sz w:val="24"/>
              </w:rPr>
              <w:t>设备</w:t>
            </w:r>
            <w:r>
              <w:rPr>
                <w:rFonts w:hint="eastAsia" w:ascii="宋体" w:hAnsi="宋体"/>
                <w:color w:val="000000"/>
                <w:sz w:val="24"/>
                <w:lang w:val="en-US" w:eastAsia="zh-CN"/>
              </w:rPr>
              <w:t>使用</w:t>
            </w:r>
            <w:r>
              <w:rPr>
                <w:rFonts w:hint="eastAsia" w:ascii="宋体" w:hAnsi="宋体"/>
                <w:color w:val="000000"/>
                <w:sz w:val="24"/>
              </w:rPr>
              <w:t>费</w:t>
            </w:r>
          </w:p>
        </w:tc>
        <w:tc>
          <w:tcPr>
            <w:tcW w:w="2765" w:type="dxa"/>
            <w:tcBorders>
              <w:top w:val="single" w:color="auto" w:sz="4" w:space="0"/>
              <w:left w:val="single" w:color="auto" w:sz="4" w:space="0"/>
              <w:bottom w:val="single" w:color="auto" w:sz="4" w:space="0"/>
              <w:right w:val="single" w:color="auto" w:sz="4" w:space="0"/>
            </w:tcBorders>
            <w:vAlign w:val="top"/>
          </w:tcPr>
          <w:p>
            <w:pPr>
              <w:spacing w:line="540" w:lineRule="exact"/>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67" w:type="dxa"/>
            <w:vMerge w:val="continue"/>
            <w:tcBorders>
              <w:left w:val="single" w:color="auto" w:sz="4" w:space="0"/>
              <w:right w:val="single" w:color="auto" w:sz="4" w:space="0"/>
            </w:tcBorders>
            <w:vAlign w:val="top"/>
          </w:tcPr>
          <w:p>
            <w:pPr>
              <w:spacing w:line="540" w:lineRule="exact"/>
              <w:jc w:val="center"/>
              <w:rPr>
                <w:rFonts w:ascii="宋体" w:hAnsi="宋体"/>
                <w:color w:val="000000"/>
                <w:sz w:val="24"/>
              </w:rPr>
            </w:pPr>
          </w:p>
        </w:tc>
        <w:tc>
          <w:tcPr>
            <w:tcW w:w="3361" w:type="dxa"/>
            <w:tcBorders>
              <w:top w:val="single" w:color="auto" w:sz="4" w:space="0"/>
              <w:left w:val="single" w:color="auto" w:sz="4" w:space="0"/>
              <w:bottom w:val="single" w:color="auto" w:sz="4" w:space="0"/>
              <w:right w:val="single" w:color="auto" w:sz="4" w:space="0"/>
            </w:tcBorders>
            <w:vAlign w:val="top"/>
          </w:tcPr>
          <w:p>
            <w:pPr>
              <w:spacing w:line="540" w:lineRule="exact"/>
              <w:rPr>
                <w:rFonts w:ascii="宋体" w:hAnsi="宋体"/>
                <w:color w:val="000000"/>
                <w:sz w:val="24"/>
              </w:rPr>
            </w:pPr>
            <w:r>
              <w:rPr>
                <w:rFonts w:hint="eastAsia" w:ascii="宋体" w:hAnsi="宋体"/>
                <w:color w:val="000000"/>
                <w:sz w:val="24"/>
              </w:rPr>
              <w:t>人员费</w:t>
            </w:r>
          </w:p>
        </w:tc>
        <w:tc>
          <w:tcPr>
            <w:tcW w:w="2765" w:type="dxa"/>
            <w:tcBorders>
              <w:top w:val="single" w:color="auto" w:sz="4" w:space="0"/>
              <w:left w:val="single" w:color="auto" w:sz="4" w:space="0"/>
              <w:bottom w:val="single" w:color="auto" w:sz="4" w:space="0"/>
              <w:right w:val="single" w:color="auto" w:sz="4" w:space="0"/>
            </w:tcBorders>
            <w:vAlign w:val="top"/>
          </w:tcPr>
          <w:p>
            <w:pPr>
              <w:spacing w:line="540" w:lineRule="exact"/>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67" w:type="dxa"/>
            <w:vMerge w:val="continue"/>
            <w:tcBorders>
              <w:left w:val="single" w:color="auto" w:sz="4" w:space="0"/>
              <w:right w:val="single" w:color="auto" w:sz="4" w:space="0"/>
            </w:tcBorders>
            <w:vAlign w:val="top"/>
          </w:tcPr>
          <w:p>
            <w:pPr>
              <w:spacing w:line="540" w:lineRule="exact"/>
              <w:jc w:val="center"/>
              <w:rPr>
                <w:rFonts w:ascii="宋体" w:hAnsi="宋体"/>
                <w:color w:val="000000"/>
                <w:sz w:val="24"/>
              </w:rPr>
            </w:pPr>
          </w:p>
        </w:tc>
        <w:tc>
          <w:tcPr>
            <w:tcW w:w="3361" w:type="dxa"/>
            <w:tcBorders>
              <w:top w:val="single" w:color="auto" w:sz="4" w:space="0"/>
              <w:left w:val="single" w:color="auto" w:sz="4" w:space="0"/>
              <w:bottom w:val="single" w:color="auto" w:sz="4" w:space="0"/>
              <w:right w:val="single" w:color="auto" w:sz="4" w:space="0"/>
            </w:tcBorders>
            <w:vAlign w:val="top"/>
          </w:tcPr>
          <w:p>
            <w:pPr>
              <w:spacing w:line="540" w:lineRule="exact"/>
              <w:rPr>
                <w:rFonts w:ascii="宋体" w:hAnsi="宋体"/>
                <w:color w:val="000000"/>
                <w:sz w:val="24"/>
              </w:rPr>
            </w:pPr>
            <w:r>
              <w:rPr>
                <w:rFonts w:hint="eastAsia" w:ascii="宋体" w:hAnsi="宋体"/>
                <w:color w:val="000000"/>
                <w:sz w:val="24"/>
              </w:rPr>
              <w:t>办公费</w:t>
            </w:r>
          </w:p>
        </w:tc>
        <w:tc>
          <w:tcPr>
            <w:tcW w:w="2765" w:type="dxa"/>
            <w:tcBorders>
              <w:top w:val="single" w:color="auto" w:sz="4" w:space="0"/>
              <w:left w:val="single" w:color="auto" w:sz="4" w:space="0"/>
              <w:bottom w:val="single" w:color="auto" w:sz="4" w:space="0"/>
              <w:right w:val="single" w:color="auto" w:sz="4" w:space="0"/>
            </w:tcBorders>
            <w:vAlign w:val="top"/>
          </w:tcPr>
          <w:p>
            <w:pPr>
              <w:spacing w:line="540" w:lineRule="exact"/>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67" w:type="dxa"/>
            <w:vMerge w:val="continue"/>
            <w:tcBorders>
              <w:left w:val="single" w:color="auto" w:sz="4" w:space="0"/>
              <w:right w:val="single" w:color="auto" w:sz="4" w:space="0"/>
            </w:tcBorders>
            <w:vAlign w:val="top"/>
          </w:tcPr>
          <w:p>
            <w:pPr>
              <w:spacing w:line="540" w:lineRule="exact"/>
              <w:jc w:val="center"/>
              <w:rPr>
                <w:rFonts w:ascii="宋体" w:hAnsi="宋体"/>
                <w:color w:val="000000"/>
                <w:sz w:val="24"/>
              </w:rPr>
            </w:pPr>
          </w:p>
        </w:tc>
        <w:tc>
          <w:tcPr>
            <w:tcW w:w="3361" w:type="dxa"/>
            <w:tcBorders>
              <w:top w:val="single" w:color="auto" w:sz="4" w:space="0"/>
              <w:left w:val="single" w:color="auto" w:sz="4" w:space="0"/>
              <w:bottom w:val="single" w:color="auto" w:sz="4" w:space="0"/>
              <w:right w:val="single" w:color="auto" w:sz="4" w:space="0"/>
            </w:tcBorders>
            <w:vAlign w:val="top"/>
          </w:tcPr>
          <w:p>
            <w:pPr>
              <w:spacing w:line="540" w:lineRule="exact"/>
              <w:rPr>
                <w:rFonts w:ascii="宋体" w:hAnsi="宋体"/>
                <w:color w:val="000000"/>
                <w:sz w:val="24"/>
              </w:rPr>
            </w:pPr>
            <w:r>
              <w:rPr>
                <w:rFonts w:hint="eastAsia" w:ascii="宋体" w:hAnsi="宋体"/>
                <w:color w:val="000000"/>
                <w:sz w:val="24"/>
              </w:rPr>
              <w:t>维修费</w:t>
            </w:r>
          </w:p>
        </w:tc>
        <w:tc>
          <w:tcPr>
            <w:tcW w:w="2765" w:type="dxa"/>
            <w:tcBorders>
              <w:top w:val="single" w:color="auto" w:sz="4" w:space="0"/>
              <w:left w:val="single" w:color="auto" w:sz="4" w:space="0"/>
              <w:bottom w:val="single" w:color="auto" w:sz="4" w:space="0"/>
              <w:right w:val="single" w:color="auto" w:sz="4" w:space="0"/>
            </w:tcBorders>
            <w:vAlign w:val="top"/>
          </w:tcPr>
          <w:p>
            <w:pPr>
              <w:spacing w:line="540" w:lineRule="exact"/>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67" w:type="dxa"/>
            <w:vMerge w:val="continue"/>
            <w:tcBorders>
              <w:left w:val="single" w:color="auto" w:sz="4" w:space="0"/>
              <w:bottom w:val="single" w:color="auto" w:sz="4" w:space="0"/>
              <w:right w:val="single" w:color="auto" w:sz="4" w:space="0"/>
            </w:tcBorders>
            <w:vAlign w:val="top"/>
          </w:tcPr>
          <w:p>
            <w:pPr>
              <w:spacing w:line="540" w:lineRule="exact"/>
              <w:jc w:val="center"/>
              <w:rPr>
                <w:rFonts w:ascii="宋体" w:hAnsi="宋体"/>
                <w:color w:val="000000"/>
                <w:sz w:val="24"/>
              </w:rPr>
            </w:pPr>
          </w:p>
        </w:tc>
        <w:tc>
          <w:tcPr>
            <w:tcW w:w="3361" w:type="dxa"/>
            <w:tcBorders>
              <w:top w:val="single" w:color="auto" w:sz="4" w:space="0"/>
              <w:left w:val="single" w:color="auto" w:sz="4" w:space="0"/>
              <w:bottom w:val="single" w:color="auto" w:sz="4" w:space="0"/>
              <w:right w:val="single" w:color="auto" w:sz="4" w:space="0"/>
            </w:tcBorders>
            <w:vAlign w:val="top"/>
          </w:tcPr>
          <w:p>
            <w:pPr>
              <w:spacing w:line="540" w:lineRule="exact"/>
              <w:rPr>
                <w:rFonts w:ascii="宋体" w:hAnsi="宋体"/>
                <w:color w:val="000000"/>
                <w:sz w:val="24"/>
              </w:rPr>
            </w:pPr>
            <w:r>
              <w:rPr>
                <w:rFonts w:hint="eastAsia" w:ascii="宋体" w:hAnsi="宋体"/>
                <w:color w:val="000000"/>
                <w:sz w:val="24"/>
              </w:rPr>
              <w:t>规费（五险一金等相关规费）</w:t>
            </w:r>
          </w:p>
        </w:tc>
        <w:tc>
          <w:tcPr>
            <w:tcW w:w="2765" w:type="dxa"/>
            <w:tcBorders>
              <w:top w:val="single" w:color="auto" w:sz="4" w:space="0"/>
              <w:left w:val="single" w:color="auto" w:sz="4" w:space="0"/>
              <w:bottom w:val="single" w:color="auto" w:sz="4" w:space="0"/>
              <w:right w:val="single" w:color="auto" w:sz="4" w:space="0"/>
            </w:tcBorders>
            <w:vAlign w:val="top"/>
          </w:tcPr>
          <w:p>
            <w:pPr>
              <w:spacing w:line="540" w:lineRule="exact"/>
              <w:rPr>
                <w:rFonts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528"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宋体" w:hAnsi="宋体"/>
                <w:color w:val="000000"/>
                <w:sz w:val="24"/>
              </w:rPr>
            </w:pPr>
            <w:r>
              <w:rPr>
                <w:rFonts w:hint="eastAsia" w:ascii="宋体" w:hAnsi="宋体"/>
                <w:color w:val="000000"/>
                <w:sz w:val="24"/>
              </w:rPr>
              <w:t>净利润</w:t>
            </w:r>
          </w:p>
        </w:tc>
        <w:tc>
          <w:tcPr>
            <w:tcW w:w="2765" w:type="dxa"/>
            <w:tcBorders>
              <w:top w:val="single" w:color="auto" w:sz="4" w:space="0"/>
              <w:left w:val="single" w:color="auto" w:sz="4" w:space="0"/>
              <w:bottom w:val="single" w:color="auto" w:sz="4" w:space="0"/>
              <w:right w:val="single" w:color="auto" w:sz="4" w:space="0"/>
            </w:tcBorders>
            <w:vAlign w:val="top"/>
          </w:tcPr>
          <w:p>
            <w:pPr>
              <w:spacing w:line="540" w:lineRule="exact"/>
              <w:rPr>
                <w:rFonts w:ascii="宋体" w:hAnsi="宋体"/>
                <w:color w:val="000000"/>
                <w:sz w:val="24"/>
              </w:rPr>
            </w:pPr>
          </w:p>
        </w:tc>
      </w:tr>
    </w:tbl>
    <w:p>
      <w:pPr>
        <w:pStyle w:val="2"/>
        <w:rPr>
          <w:rFonts w:hint="default" w:ascii="宋体" w:hAnsi="宋体" w:eastAsia="宋体" w:cs="宋体"/>
          <w:color w:val="000000"/>
        </w:rPr>
      </w:pPr>
      <w:r>
        <w:rPr>
          <w:rFonts w:ascii="宋体" w:hAnsi="宋体" w:cs="仿宋_GB2312"/>
          <w:color w:val="000000"/>
          <w:sz w:val="24"/>
        </w:rPr>
        <w:t>备注：第一招标期中标方需提供2021年度成本核算表及证明文件。其余</w:t>
      </w:r>
      <w:r>
        <w:rPr>
          <w:rFonts w:hint="eastAsia" w:ascii="宋体" w:hAnsi="宋体" w:cs="仿宋_GB2312"/>
          <w:color w:val="000000"/>
          <w:sz w:val="24"/>
          <w:lang w:eastAsia="zh-CN"/>
        </w:rPr>
        <w:t>投标人</w:t>
      </w:r>
      <w:r>
        <w:rPr>
          <w:rFonts w:ascii="宋体" w:hAnsi="宋体" w:cs="仿宋_GB2312"/>
          <w:color w:val="000000"/>
          <w:sz w:val="24"/>
        </w:rPr>
        <w:t>提供经营本项目的成本核算表。</w:t>
      </w:r>
      <w:r>
        <w:rPr>
          <w:rFonts w:hint="eastAsia" w:ascii="宋体" w:hAnsi="宋体" w:cs="仿宋_GB2312"/>
          <w:color w:val="000000"/>
          <w:sz w:val="24"/>
          <w:lang w:val="en-US" w:eastAsia="zh-CN"/>
        </w:rPr>
        <w:t>此表可根据实际同格式拓展</w:t>
      </w:r>
      <w:r>
        <w:rPr>
          <w:rFonts w:ascii="宋体" w:hAnsi="宋体" w:cs="仿宋_GB2312"/>
          <w:color w:val="000000"/>
          <w:sz w:val="24"/>
        </w:rPr>
        <w:t>。</w:t>
      </w:r>
    </w:p>
    <w:p>
      <w:pPr>
        <w:widowControl/>
        <w:jc w:val="left"/>
        <w:rPr>
          <w:rFonts w:ascii="宋体" w:hAnsi="宋体" w:cs="仿宋_GB2312"/>
          <w:color w:val="000000"/>
          <w:sz w:val="24"/>
        </w:rPr>
      </w:pPr>
    </w:p>
    <w:bookmarkEnd w:id="38"/>
    <w:p>
      <w:pPr>
        <w:rPr>
          <w:color w:val="000000"/>
          <w:sz w:val="24"/>
        </w:rPr>
      </w:pPr>
    </w:p>
    <w:p>
      <w:pPr>
        <w:widowControl/>
        <w:jc w:val="left"/>
        <w:rPr>
          <w:rFonts w:ascii="仿宋" w:hAnsi="仿宋" w:eastAsia="仿宋" w:cs="仿宋"/>
          <w:b/>
          <w:color w:val="000000"/>
          <w:kern w:val="0"/>
          <w:sz w:val="30"/>
          <w:szCs w:val="30"/>
        </w:rPr>
      </w:pPr>
    </w:p>
    <w:p>
      <w:pPr>
        <w:snapToGrid w:val="0"/>
        <w:spacing w:line="500" w:lineRule="exact"/>
        <w:rPr>
          <w:rFonts w:ascii="宋体" w:hAnsi="宋体"/>
          <w:b/>
          <w:color w:val="000000"/>
          <w:sz w:val="28"/>
          <w:szCs w:val="28"/>
        </w:rPr>
      </w:pPr>
      <w:r>
        <w:rPr>
          <w:rFonts w:hint="eastAsia" w:ascii="宋体" w:hAnsi="宋体"/>
          <w:color w:val="000000"/>
          <w:sz w:val="24"/>
          <w:lang w:eastAsia="zh-CN"/>
        </w:rPr>
        <w:t>投标人</w:t>
      </w:r>
      <w:r>
        <w:rPr>
          <w:rFonts w:hint="eastAsia" w:ascii="宋体" w:hAnsi="宋体"/>
          <w:color w:val="000000"/>
          <w:sz w:val="24"/>
        </w:rPr>
        <w:t>（公章）：                   法定代表人或被授权人（</w:t>
      </w:r>
      <w:r>
        <w:rPr>
          <w:rFonts w:hint="eastAsia" w:ascii="宋体" w:hAnsi="宋体"/>
          <w:color w:val="000000"/>
          <w:sz w:val="24"/>
          <w:lang w:eastAsia="zh-CN"/>
        </w:rPr>
        <w:t>数字签章</w:t>
      </w:r>
      <w:r>
        <w:rPr>
          <w:rFonts w:hint="eastAsia" w:ascii="宋体" w:hAnsi="宋体"/>
          <w:color w:val="000000"/>
          <w:sz w:val="24"/>
        </w:rPr>
        <w:t>）：</w:t>
      </w:r>
    </w:p>
    <w:p>
      <w:pPr>
        <w:pStyle w:val="2"/>
        <w:rPr>
          <w:rFonts w:hint="default"/>
          <w:color w:val="000000"/>
        </w:rPr>
      </w:pPr>
    </w:p>
    <w:p>
      <w:pPr>
        <w:widowControl/>
        <w:jc w:val="left"/>
        <w:rPr>
          <w:rFonts w:ascii="仿宋" w:hAnsi="仿宋" w:eastAsia="仿宋" w:cs="仿宋"/>
          <w:b/>
          <w:color w:val="000000"/>
          <w:kern w:val="0"/>
          <w:sz w:val="30"/>
          <w:szCs w:val="30"/>
        </w:rPr>
      </w:pPr>
    </w:p>
    <w:p>
      <w:pPr>
        <w:widowControl/>
        <w:jc w:val="left"/>
        <w:rPr>
          <w:rFonts w:ascii="仿宋" w:hAnsi="仿宋" w:eastAsia="仿宋" w:cs="仿宋"/>
          <w:b/>
          <w:color w:val="000000"/>
          <w:kern w:val="0"/>
          <w:sz w:val="30"/>
          <w:szCs w:val="30"/>
        </w:rPr>
      </w:pPr>
    </w:p>
    <w:p>
      <w:pPr>
        <w:widowControl/>
        <w:jc w:val="left"/>
        <w:rPr>
          <w:rFonts w:ascii="仿宋" w:hAnsi="仿宋" w:eastAsia="仿宋" w:cs="仿宋"/>
          <w:b/>
          <w:color w:val="000000"/>
          <w:kern w:val="0"/>
          <w:sz w:val="30"/>
          <w:szCs w:val="30"/>
        </w:rPr>
      </w:pPr>
    </w:p>
    <w:p>
      <w:pPr>
        <w:widowControl/>
        <w:jc w:val="left"/>
        <w:rPr>
          <w:rFonts w:ascii="仿宋" w:hAnsi="仿宋" w:eastAsia="仿宋" w:cs="仿宋"/>
          <w:b/>
          <w:color w:val="000000"/>
          <w:kern w:val="0"/>
          <w:sz w:val="30"/>
          <w:szCs w:val="30"/>
        </w:rPr>
      </w:pPr>
    </w:p>
    <w:p>
      <w:pPr>
        <w:widowControl/>
        <w:jc w:val="left"/>
        <w:rPr>
          <w:rFonts w:ascii="仿宋" w:hAnsi="仿宋" w:eastAsia="仿宋" w:cs="仿宋"/>
          <w:b/>
          <w:color w:val="000000"/>
          <w:kern w:val="0"/>
          <w:sz w:val="30"/>
          <w:szCs w:val="30"/>
        </w:rPr>
      </w:pPr>
    </w:p>
    <w:p>
      <w:pPr>
        <w:pStyle w:val="2"/>
      </w:pPr>
    </w:p>
    <w:p>
      <w:pPr>
        <w:spacing w:line="360" w:lineRule="auto"/>
        <w:contextualSpacing/>
        <w:rPr>
          <w:rFonts w:ascii="宋体" w:hAnsi="宋体"/>
          <w:b/>
          <w:color w:val="000000"/>
          <w:sz w:val="28"/>
          <w:szCs w:val="28"/>
        </w:rPr>
      </w:pPr>
      <w:r>
        <w:rPr>
          <w:rFonts w:hint="eastAsia" w:ascii="宋体" w:hAnsi="宋体"/>
          <w:b/>
          <w:color w:val="000000"/>
          <w:sz w:val="28"/>
          <w:szCs w:val="28"/>
          <w:lang w:val="en-US" w:eastAsia="zh-CN"/>
        </w:rPr>
        <w:t xml:space="preserve">6. </w:t>
      </w:r>
      <w:r>
        <w:rPr>
          <w:rFonts w:hint="eastAsia" w:ascii="宋体" w:hAnsi="宋体"/>
          <w:b/>
          <w:color w:val="000000"/>
          <w:sz w:val="28"/>
          <w:szCs w:val="28"/>
        </w:rPr>
        <w:t>技术方案：</w:t>
      </w:r>
      <w:r>
        <w:rPr>
          <w:rFonts w:hint="eastAsia" w:ascii="宋体" w:hAnsi="宋体"/>
          <w:b/>
          <w:color w:val="000000"/>
          <w:sz w:val="28"/>
          <w:szCs w:val="28"/>
          <w:lang w:eastAsia="zh-CN"/>
        </w:rPr>
        <w:t>投标人</w:t>
      </w:r>
      <w:r>
        <w:rPr>
          <w:rFonts w:hint="eastAsia" w:ascii="宋体" w:hAnsi="宋体"/>
          <w:b/>
          <w:color w:val="000000"/>
          <w:sz w:val="28"/>
          <w:szCs w:val="28"/>
        </w:rPr>
        <w:t>根据</w:t>
      </w:r>
      <w:r>
        <w:rPr>
          <w:rFonts w:hint="eastAsia" w:ascii="宋体" w:hAnsi="宋体"/>
          <w:b/>
          <w:color w:val="000000"/>
          <w:sz w:val="28"/>
          <w:szCs w:val="28"/>
          <w:lang w:eastAsia="zh-CN"/>
        </w:rPr>
        <w:t>本</w:t>
      </w:r>
      <w:r>
        <w:rPr>
          <w:rFonts w:hint="eastAsia" w:ascii="宋体" w:hAnsi="宋体"/>
          <w:b/>
          <w:color w:val="000000"/>
          <w:sz w:val="28"/>
          <w:szCs w:val="28"/>
        </w:rPr>
        <w:t>项目需求自行编制，包括运行方案、内控管理方案、产品结构布局方案、供餐保障方案、组织机构和人员配置方案、食品质量及服务质量管理方案、安全及卫生管理方案、固定资产管理方案、疫情防控方案、节能减排方案、服务承诺等方面内容。组织机构和人员配置方案编制时，应充分考虑人员配备和调度措施并能满足各类应急需求，应包括绩效考核和激励机制的指导思想或思路、主要方法或措施等。</w:t>
      </w: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pStyle w:val="2"/>
        <w:rPr>
          <w:rFonts w:hint="default" w:ascii="宋体" w:hAnsi="宋体" w:eastAsia="宋体" w:cs="宋体"/>
          <w:color w:val="000000"/>
        </w:rPr>
      </w:pPr>
    </w:p>
    <w:p>
      <w:pPr>
        <w:widowControl/>
        <w:jc w:val="left"/>
        <w:rPr>
          <w:rFonts w:ascii="宋体" w:hAnsi="宋体" w:cs="宋体"/>
          <w:color w:val="000000"/>
          <w:sz w:val="28"/>
          <w:szCs w:val="28"/>
        </w:rPr>
      </w:pPr>
      <w:r>
        <w:rPr>
          <w:rFonts w:hint="eastAsia" w:ascii="宋体" w:hAnsi="宋体" w:cs="宋体"/>
          <w:b/>
          <w:color w:val="000000"/>
          <w:kern w:val="0"/>
          <w:sz w:val="28"/>
          <w:szCs w:val="28"/>
          <w:lang w:val="en-US" w:eastAsia="zh-CN"/>
        </w:rPr>
        <w:t xml:space="preserve">7. </w:t>
      </w:r>
      <w:r>
        <w:rPr>
          <w:rFonts w:hint="eastAsia" w:ascii="宋体" w:hAnsi="宋体" w:cs="宋体"/>
          <w:b/>
          <w:color w:val="000000"/>
          <w:kern w:val="0"/>
          <w:sz w:val="28"/>
          <w:szCs w:val="28"/>
        </w:rPr>
        <w:t xml:space="preserve">服务承诺书 </w:t>
      </w:r>
    </w:p>
    <w:p>
      <w:pPr>
        <w:spacing w:line="540" w:lineRule="exact"/>
        <w:ind w:firstLine="480" w:firstLineChars="200"/>
        <w:rPr>
          <w:rFonts w:ascii="宋体" w:hAnsi="宋体" w:cs="宋体"/>
          <w:b/>
          <w:color w:val="000000"/>
          <w:kern w:val="0"/>
          <w:sz w:val="28"/>
          <w:szCs w:val="28"/>
        </w:rPr>
      </w:pPr>
      <w:r>
        <w:rPr>
          <w:rFonts w:hint="eastAsia" w:ascii="宋体" w:hAnsi="宋体" w:cs="宋体"/>
          <w:color w:val="000000"/>
          <w:sz w:val="24"/>
        </w:rPr>
        <w:t>（格式内容自拟，包含</w:t>
      </w:r>
      <w:r>
        <w:rPr>
          <w:rFonts w:ascii="宋体" w:hAnsi="宋体" w:cs="宋体"/>
          <w:color w:val="000000"/>
          <w:sz w:val="24"/>
        </w:rPr>
        <w:t xml:space="preserve">能够在 </w:t>
      </w:r>
      <w:r>
        <w:rPr>
          <w:rFonts w:ascii="宋体" w:hAnsi="宋体" w:cs="宋体"/>
          <w:color w:val="FF6600"/>
          <w:sz w:val="24"/>
        </w:rPr>
        <w:t>2022 年 8 月 2</w:t>
      </w:r>
      <w:r>
        <w:rPr>
          <w:rFonts w:hint="eastAsia" w:ascii="宋体" w:hAnsi="宋体" w:cs="宋体"/>
          <w:color w:val="FF6600"/>
          <w:sz w:val="24"/>
          <w:lang w:val="en-US" w:eastAsia="zh-CN"/>
        </w:rPr>
        <w:t xml:space="preserve">5 </w:t>
      </w:r>
      <w:r>
        <w:rPr>
          <w:rFonts w:ascii="宋体" w:hAnsi="宋体" w:cs="宋体"/>
          <w:color w:val="FF6600"/>
          <w:sz w:val="24"/>
        </w:rPr>
        <w:t>日</w:t>
      </w:r>
      <w:r>
        <w:rPr>
          <w:rFonts w:ascii="宋体" w:hAnsi="宋体" w:cs="宋体"/>
          <w:color w:val="000000"/>
          <w:sz w:val="24"/>
        </w:rPr>
        <w:t>之前</w:t>
      </w:r>
      <w:r>
        <w:rPr>
          <w:rFonts w:hint="eastAsia" w:ascii="宋体" w:hAnsi="宋体" w:cs="宋体"/>
          <w:color w:val="000000"/>
          <w:sz w:val="24"/>
        </w:rPr>
        <w:t>设备人员到位、</w:t>
      </w:r>
      <w:r>
        <w:rPr>
          <w:rFonts w:ascii="宋体" w:hAnsi="宋体" w:cs="宋体"/>
          <w:color w:val="000000"/>
          <w:sz w:val="24"/>
        </w:rPr>
        <w:t>正式开餐的书面承诺</w:t>
      </w:r>
      <w:r>
        <w:rPr>
          <w:rFonts w:hint="eastAsia" w:ascii="宋体" w:hAnsi="宋体" w:cs="宋体"/>
          <w:color w:val="000000"/>
          <w:sz w:val="24"/>
        </w:rPr>
        <w:t>）</w:t>
      </w:r>
    </w:p>
    <w:p>
      <w:pPr>
        <w:spacing w:line="360" w:lineRule="auto"/>
        <w:ind w:firstLine="422" w:firstLineChars="200"/>
        <w:contextualSpacing/>
        <w:outlineLvl w:val="1"/>
        <w:rPr>
          <w:rFonts w:ascii="宋体" w:hAnsi="宋体" w:cs="宋体"/>
          <w:b/>
          <w:bCs/>
          <w:color w:val="000000"/>
          <w:szCs w:val="21"/>
        </w:rPr>
      </w:pPr>
    </w:p>
    <w:p>
      <w:pPr>
        <w:pStyle w:val="21"/>
        <w:spacing w:line="360" w:lineRule="auto"/>
        <w:ind w:firstLine="480"/>
        <w:contextualSpacing/>
        <w:rPr>
          <w:rFonts w:hAnsi="宋体" w:cs="宋体"/>
          <w:color w:val="000000"/>
          <w:sz w:val="24"/>
          <w:szCs w:val="24"/>
        </w:rPr>
      </w:pPr>
    </w:p>
    <w:p>
      <w:pPr>
        <w:pStyle w:val="21"/>
        <w:spacing w:line="360" w:lineRule="auto"/>
        <w:ind w:firstLine="480"/>
        <w:contextualSpacing/>
        <w:rPr>
          <w:rFonts w:hAnsi="宋体" w:cs="宋体"/>
          <w:color w:val="000000"/>
          <w:sz w:val="24"/>
          <w:szCs w:val="24"/>
        </w:rPr>
      </w:pPr>
    </w:p>
    <w:p>
      <w:pPr>
        <w:snapToGrid w:val="0"/>
        <w:spacing w:line="360" w:lineRule="auto"/>
        <w:rPr>
          <w:rFonts w:ascii="宋体" w:hAnsi="宋体" w:cs="宋体"/>
          <w:b/>
          <w:color w:val="000000"/>
          <w:sz w:val="32"/>
          <w:szCs w:val="20"/>
        </w:rPr>
      </w:pPr>
    </w:p>
    <w:p>
      <w:pPr>
        <w:pStyle w:val="2"/>
        <w:rPr>
          <w:rFonts w:hint="default" w:ascii="宋体" w:hAnsi="宋体" w:eastAsia="宋体" w:cs="宋体"/>
          <w:b/>
          <w:color w:val="000000"/>
          <w:sz w:val="32"/>
          <w:szCs w:val="20"/>
        </w:rPr>
      </w:pPr>
    </w:p>
    <w:p>
      <w:pPr>
        <w:pStyle w:val="2"/>
        <w:rPr>
          <w:rFonts w:hint="default" w:ascii="宋体" w:hAnsi="宋体" w:eastAsia="宋体" w:cs="宋体"/>
          <w:b/>
          <w:color w:val="000000"/>
          <w:sz w:val="32"/>
          <w:szCs w:val="20"/>
        </w:rPr>
      </w:pPr>
    </w:p>
    <w:p>
      <w:pPr>
        <w:pStyle w:val="2"/>
        <w:rPr>
          <w:rFonts w:hint="default" w:ascii="宋体" w:hAnsi="宋体" w:eastAsia="宋体" w:cs="宋体"/>
          <w:b/>
          <w:color w:val="000000"/>
          <w:sz w:val="32"/>
          <w:szCs w:val="20"/>
        </w:rPr>
      </w:pPr>
    </w:p>
    <w:p>
      <w:pPr>
        <w:pStyle w:val="2"/>
        <w:rPr>
          <w:rFonts w:hint="default" w:ascii="宋体" w:hAnsi="宋体" w:eastAsia="宋体" w:cs="宋体"/>
          <w:b/>
          <w:color w:val="000000"/>
          <w:sz w:val="32"/>
          <w:szCs w:val="20"/>
        </w:rPr>
      </w:pPr>
    </w:p>
    <w:p>
      <w:pPr>
        <w:pStyle w:val="2"/>
        <w:rPr>
          <w:rFonts w:hint="default" w:ascii="宋体" w:hAnsi="宋体" w:eastAsia="宋体" w:cs="宋体"/>
          <w:b/>
          <w:color w:val="000000"/>
          <w:sz w:val="32"/>
          <w:szCs w:val="20"/>
        </w:rPr>
      </w:pPr>
    </w:p>
    <w:p>
      <w:pPr>
        <w:pStyle w:val="2"/>
        <w:rPr>
          <w:rFonts w:hint="default" w:ascii="宋体" w:hAnsi="宋体" w:eastAsia="宋体" w:cs="宋体"/>
          <w:b/>
          <w:color w:val="000000"/>
          <w:sz w:val="32"/>
          <w:szCs w:val="20"/>
        </w:rPr>
      </w:pPr>
    </w:p>
    <w:p>
      <w:pPr>
        <w:pStyle w:val="2"/>
        <w:rPr>
          <w:rFonts w:hint="default" w:ascii="宋体" w:hAnsi="宋体" w:eastAsia="宋体" w:cs="宋体"/>
          <w:b/>
          <w:color w:val="000000"/>
          <w:sz w:val="32"/>
          <w:szCs w:val="20"/>
        </w:rPr>
      </w:pPr>
    </w:p>
    <w:p>
      <w:pPr>
        <w:pStyle w:val="2"/>
        <w:rPr>
          <w:rFonts w:hint="default" w:ascii="宋体" w:hAnsi="宋体" w:eastAsia="宋体" w:cs="宋体"/>
          <w:b/>
          <w:color w:val="000000"/>
          <w:sz w:val="32"/>
          <w:szCs w:val="20"/>
        </w:rPr>
      </w:pPr>
    </w:p>
    <w:p>
      <w:pPr>
        <w:pStyle w:val="2"/>
        <w:rPr>
          <w:rFonts w:hint="default" w:ascii="宋体" w:hAnsi="宋体" w:eastAsia="宋体" w:cs="宋体"/>
          <w:b/>
          <w:color w:val="000000"/>
          <w:sz w:val="32"/>
          <w:szCs w:val="20"/>
        </w:rPr>
      </w:pPr>
    </w:p>
    <w:p>
      <w:pPr>
        <w:pStyle w:val="2"/>
        <w:rPr>
          <w:rFonts w:hint="default" w:ascii="宋体" w:hAnsi="宋体" w:eastAsia="宋体" w:cs="宋体"/>
          <w:b/>
          <w:color w:val="000000"/>
          <w:sz w:val="32"/>
          <w:szCs w:val="20"/>
        </w:rPr>
      </w:pPr>
    </w:p>
    <w:p>
      <w:pPr>
        <w:pStyle w:val="21"/>
        <w:spacing w:line="360" w:lineRule="auto"/>
        <w:ind w:firstLine="480"/>
        <w:contextualSpacing/>
        <w:rPr>
          <w:rFonts w:hAnsi="宋体" w:cs="宋体"/>
          <w:color w:val="000000" w:themeColor="text1"/>
          <w:sz w:val="24"/>
          <w:szCs w:val="24"/>
          <w14:textFill>
            <w14:solidFill>
              <w14:schemeClr w14:val="tx1"/>
            </w14:solidFill>
          </w14:textFill>
        </w:rPr>
      </w:pPr>
    </w:p>
    <w:p>
      <w:pPr>
        <w:pStyle w:val="2"/>
        <w:rPr>
          <w:rFonts w:hint="default" w:ascii="宋体" w:hAnsi="宋体" w:eastAsia="宋体" w:cs="宋体"/>
          <w:b/>
          <w:color w:val="000000" w:themeColor="text1"/>
          <w:sz w:val="32"/>
          <w:szCs w:val="20"/>
          <w14:textFill>
            <w14:solidFill>
              <w14:schemeClr w14:val="tx1"/>
            </w14:solidFill>
          </w14:textFill>
        </w:rPr>
      </w:pPr>
    </w:p>
    <w:p>
      <w:pPr>
        <w:pStyle w:val="2"/>
        <w:rPr>
          <w:rFonts w:hint="default" w:ascii="宋体" w:hAnsi="宋体" w:eastAsia="宋体" w:cs="宋体"/>
          <w:b/>
          <w:color w:val="000000" w:themeColor="text1"/>
          <w:sz w:val="32"/>
          <w:szCs w:val="20"/>
          <w14:textFill>
            <w14:solidFill>
              <w14:schemeClr w14:val="tx1"/>
            </w14:solidFill>
          </w14:textFill>
        </w:rPr>
      </w:pPr>
    </w:p>
    <w:p>
      <w:pPr>
        <w:pStyle w:val="2"/>
        <w:rPr>
          <w:rFonts w:hint="default" w:ascii="宋体" w:hAnsi="宋体" w:eastAsia="宋体" w:cs="宋体"/>
          <w:b/>
          <w:color w:val="000000" w:themeColor="text1"/>
          <w:sz w:val="32"/>
          <w:szCs w:val="20"/>
          <w14:textFill>
            <w14:solidFill>
              <w14:schemeClr w14:val="tx1"/>
            </w14:solidFill>
          </w14:textFill>
        </w:rPr>
      </w:pPr>
    </w:p>
    <w:p>
      <w:pPr>
        <w:pStyle w:val="2"/>
        <w:rPr>
          <w:rFonts w:hint="default" w:ascii="宋体" w:hAnsi="宋体" w:eastAsia="宋体" w:cs="宋体"/>
          <w:b/>
          <w:color w:val="000000" w:themeColor="text1"/>
          <w:sz w:val="32"/>
          <w:szCs w:val="20"/>
          <w14:textFill>
            <w14:solidFill>
              <w14:schemeClr w14:val="tx1"/>
            </w14:solidFill>
          </w14:textFill>
        </w:rPr>
      </w:pPr>
    </w:p>
    <w:p>
      <w:pPr>
        <w:pStyle w:val="2"/>
        <w:rPr>
          <w:rFonts w:hint="default" w:ascii="宋体" w:hAnsi="宋体" w:eastAsia="宋体" w:cs="宋体"/>
          <w:color w:val="000000" w:themeColor="text1"/>
          <w14:textFill>
            <w14:solidFill>
              <w14:schemeClr w14:val="tx1"/>
            </w14:solidFill>
          </w14:textFill>
        </w:rPr>
      </w:pPr>
    </w:p>
    <w:p>
      <w:pPr>
        <w:pStyle w:val="2"/>
        <w:rPr>
          <w:rFonts w:hint="default" w:ascii="宋体" w:hAnsi="宋体" w:eastAsia="宋体" w:cs="宋体"/>
          <w:color w:val="000000" w:themeColor="text1"/>
          <w14:textFill>
            <w14:solidFill>
              <w14:schemeClr w14:val="tx1"/>
            </w14:solidFill>
          </w14:textFill>
        </w:rPr>
      </w:pPr>
    </w:p>
    <w:p>
      <w:pPr>
        <w:pStyle w:val="2"/>
        <w:rPr>
          <w:rFonts w:hint="default" w:ascii="宋体" w:hAnsi="宋体" w:eastAsia="宋体" w:cs="宋体"/>
          <w:color w:val="000000" w:themeColor="text1"/>
          <w14:textFill>
            <w14:solidFill>
              <w14:schemeClr w14:val="tx1"/>
            </w14:solidFill>
          </w14:textFill>
        </w:rPr>
      </w:pPr>
    </w:p>
    <w:p>
      <w:pPr>
        <w:pStyle w:val="2"/>
        <w:rPr>
          <w:rFonts w:hint="default" w:asciiTheme="minorEastAsia" w:hAnsiTheme="minorEastAsia" w:eastAsiaTheme="minorEastAsia" w:cstheme="minorEastAsia"/>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00000000" w:usb1="00000000"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00000000" w:usb1="00000000" w:usb2="00000010" w:usb3="00000000" w:csb0="2000019F" w:csb1="00000000"/>
  </w:font>
  <w:font w:name="Lucida Sans">
    <w:panose1 w:val="020B0602040502020204"/>
    <w:charset w:val="00"/>
    <w:family w:val="swiss"/>
    <w:pitch w:val="default"/>
    <w:sig w:usb0="00000000" w:usb1="00000000" w:usb2="00000008" w:usb3="00000000" w:csb0="6000009F" w:csb1="FFFF0000"/>
  </w:font>
  <w:font w:name="楷体">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5E2D5A"/>
    <w:multiLevelType w:val="singleLevel"/>
    <w:tmpl w:val="C85E2D5A"/>
    <w:lvl w:ilvl="0" w:tentative="0">
      <w:start w:val="1"/>
      <w:numFmt w:val="decimal"/>
      <w:suff w:val="nothing"/>
      <w:lvlText w:val="%1、"/>
      <w:lvlJc w:val="left"/>
    </w:lvl>
  </w:abstractNum>
  <w:abstractNum w:abstractNumId="1">
    <w:nsid w:val="02EA36B5"/>
    <w:multiLevelType w:val="singleLevel"/>
    <w:tmpl w:val="02EA36B5"/>
    <w:lvl w:ilvl="0" w:tentative="0">
      <w:start w:val="2"/>
      <w:numFmt w:val="decimal"/>
      <w:suff w:val="nothing"/>
      <w:lvlText w:val="%1）"/>
      <w:lvlJc w:val="left"/>
    </w:lvl>
  </w:abstractNum>
  <w:abstractNum w:abstractNumId="2">
    <w:nsid w:val="613C7C36"/>
    <w:multiLevelType w:val="singleLevel"/>
    <w:tmpl w:val="613C7C36"/>
    <w:lvl w:ilvl="0" w:tentative="0">
      <w:start w:val="3"/>
      <w:numFmt w:val="chineseCounting"/>
      <w:suff w:val="space"/>
      <w:lvlText w:val="第%1章"/>
      <w:lvlJc w:val="left"/>
      <w:rPr>
        <w:rFonts w:hint="eastAsia"/>
      </w:rPr>
    </w:lvl>
  </w:abstractNum>
  <w:abstractNum w:abstractNumId="3">
    <w:nsid w:val="6FF90E13"/>
    <w:multiLevelType w:val="singleLevel"/>
    <w:tmpl w:val="6FF90E13"/>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character" w:default="1" w:styleId="16">
    <w:name w:val="Default Paragraph Font"/>
    <w:unhideWhenUsed/>
    <w:qFormat/>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kern w:val="0"/>
      <w:sz w:val="20"/>
    </w:rPr>
  </w:style>
  <w:style w:type="paragraph" w:styleId="5">
    <w:name w:val="Normal Indent"/>
    <w:basedOn w:val="1"/>
    <w:qFormat/>
    <w:uiPriority w:val="0"/>
    <w:pPr>
      <w:autoSpaceDE w:val="0"/>
      <w:autoSpaceDN w:val="0"/>
      <w:spacing w:line="640" w:lineRule="exact"/>
      <w:ind w:firstLine="585"/>
    </w:pPr>
    <w:rPr>
      <w:rFonts w:ascii="楷体_GB2312" w:eastAsia="楷体_GB2312"/>
      <w:kern w:val="0"/>
      <w:sz w:val="32"/>
      <w:szCs w:val="32"/>
    </w:rPr>
  </w:style>
  <w:style w:type="paragraph" w:styleId="6">
    <w:name w:val="annotation text"/>
    <w:basedOn w:val="1"/>
    <w:qFormat/>
    <w:uiPriority w:val="0"/>
    <w:pPr>
      <w:jc w:val="left"/>
    </w:pPr>
  </w:style>
  <w:style w:type="paragraph" w:styleId="7">
    <w:name w:val="Body Text Indent"/>
    <w:basedOn w:val="1"/>
    <w:qFormat/>
    <w:uiPriority w:val="99"/>
    <w:pPr>
      <w:spacing w:line="480" w:lineRule="exact"/>
      <w:ind w:firstLine="480" w:firstLineChars="200"/>
    </w:pPr>
    <w:rPr>
      <w:rFonts w:ascii="宋体" w:hAnsi="宋体"/>
      <w:sz w:val="24"/>
    </w:rPr>
  </w:style>
  <w:style w:type="paragraph" w:styleId="8">
    <w:name w:val="index 4"/>
    <w:basedOn w:val="1"/>
    <w:next w:val="1"/>
    <w:unhideWhenUsed/>
    <w:qFormat/>
    <w:uiPriority w:val="99"/>
    <w:pPr>
      <w:ind w:left="600" w:leftChars="600"/>
    </w:pPr>
    <w:rPr>
      <w:rFonts w:ascii="Verdana" w:hAnsi="Verdana"/>
      <w:szCs w:val="20"/>
    </w:rPr>
  </w:style>
  <w:style w:type="paragraph" w:styleId="9">
    <w:name w:val="Plain Text"/>
    <w:basedOn w:val="1"/>
    <w:qFormat/>
    <w:uiPriority w:val="99"/>
    <w:rPr>
      <w:rFonts w:ascii="宋体" w:hAnsi="Courier New" w:cs="Courier New"/>
      <w:szCs w:val="21"/>
    </w:rPr>
  </w:style>
  <w:style w:type="paragraph" w:styleId="10">
    <w:name w:val="Balloon Text"/>
    <w:basedOn w:val="1"/>
    <w:link w:val="23"/>
    <w:qFormat/>
    <w:uiPriority w:val="0"/>
    <w:rPr>
      <w:sz w:val="18"/>
      <w:szCs w:val="18"/>
    </w:rPr>
  </w:style>
  <w:style w:type="paragraph" w:styleId="11">
    <w:name w:val="footer"/>
    <w:basedOn w:val="1"/>
    <w:link w:val="30"/>
    <w:qFormat/>
    <w:uiPriority w:val="0"/>
    <w:pPr>
      <w:tabs>
        <w:tab w:val="center" w:pos="4153"/>
        <w:tab w:val="right" w:pos="8306"/>
      </w:tabs>
      <w:snapToGrid w:val="0"/>
      <w:jc w:val="left"/>
    </w:pPr>
    <w:rPr>
      <w:sz w:val="18"/>
      <w:szCs w:val="18"/>
    </w:rPr>
  </w:style>
  <w:style w:type="paragraph" w:styleId="12">
    <w:name w:val="Body Text First Indent 2"/>
    <w:basedOn w:val="7"/>
    <w:qFormat/>
    <w:uiPriority w:val="0"/>
    <w:pPr>
      <w:adjustRightInd/>
      <w:spacing w:after="120" w:line="240" w:lineRule="auto"/>
      <w:ind w:left="420" w:leftChars="200" w:firstLine="210"/>
    </w:pPr>
    <w:rPr>
      <w:sz w:val="21"/>
    </w:rPr>
  </w:style>
  <w:style w:type="paragraph" w:styleId="13">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qFormat/>
    <w:uiPriority w:val="99"/>
    <w:pPr>
      <w:spacing w:before="240" w:after="60"/>
      <w:jc w:val="center"/>
      <w:outlineLvl w:val="0"/>
    </w:pPr>
    <w:rPr>
      <w:rFonts w:ascii="Arial" w:hAnsi="Arial"/>
      <w:b/>
      <w:kern w:val="0"/>
      <w:sz w:val="32"/>
    </w:rPr>
  </w:style>
  <w:style w:type="character" w:styleId="17">
    <w:name w:val="Hyperlink"/>
    <w:basedOn w:val="16"/>
    <w:qFormat/>
    <w:uiPriority w:val="0"/>
    <w:rPr>
      <w:color w:val="0000FF"/>
      <w:u w:val="single"/>
    </w:rPr>
  </w:style>
  <w:style w:type="character" w:styleId="18">
    <w:name w:val="annotation reference"/>
    <w:qFormat/>
    <w:uiPriority w:val="99"/>
    <w:rPr>
      <w:sz w:val="21"/>
      <w:szCs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
    <w:name w:val="列出段落1"/>
    <w:basedOn w:val="1"/>
    <w:qFormat/>
    <w:uiPriority w:val="99"/>
    <w:pPr>
      <w:spacing w:line="360" w:lineRule="auto"/>
      <w:ind w:firstLine="200" w:firstLineChars="200"/>
    </w:pPr>
    <w:rPr>
      <w:rFonts w:eastAsia="楷体_GB2312" w:cs="Lucida Sans"/>
      <w:sz w:val="24"/>
    </w:rPr>
  </w:style>
  <w:style w:type="character" w:customStyle="1" w:styleId="23">
    <w:name w:val="批注框文本 字符"/>
    <w:basedOn w:val="16"/>
    <w:link w:val="10"/>
    <w:qFormat/>
    <w:uiPriority w:val="0"/>
    <w:rPr>
      <w:kern w:val="2"/>
      <w:sz w:val="18"/>
      <w:szCs w:val="18"/>
    </w:rPr>
  </w:style>
  <w:style w:type="character" w:customStyle="1" w:styleId="24">
    <w:name w:val="Hyperlink.0"/>
    <w:qFormat/>
    <w:uiPriority w:val="0"/>
    <w:rPr>
      <w:rFonts w:ascii="宋体" w:hAnsi="宋体" w:eastAsia="宋体" w:cs="宋体"/>
      <w:color w:val="000000"/>
      <w:sz w:val="24"/>
      <w:szCs w:val="24"/>
      <w:lang w:val="zh-TW" w:eastAsia="zh-TW"/>
    </w:rPr>
  </w:style>
  <w:style w:type="paragraph" w:customStyle="1" w:styleId="25">
    <w:name w:val="List Paragraph1"/>
    <w:basedOn w:val="1"/>
    <w:qFormat/>
    <w:uiPriority w:val="0"/>
    <w:pPr>
      <w:ind w:firstLine="420" w:firstLineChars="200"/>
    </w:pPr>
    <w:rPr>
      <w:rFonts w:ascii="Calibri" w:hAnsi="Calibri"/>
    </w:rPr>
  </w:style>
  <w:style w:type="character" w:customStyle="1" w:styleId="26">
    <w:name w:val="无"/>
    <w:qFormat/>
    <w:uiPriority w:val="0"/>
  </w:style>
  <w:style w:type="paragraph" w:customStyle="1" w:styleId="27">
    <w:name w:val="List Paragraph"/>
    <w:basedOn w:val="1"/>
    <w:qFormat/>
    <w:uiPriority w:val="0"/>
    <w:pPr>
      <w:ind w:firstLine="420" w:firstLineChars="200"/>
    </w:pPr>
    <w:rPr>
      <w:rFonts w:ascii="Calibri" w:hAnsi="Calibri"/>
    </w:rPr>
  </w:style>
  <w:style w:type="paragraph" w:customStyle="1" w:styleId="28">
    <w:name w:val="_Style 2"/>
    <w:basedOn w:val="1"/>
    <w:qFormat/>
    <w:uiPriority w:val="0"/>
    <w:pPr>
      <w:ind w:firstLine="420" w:firstLineChars="200"/>
    </w:pPr>
    <w:rPr>
      <w:rFonts w:ascii="Calibri" w:hAnsi="Calibri"/>
    </w:rPr>
  </w:style>
  <w:style w:type="character" w:customStyle="1" w:styleId="29">
    <w:name w:val="页眉 字符"/>
    <w:basedOn w:val="16"/>
    <w:link w:val="13"/>
    <w:qFormat/>
    <w:uiPriority w:val="0"/>
    <w:rPr>
      <w:kern w:val="2"/>
      <w:sz w:val="18"/>
      <w:szCs w:val="18"/>
    </w:rPr>
  </w:style>
  <w:style w:type="character" w:customStyle="1" w:styleId="30">
    <w:name w:val="页脚 字符"/>
    <w:basedOn w:val="16"/>
    <w:link w:val="11"/>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5397</Words>
  <Characters>30766</Characters>
  <Lines>256</Lines>
  <Paragraphs>72</Paragraphs>
  <ScaleCrop>false</ScaleCrop>
  <LinksUpToDate>false</LinksUpToDate>
  <CharactersWithSpaces>36091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2022-04-19T23:11:00Z</dcterms:created>
  <dc:creator>呵呵</dc:creator>
  <cp:lastModifiedBy>呵呵的iPhone 13 mini</cp:lastModifiedBy>
  <dcterms:modified xsi:type="dcterms:W3CDTF">2022-08-12T19:50:47Z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2052-11.27.2</vt:lpwstr>
  </property>
  <property fmtid="{D5CDD505-2E9C-101B-9397-08002B2CF9AE}" pid="3" name="ICV">
    <vt:lpwstr>CA0C310C382FEF2C083CF6629FAF5157</vt:lpwstr>
  </property>
</Properties>
</file>