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99746">
      <w:pPr>
        <w:widowControl/>
        <w:spacing w:line="450" w:lineRule="atLeast"/>
        <w:jc w:val="center"/>
        <w:textAlignment w:val="baseline"/>
        <w:rPr>
          <w:rFonts w:ascii="宋体" w:hAnsi="宋体"/>
          <w:b/>
          <w:bCs/>
          <w:color w:val="auto"/>
          <w:sz w:val="36"/>
          <w:highlight w:val="none"/>
        </w:rPr>
      </w:pPr>
      <w:bookmarkStart w:id="0" w:name="_Toc38367762"/>
      <w:r>
        <w:rPr>
          <w:rFonts w:hint="eastAsia" w:ascii="宋体" w:hAnsi="宋体" w:cs="Arial"/>
          <w:b/>
          <w:bCs/>
          <w:color w:val="auto"/>
          <w:sz w:val="36"/>
          <w:szCs w:val="32"/>
          <w:highlight w:val="none"/>
        </w:rPr>
        <w:t>创新港日立电梯维保服务</w:t>
      </w:r>
      <w:r>
        <w:rPr>
          <w:rFonts w:ascii="宋体" w:hAnsi="宋体"/>
          <w:b/>
          <w:bCs/>
          <w:color w:val="auto"/>
          <w:sz w:val="36"/>
          <w:highlight w:val="none"/>
        </w:rPr>
        <w:t>采购需求</w:t>
      </w:r>
      <w:bookmarkEnd w:id="0"/>
    </w:p>
    <w:p w14:paraId="53571AA7">
      <w:pPr>
        <w:tabs>
          <w:tab w:val="left" w:pos="900"/>
        </w:tabs>
        <w:spacing w:before="156" w:beforeLines="50" w:line="360" w:lineRule="auto"/>
        <w:rPr>
          <w:b/>
          <w:color w:val="auto"/>
          <w:szCs w:val="21"/>
          <w:highlight w:val="none"/>
        </w:rPr>
      </w:pPr>
      <w:bookmarkStart w:id="1" w:name="_Toc219271393"/>
      <w:bookmarkStart w:id="2" w:name="_Toc158978330"/>
      <w:bookmarkStart w:id="3" w:name="_Toc172360661"/>
      <w:r>
        <w:rPr>
          <w:rFonts w:hint="eastAsia" w:hAnsi="宋体"/>
          <w:b/>
          <w:color w:val="auto"/>
          <w:szCs w:val="21"/>
          <w:highlight w:val="none"/>
        </w:rPr>
        <w:t>一、</w:t>
      </w:r>
      <w:r>
        <w:rPr>
          <w:rFonts w:hAnsi="宋体"/>
          <w:b/>
          <w:color w:val="auto"/>
          <w:szCs w:val="21"/>
          <w:highlight w:val="none"/>
        </w:rPr>
        <w:t>采购</w:t>
      </w:r>
      <w:r>
        <w:rPr>
          <w:rFonts w:hint="eastAsia" w:hAnsi="宋体"/>
          <w:b/>
          <w:color w:val="auto"/>
          <w:szCs w:val="21"/>
          <w:highlight w:val="none"/>
        </w:rPr>
        <w:t>标的</w:t>
      </w:r>
      <w:r>
        <w:rPr>
          <w:rFonts w:hAnsi="宋体"/>
          <w:b/>
          <w:color w:val="auto"/>
          <w:szCs w:val="21"/>
          <w:highlight w:val="none"/>
        </w:rPr>
        <w:t>需实现的功能或者目标，以及为落实政府采购政策需满足的要求：</w:t>
      </w:r>
    </w:p>
    <w:p w14:paraId="1F2E68CA">
      <w:pPr>
        <w:tabs>
          <w:tab w:val="left" w:pos="900"/>
        </w:tabs>
        <w:spacing w:before="156" w:beforeLines="50" w:line="360" w:lineRule="auto"/>
        <w:rPr>
          <w:b/>
          <w:color w:val="auto"/>
          <w:szCs w:val="21"/>
          <w:highlight w:val="none"/>
        </w:rPr>
      </w:pPr>
      <w:r>
        <w:rPr>
          <w:rFonts w:hAnsi="宋体"/>
          <w:b/>
          <w:color w:val="auto"/>
          <w:szCs w:val="21"/>
          <w:highlight w:val="none"/>
        </w:rPr>
        <w:t>（一）采购</w:t>
      </w:r>
      <w:r>
        <w:rPr>
          <w:rFonts w:hint="eastAsia" w:hAnsi="宋体"/>
          <w:b/>
          <w:color w:val="auto"/>
          <w:szCs w:val="21"/>
          <w:highlight w:val="none"/>
        </w:rPr>
        <w:t>标的</w:t>
      </w:r>
      <w:r>
        <w:rPr>
          <w:rFonts w:hAnsi="宋体"/>
          <w:b/>
          <w:color w:val="auto"/>
          <w:szCs w:val="21"/>
          <w:highlight w:val="none"/>
        </w:rPr>
        <w:t>需实现的功能或者目标</w:t>
      </w:r>
    </w:p>
    <w:p w14:paraId="6E010AEB">
      <w:pPr>
        <w:spacing w:line="360" w:lineRule="auto"/>
        <w:ind w:firstLine="420" w:firstLineChars="200"/>
        <w:rPr>
          <w:rFonts w:hAnsi="宋体"/>
          <w:color w:val="auto"/>
          <w:szCs w:val="21"/>
          <w:highlight w:val="none"/>
        </w:rPr>
      </w:pPr>
      <w:r>
        <w:rPr>
          <w:rFonts w:hint="eastAsia"/>
          <w:color w:val="auto"/>
          <w:szCs w:val="21"/>
          <w:highlight w:val="none"/>
        </w:rPr>
        <w:t>本采购项目为</w:t>
      </w:r>
      <w:r>
        <w:rPr>
          <w:rFonts w:hint="eastAsia"/>
          <w:color w:val="auto"/>
          <w:szCs w:val="21"/>
          <w:highlight w:val="none"/>
          <w:lang w:val="en-US" w:eastAsia="zh-CN"/>
        </w:rPr>
        <w:t>2024年8月16日—2027年08月15日</w:t>
      </w:r>
      <w:r>
        <w:rPr>
          <w:rFonts w:hint="eastAsia"/>
          <w:szCs w:val="21"/>
        </w:rPr>
        <w:t>西安交通大学创新港</w:t>
      </w:r>
      <w:r>
        <w:rPr>
          <w:rFonts w:hint="eastAsia"/>
          <w:szCs w:val="21"/>
          <w:lang w:val="en-US" w:eastAsia="zh-CN"/>
        </w:rPr>
        <w:t>182</w:t>
      </w:r>
      <w:r>
        <w:rPr>
          <w:rFonts w:hint="eastAsia"/>
          <w:szCs w:val="21"/>
        </w:rPr>
        <w:t>部</w:t>
      </w:r>
      <w:r>
        <w:rPr>
          <w:rFonts w:hint="eastAsia"/>
          <w:szCs w:val="21"/>
          <w:lang w:val="en-US" w:eastAsia="zh-CN"/>
        </w:rPr>
        <w:t>日立</w:t>
      </w:r>
      <w:r>
        <w:rPr>
          <w:rFonts w:hint="eastAsia"/>
          <w:szCs w:val="21"/>
        </w:rPr>
        <w:t>电梯维保服务1项，主要包括电梯日常保养、电梯自检、电梯年检、运行分析、电梯维修、紧急救援等(详细要求见后)。</w:t>
      </w:r>
      <w:bookmarkStart w:id="5" w:name="_GoBack"/>
      <w:bookmarkEnd w:id="5"/>
    </w:p>
    <w:p w14:paraId="0DC216C6">
      <w:pPr>
        <w:tabs>
          <w:tab w:val="left" w:pos="900"/>
        </w:tabs>
        <w:spacing w:before="156" w:beforeLines="50" w:line="360" w:lineRule="auto"/>
        <w:rPr>
          <w:b/>
          <w:color w:val="auto"/>
          <w:szCs w:val="21"/>
          <w:highlight w:val="none"/>
        </w:rPr>
      </w:pPr>
      <w:r>
        <w:rPr>
          <w:rFonts w:hAnsi="宋体"/>
          <w:b/>
          <w:color w:val="auto"/>
          <w:szCs w:val="21"/>
          <w:highlight w:val="none"/>
        </w:rPr>
        <w:t>（二）为落实政府采购政策需满足的要求</w:t>
      </w:r>
    </w:p>
    <w:p w14:paraId="3B1C20BD">
      <w:pPr>
        <w:spacing w:line="360" w:lineRule="auto"/>
        <w:ind w:firstLine="420" w:firstLineChars="200"/>
        <w:rPr>
          <w:color w:val="auto"/>
          <w:szCs w:val="21"/>
          <w:highlight w:val="none"/>
        </w:rPr>
      </w:pPr>
      <w:r>
        <w:rPr>
          <w:rFonts w:hint="eastAsia"/>
          <w:color w:val="auto"/>
          <w:szCs w:val="21"/>
          <w:highlight w:val="none"/>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声明函不真实的，应承担相应的法律责任。</w:t>
      </w:r>
    </w:p>
    <w:p w14:paraId="396BC31C">
      <w:pPr>
        <w:spacing w:line="360" w:lineRule="auto"/>
        <w:ind w:firstLine="420" w:firstLineChars="200"/>
        <w:rPr>
          <w:color w:val="auto"/>
          <w:szCs w:val="21"/>
          <w:highlight w:val="none"/>
        </w:rPr>
      </w:pPr>
      <w:r>
        <w:rPr>
          <w:rFonts w:hint="eastAsia"/>
          <w:color w:val="auto"/>
          <w:szCs w:val="21"/>
          <w:highlight w:val="none"/>
        </w:rPr>
        <w:t>本项目采购标的对应的《中小企业划型标准规定》所属行业为：</w:t>
      </w:r>
      <w:r>
        <w:rPr>
          <w:rFonts w:hint="eastAsia"/>
          <w:color w:val="auto"/>
          <w:szCs w:val="21"/>
          <w:highlight w:val="none"/>
          <w:u w:val="single"/>
        </w:rPr>
        <w:t xml:space="preserve"> </w:t>
      </w:r>
      <w:r>
        <w:rPr>
          <w:rFonts w:hint="eastAsia"/>
          <w:szCs w:val="21"/>
          <w:u w:val="single"/>
          <w:lang w:val="en-US" w:eastAsia="zh-CN"/>
        </w:rPr>
        <w:t>其他未列明行业</w:t>
      </w:r>
      <w:r>
        <w:rPr>
          <w:rFonts w:hint="eastAsia"/>
          <w:color w:val="auto"/>
          <w:szCs w:val="21"/>
          <w:highlight w:val="none"/>
          <w:u w:val="single"/>
        </w:rPr>
        <w:t xml:space="preserve"> </w:t>
      </w:r>
      <w:r>
        <w:rPr>
          <w:rFonts w:hint="eastAsia"/>
          <w:color w:val="auto"/>
          <w:szCs w:val="21"/>
          <w:highlight w:val="none"/>
        </w:rPr>
        <w:t>。</w:t>
      </w:r>
    </w:p>
    <w:p w14:paraId="3EEC4873">
      <w:pPr>
        <w:tabs>
          <w:tab w:val="left" w:pos="900"/>
        </w:tabs>
        <w:spacing w:before="156" w:beforeLines="50" w:line="360" w:lineRule="auto"/>
        <w:rPr>
          <w:rFonts w:hAnsi="宋体"/>
          <w:b/>
          <w:color w:val="auto"/>
          <w:szCs w:val="21"/>
          <w:highlight w:val="none"/>
        </w:rPr>
      </w:pPr>
      <w:r>
        <w:rPr>
          <w:rFonts w:hint="eastAsia" w:hAnsi="宋体"/>
          <w:b/>
          <w:color w:val="auto"/>
          <w:szCs w:val="21"/>
          <w:highlight w:val="none"/>
        </w:rPr>
        <w:t>二、</w:t>
      </w:r>
      <w:r>
        <w:rPr>
          <w:rFonts w:hAnsi="宋体"/>
          <w:b/>
          <w:color w:val="auto"/>
          <w:szCs w:val="21"/>
          <w:highlight w:val="none"/>
        </w:rPr>
        <w:t>采购</w:t>
      </w:r>
      <w:r>
        <w:rPr>
          <w:rFonts w:hint="eastAsia" w:hAnsi="宋体"/>
          <w:b/>
          <w:color w:val="auto"/>
          <w:szCs w:val="21"/>
          <w:highlight w:val="none"/>
        </w:rPr>
        <w:t>标的</w:t>
      </w:r>
      <w:r>
        <w:rPr>
          <w:rFonts w:hAnsi="宋体"/>
          <w:b/>
          <w:color w:val="auto"/>
          <w:szCs w:val="21"/>
          <w:highlight w:val="none"/>
        </w:rPr>
        <w:t>需执行的国家相关标准、行业标准、地方标准或者其他标准、规范：</w:t>
      </w:r>
    </w:p>
    <w:p w14:paraId="3525DA0D">
      <w:p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094080DB">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TSG-T5002-2017电梯使用管理与维护保养规则；</w:t>
      </w:r>
    </w:p>
    <w:p w14:paraId="532D3FB5">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TSG-T7001-2023电梯监督检验和定期检验规则；</w:t>
      </w:r>
    </w:p>
    <w:p w14:paraId="64F55216">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GB/T 10058-2009电梯技术条件；</w:t>
      </w:r>
    </w:p>
    <w:p w14:paraId="22AE147E">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GB/T-24474-2009电梯乘运质量检测；</w:t>
      </w:r>
    </w:p>
    <w:p w14:paraId="1C56FD53">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GB 24804-2009提高再用电梯安全性规范；</w:t>
      </w:r>
    </w:p>
    <w:p w14:paraId="0F146C5E">
      <w:pPr>
        <w:numPr>
          <w:ilvl w:val="0"/>
          <w:numId w:val="1"/>
        </w:numPr>
        <w:tabs>
          <w:tab w:val="left" w:pos="900"/>
        </w:tabs>
        <w:spacing w:before="156" w:beforeLines="50" w:line="360" w:lineRule="auto"/>
        <w:ind w:left="0" w:firstLine="420" w:firstLineChars="200"/>
        <w:rPr>
          <w:color w:val="auto"/>
          <w:szCs w:val="21"/>
          <w:highlight w:val="none"/>
        </w:rPr>
      </w:pPr>
      <w:r>
        <w:rPr>
          <w:rFonts w:hint="eastAsia"/>
          <w:color w:val="auto"/>
          <w:szCs w:val="21"/>
          <w:highlight w:val="none"/>
        </w:rPr>
        <w:t>GB/T 18775-2009电梯自动扶梯和人行道维修规范；</w:t>
      </w:r>
    </w:p>
    <w:p w14:paraId="1100F479">
      <w:pPr>
        <w:tabs>
          <w:tab w:val="left" w:pos="900"/>
        </w:tabs>
        <w:spacing w:before="156" w:beforeLines="50" w:line="360" w:lineRule="auto"/>
        <w:rPr>
          <w:color w:val="auto"/>
          <w:szCs w:val="21"/>
          <w:highlight w:val="none"/>
        </w:rPr>
      </w:pPr>
      <w:r>
        <w:rPr>
          <w:rFonts w:hint="eastAsia"/>
          <w:color w:val="auto"/>
          <w:szCs w:val="21"/>
          <w:highlight w:val="none"/>
        </w:rPr>
        <w:t>未尽事项参考国家对应的法律法规等，学校对应的管理办法。</w:t>
      </w:r>
    </w:p>
    <w:p w14:paraId="1BF19A6F">
      <w:pPr>
        <w:tabs>
          <w:tab w:val="left" w:pos="900"/>
        </w:tabs>
        <w:spacing w:before="156" w:beforeLines="50" w:line="360" w:lineRule="auto"/>
        <w:rPr>
          <w:rFonts w:hAnsi="宋体"/>
          <w:b/>
          <w:color w:val="auto"/>
          <w:szCs w:val="21"/>
          <w:highlight w:val="none"/>
        </w:rPr>
      </w:pPr>
      <w:r>
        <w:rPr>
          <w:rFonts w:hint="eastAsia" w:hAnsi="宋体"/>
          <w:b/>
          <w:color w:val="auto"/>
          <w:szCs w:val="21"/>
          <w:highlight w:val="none"/>
        </w:rPr>
        <w:t>三、采购标的概况</w:t>
      </w:r>
    </w:p>
    <w:p w14:paraId="207301EE">
      <w:pPr>
        <w:spacing w:before="156" w:beforeLines="50" w:line="360" w:lineRule="auto"/>
        <w:rPr>
          <w:color w:val="auto"/>
          <w:szCs w:val="21"/>
          <w:highlight w:val="none"/>
          <w:u w:val="single"/>
        </w:rPr>
      </w:pPr>
      <w:r>
        <w:rPr>
          <w:rFonts w:hint="eastAsia" w:ascii="宋体" w:hAnsi="宋体"/>
          <w:color w:val="auto"/>
          <w:szCs w:val="21"/>
          <w:highlight w:val="none"/>
        </w:rPr>
        <w:t>（一）采购项目名称：</w:t>
      </w:r>
      <w:r>
        <w:rPr>
          <w:rFonts w:hint="eastAsia"/>
          <w:color w:val="auto"/>
          <w:szCs w:val="21"/>
          <w:highlight w:val="none"/>
          <w:u w:val="single"/>
        </w:rPr>
        <w:t xml:space="preserve"> 创新港日立电梯维保服务    </w:t>
      </w:r>
    </w:p>
    <w:p w14:paraId="297231C7">
      <w:pPr>
        <w:spacing w:before="156" w:beforeLines="50" w:line="360" w:lineRule="auto"/>
        <w:rPr>
          <w:rFonts w:hAnsi="宋体"/>
          <w:color w:val="auto"/>
          <w:szCs w:val="21"/>
          <w:highlight w:val="none"/>
          <w:u w:val="single"/>
        </w:rPr>
      </w:pPr>
      <w:r>
        <w:rPr>
          <w:rFonts w:hint="eastAsia" w:hAnsi="宋体"/>
          <w:color w:val="auto"/>
          <w:szCs w:val="21"/>
          <w:highlight w:val="none"/>
        </w:rPr>
        <w:t>（二）采购数量及计量单位：</w:t>
      </w:r>
      <w:r>
        <w:rPr>
          <w:rFonts w:hAnsi="宋体"/>
          <w:color w:val="auto"/>
          <w:szCs w:val="21"/>
          <w:highlight w:val="none"/>
          <w:u w:val="single"/>
        </w:rPr>
        <w:t xml:space="preserve">  </w:t>
      </w:r>
      <w:r>
        <w:rPr>
          <w:rFonts w:hint="eastAsia" w:hAnsi="宋体"/>
          <w:color w:val="auto"/>
          <w:szCs w:val="21"/>
          <w:highlight w:val="none"/>
          <w:u w:val="single"/>
        </w:rPr>
        <w:t>182部电梯</w:t>
      </w:r>
      <w:r>
        <w:rPr>
          <w:rFonts w:hAnsi="宋体"/>
          <w:color w:val="auto"/>
          <w:szCs w:val="21"/>
          <w:highlight w:val="none"/>
          <w:u w:val="single"/>
        </w:rPr>
        <w:t xml:space="preserve"> </w:t>
      </w:r>
      <w:r>
        <w:rPr>
          <w:rFonts w:hint="eastAsia" w:hAnsi="宋体"/>
          <w:color w:val="auto"/>
          <w:szCs w:val="21"/>
          <w:highlight w:val="none"/>
          <w:u w:val="single"/>
        </w:rPr>
        <w:t>3年维保服务</w:t>
      </w:r>
      <w:r>
        <w:rPr>
          <w:rFonts w:hAnsi="宋体"/>
          <w:color w:val="auto"/>
          <w:szCs w:val="21"/>
          <w:highlight w:val="none"/>
          <w:u w:val="single"/>
        </w:rPr>
        <w:t xml:space="preserve">   </w:t>
      </w:r>
    </w:p>
    <w:p w14:paraId="4F41E01D">
      <w:pPr>
        <w:spacing w:before="156" w:beforeLines="50" w:line="360" w:lineRule="auto"/>
        <w:rPr>
          <w:rFonts w:hAnsi="宋体"/>
          <w:color w:val="auto"/>
          <w:szCs w:val="21"/>
          <w:highlight w:val="none"/>
        </w:rPr>
      </w:pPr>
      <w:r>
        <w:rPr>
          <w:rFonts w:hint="eastAsia" w:hAnsi="宋体"/>
          <w:color w:val="auto"/>
          <w:szCs w:val="21"/>
          <w:highlight w:val="none"/>
        </w:rPr>
        <w:t>（三）最高限价：一年费用人民币</w:t>
      </w:r>
      <w:r>
        <w:rPr>
          <w:rFonts w:hint="eastAsia" w:hAnsi="宋体"/>
          <w:color w:val="auto"/>
          <w:szCs w:val="21"/>
          <w:highlight w:val="none"/>
          <w:u w:val="single"/>
        </w:rPr>
        <w:t xml:space="preserve"> </w:t>
      </w:r>
      <w:r>
        <w:rPr>
          <w:rFonts w:hAnsi="宋体"/>
          <w:color w:val="auto"/>
          <w:szCs w:val="21"/>
          <w:highlight w:val="none"/>
          <w:u w:val="single"/>
        </w:rPr>
        <w:t xml:space="preserve">792450 </w:t>
      </w:r>
      <w:r>
        <w:rPr>
          <w:rFonts w:hAnsi="宋体"/>
          <w:color w:val="auto"/>
          <w:szCs w:val="21"/>
          <w:highlight w:val="none"/>
        </w:rPr>
        <w:t xml:space="preserve"> </w:t>
      </w:r>
      <w:r>
        <w:rPr>
          <w:rFonts w:hint="eastAsia" w:hAnsi="宋体"/>
          <w:color w:val="auto"/>
          <w:szCs w:val="21"/>
          <w:highlight w:val="none"/>
        </w:rPr>
        <w:t>元，一招三年</w:t>
      </w:r>
      <w:r>
        <w:rPr>
          <w:rFonts w:hint="eastAsia" w:hAnsi="宋体"/>
          <w:color w:val="auto"/>
          <w:szCs w:val="21"/>
          <w:highlight w:val="none"/>
          <w:lang w:eastAsia="zh-CN"/>
        </w:rPr>
        <w:t>，</w:t>
      </w:r>
      <w:r>
        <w:rPr>
          <w:rFonts w:hint="eastAsia" w:hAnsi="宋体"/>
          <w:color w:val="auto"/>
          <w:szCs w:val="21"/>
          <w:highlight w:val="none"/>
          <w:lang w:val="en-US" w:eastAsia="zh-CN"/>
        </w:rPr>
        <w:t>合同一年一签</w:t>
      </w:r>
      <w:r>
        <w:rPr>
          <w:rFonts w:hint="eastAsia" w:hAnsi="宋体"/>
          <w:color w:val="auto"/>
          <w:szCs w:val="21"/>
          <w:highlight w:val="none"/>
        </w:rPr>
        <w:t>。</w:t>
      </w:r>
    </w:p>
    <w:p w14:paraId="086FBBF5">
      <w:pPr>
        <w:tabs>
          <w:tab w:val="left" w:pos="900"/>
        </w:tabs>
        <w:spacing w:before="156" w:beforeLines="50" w:line="360" w:lineRule="auto"/>
        <w:rPr>
          <w:rFonts w:hAnsi="宋体"/>
          <w:color w:val="auto"/>
          <w:szCs w:val="21"/>
          <w:highlight w:val="none"/>
        </w:rPr>
      </w:pPr>
      <w:r>
        <w:rPr>
          <w:rFonts w:hint="eastAsia" w:hAnsi="宋体"/>
          <w:color w:val="auto"/>
          <w:szCs w:val="21"/>
          <w:highlight w:val="none"/>
        </w:rPr>
        <w:t>（四）</w:t>
      </w:r>
      <w:r>
        <w:rPr>
          <w:rFonts w:hAnsi="宋体"/>
          <w:color w:val="auto"/>
          <w:szCs w:val="21"/>
          <w:highlight w:val="none"/>
        </w:rPr>
        <w:t>交付地点：</w:t>
      </w:r>
      <w:r>
        <w:rPr>
          <w:rFonts w:hint="eastAsia" w:hAnsi="宋体"/>
          <w:color w:val="auto"/>
          <w:szCs w:val="21"/>
          <w:highlight w:val="none"/>
          <w:u w:val="single"/>
        </w:rPr>
        <w:t xml:space="preserve"> 西安交通大学创新港校区</w:t>
      </w:r>
      <w:r>
        <w:rPr>
          <w:rFonts w:hAnsi="宋体"/>
          <w:color w:val="auto"/>
          <w:szCs w:val="21"/>
          <w:highlight w:val="none"/>
          <w:u w:val="single"/>
        </w:rPr>
        <w:t xml:space="preserve"> </w:t>
      </w:r>
      <w:r>
        <w:rPr>
          <w:rFonts w:hint="eastAsia" w:hAnsi="宋体"/>
          <w:color w:val="auto"/>
          <w:szCs w:val="21"/>
          <w:highlight w:val="none"/>
        </w:rPr>
        <w:t>。</w:t>
      </w:r>
    </w:p>
    <w:p w14:paraId="39C482C5">
      <w:pPr>
        <w:tabs>
          <w:tab w:val="left" w:pos="900"/>
        </w:tabs>
        <w:spacing w:before="156" w:beforeLines="50" w:line="360" w:lineRule="auto"/>
        <w:rPr>
          <w:rFonts w:hAnsi="宋体"/>
          <w:color w:val="auto"/>
          <w:szCs w:val="21"/>
          <w:highlight w:val="none"/>
        </w:rPr>
      </w:pPr>
      <w:r>
        <w:rPr>
          <w:rFonts w:hint="eastAsia" w:hAnsi="宋体"/>
          <w:color w:val="auto"/>
          <w:szCs w:val="21"/>
          <w:highlight w:val="none"/>
        </w:rPr>
        <w:t>（五）付款进度安排：</w:t>
      </w:r>
      <w:r>
        <w:rPr>
          <w:rFonts w:hint="eastAsia" w:hAnsi="宋体"/>
          <w:color w:val="auto"/>
          <w:szCs w:val="21"/>
          <w:highlight w:val="none"/>
          <w:u w:val="single"/>
        </w:rPr>
        <w:t xml:space="preserve"> 每月考核，</w:t>
      </w:r>
      <w:r>
        <w:rPr>
          <w:rFonts w:hint="eastAsia" w:hAnsi="宋体"/>
          <w:color w:val="auto"/>
          <w:szCs w:val="21"/>
          <w:highlight w:val="none"/>
          <w:u w:val="single"/>
          <w:lang w:val="en-US" w:eastAsia="zh-CN"/>
        </w:rPr>
        <w:t>按季度支付</w:t>
      </w:r>
      <w:r>
        <w:rPr>
          <w:rFonts w:hAnsi="宋体"/>
          <w:color w:val="auto"/>
          <w:szCs w:val="21"/>
          <w:highlight w:val="none"/>
          <w:u w:val="single"/>
        </w:rPr>
        <w:t xml:space="preserve"> </w:t>
      </w:r>
      <w:r>
        <w:rPr>
          <w:rFonts w:hint="eastAsia" w:hAnsi="宋体"/>
          <w:color w:val="auto"/>
          <w:szCs w:val="21"/>
          <w:highlight w:val="none"/>
        </w:rPr>
        <w:t>。</w:t>
      </w:r>
    </w:p>
    <w:p w14:paraId="5DEB9A18">
      <w:pPr>
        <w:tabs>
          <w:tab w:val="left" w:pos="900"/>
        </w:tabs>
        <w:spacing w:before="156" w:beforeLines="50" w:line="360" w:lineRule="auto"/>
        <w:rPr>
          <w:rFonts w:hAnsi="宋体"/>
          <w:b/>
          <w:color w:val="auto"/>
          <w:szCs w:val="21"/>
          <w:highlight w:val="none"/>
        </w:rPr>
      </w:pPr>
      <w:r>
        <w:rPr>
          <w:rFonts w:hint="eastAsia" w:hAnsi="宋体"/>
          <w:b/>
          <w:color w:val="auto"/>
          <w:szCs w:val="21"/>
          <w:highlight w:val="none"/>
        </w:rPr>
        <w:t>四、采购标的需满足的质量、安全、技术规格、物理特性等要求：</w:t>
      </w:r>
    </w:p>
    <w:p w14:paraId="26D9B41B">
      <w:pPr>
        <w:pStyle w:val="2"/>
        <w:rPr>
          <w:color w:val="auto"/>
          <w:sz w:val="21"/>
          <w:szCs w:val="21"/>
          <w:highlight w:val="none"/>
        </w:rPr>
      </w:pPr>
      <w:r>
        <w:rPr>
          <w:rFonts w:hint="eastAsia"/>
          <w:color w:val="auto"/>
          <w:sz w:val="21"/>
          <w:szCs w:val="21"/>
          <w:highlight w:val="none"/>
        </w:rPr>
        <w:t>（一）服务内容</w:t>
      </w:r>
    </w:p>
    <w:p w14:paraId="476D668C">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 xml:space="preserve">投标人需保证电梯安全可靠、有序、舒适的运行。  </w:t>
      </w:r>
    </w:p>
    <w:p w14:paraId="29891826">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每台电梯每月至少维保2次，每年至少维保25次，维保</w:t>
      </w:r>
      <w:r>
        <w:rPr>
          <w:rFonts w:hint="eastAsia"/>
          <w:szCs w:val="21"/>
        </w:rPr>
        <w:t>内容按照国家相关规定执行</w:t>
      </w:r>
      <w:r>
        <w:rPr>
          <w:rFonts w:hint="eastAsia"/>
          <w:color w:val="auto"/>
          <w:szCs w:val="21"/>
          <w:highlight w:val="none"/>
        </w:rPr>
        <w:t>。</w:t>
      </w:r>
    </w:p>
    <w:p w14:paraId="25C7998C">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投标人维保范围特别指出包括电梯的监控设备、井道照明机房照明及轿箱照明、设备及机房卫生、轿箱内贴纸。</w:t>
      </w:r>
    </w:p>
    <w:p w14:paraId="3074DAEC">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 xml:space="preserve">投标人负责办理年检相关手续，保证采购人电梯年检通过，年检费用由招标方负责，限速器—安全钳动作试验、下行制动实验费用、复检费用由投标人负责。 </w:t>
      </w:r>
    </w:p>
    <w:p w14:paraId="5ACA35B0">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 xml:space="preserve">投标人负责监视电梯状态（运行异响、运行平稳度、运行次数、电梯所有部件外观及标签、安全贴纸、元器件老化程度等），如果发现任何异常应及时告知采购人，对影响电梯安全运行的问题应及时拿出可行性方案。 </w:t>
      </w:r>
    </w:p>
    <w:p w14:paraId="4E328D19">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因电梯使用不当引发的电梯故障停梯，投标人应尽维修责任，尽快恢复电梯正常运行。</w:t>
      </w:r>
    </w:p>
    <w:p w14:paraId="5E62222D">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电梯故障停梯时间不得超过24小时，如有特殊情况（电梯配件损坏需更换、发生事故需安全评估）停梯不得超过3天。</w:t>
      </w:r>
    </w:p>
    <w:p w14:paraId="38C73EB8">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 xml:space="preserve">由于投标人维保不当或失误造成的电梯损坏及由此产生的人身伤害赔偿、电梯维修费用等由投标人承担。 </w:t>
      </w:r>
    </w:p>
    <w:p w14:paraId="4388B9F9">
      <w:pPr>
        <w:numPr>
          <w:ilvl w:val="0"/>
          <w:numId w:val="2"/>
        </w:numPr>
        <w:tabs>
          <w:tab w:val="left" w:pos="900"/>
        </w:tabs>
        <w:spacing w:before="156" w:beforeLines="50" w:line="360" w:lineRule="auto"/>
        <w:ind w:firstLine="420" w:firstLineChars="200"/>
        <w:rPr>
          <w:color w:val="auto"/>
          <w:szCs w:val="21"/>
          <w:highlight w:val="none"/>
        </w:rPr>
      </w:pPr>
      <w:r>
        <w:rPr>
          <w:rFonts w:hint="eastAsia"/>
          <w:szCs w:val="21"/>
        </w:rPr>
        <w:t>电梯被更换的所有零配件属采购人所有，能修复的机械配件由投标人负责维修，电子器件只更换不维修。单次单个配件市场价格在</w:t>
      </w:r>
      <w:r>
        <w:rPr>
          <w:szCs w:val="21"/>
        </w:rPr>
        <w:t>1000</w:t>
      </w:r>
      <w:r>
        <w:rPr>
          <w:rFonts w:hint="eastAsia"/>
          <w:szCs w:val="21"/>
        </w:rPr>
        <w:t>元以下（含</w:t>
      </w:r>
      <w:r>
        <w:rPr>
          <w:szCs w:val="21"/>
        </w:rPr>
        <w:t>100</w:t>
      </w:r>
      <w:r>
        <w:rPr>
          <w:rFonts w:hint="eastAsia"/>
          <w:szCs w:val="21"/>
        </w:rPr>
        <w:t>0元）的配件由中标人采购、更换并承担相关费用，采购相关单据需在主管部门备案； 1000元以上的由投标人向采购人提出纸质申请，采购人同意后方可实施。另外，设备大修所涉及的人工费包含在本采购项目内。</w:t>
      </w:r>
    </w:p>
    <w:p w14:paraId="65BD9CF1">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维护保养工作所涉及到的润滑剂均由</w:t>
      </w:r>
      <w:r>
        <w:rPr>
          <w:rFonts w:hint="eastAsia"/>
          <w:szCs w:val="21"/>
        </w:rPr>
        <w:t>中标方提供，废弃油脂由中标方处理</w:t>
      </w:r>
      <w:r>
        <w:rPr>
          <w:rFonts w:hint="eastAsia"/>
          <w:color w:val="auto"/>
          <w:szCs w:val="21"/>
          <w:highlight w:val="none"/>
        </w:rPr>
        <w:t>。</w:t>
      </w:r>
    </w:p>
    <w:p w14:paraId="7D55B027">
      <w:pPr>
        <w:numPr>
          <w:ilvl w:val="0"/>
          <w:numId w:val="2"/>
        </w:numPr>
        <w:tabs>
          <w:tab w:val="left" w:pos="900"/>
        </w:tabs>
        <w:spacing w:before="156" w:beforeLines="50" w:line="360" w:lineRule="auto"/>
        <w:ind w:firstLine="420" w:firstLineChars="200"/>
        <w:rPr>
          <w:szCs w:val="21"/>
        </w:rPr>
      </w:pPr>
      <w:r>
        <w:rPr>
          <w:rFonts w:hint="eastAsia"/>
          <w:szCs w:val="21"/>
        </w:rPr>
        <w:t>投标人应提供详细维保服务方案和计划，并承诺维保人员应在每月提供给采购人一份电梯运行及维保情况报告和维保计划（内容包含维保时间、维保项目、维保目的、维保达到效果、参加人员名单）。</w:t>
      </w:r>
    </w:p>
    <w:p w14:paraId="6890957A">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 xml:space="preserve">投标人维保人员在采购人区域内受到任何财产与人身伤害由投标人负责。 </w:t>
      </w:r>
    </w:p>
    <w:p w14:paraId="12C1BEDF">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电梯保养人员要固定，有2年以上本现场相关型号电梯的维保工作经验，遵守职业道德。采购人有权要求调整不适合的维保人员。</w:t>
      </w:r>
    </w:p>
    <w:p w14:paraId="52D6BE1F">
      <w:pPr>
        <w:numPr>
          <w:ilvl w:val="0"/>
          <w:numId w:val="2"/>
        </w:numPr>
        <w:tabs>
          <w:tab w:val="left" w:pos="900"/>
        </w:tabs>
        <w:spacing w:before="156" w:beforeLines="50" w:line="360" w:lineRule="auto"/>
        <w:ind w:firstLine="420" w:firstLineChars="200"/>
        <w:rPr>
          <w:color w:val="auto"/>
          <w:szCs w:val="21"/>
          <w:highlight w:val="none"/>
        </w:rPr>
      </w:pPr>
      <w:r>
        <w:rPr>
          <w:rFonts w:hint="eastAsia"/>
          <w:color w:val="auto"/>
          <w:szCs w:val="21"/>
          <w:highlight w:val="none"/>
        </w:rPr>
        <w:t>投标人维保人员在采购人现场工作的，采购人提供办公场所，投标人必须遵守采购人针对办公场所制定的所有制度。投标人应配合采购人组织的一切与电梯相关的工作，并提供技术支持。</w:t>
      </w:r>
    </w:p>
    <w:p w14:paraId="2D1E465A">
      <w:pPr>
        <w:numPr>
          <w:ilvl w:val="0"/>
          <w:numId w:val="2"/>
        </w:numPr>
        <w:tabs>
          <w:tab w:val="left" w:pos="900"/>
        </w:tabs>
        <w:spacing w:before="156" w:beforeLines="50" w:line="360" w:lineRule="auto"/>
        <w:ind w:firstLine="420" w:firstLineChars="200"/>
        <w:rPr>
          <w:color w:val="auto"/>
          <w:highlight w:val="none"/>
        </w:rPr>
      </w:pPr>
      <w:r>
        <w:rPr>
          <w:rFonts w:hint="eastAsia"/>
          <w:color w:val="auto"/>
          <w:szCs w:val="21"/>
          <w:highlight w:val="none"/>
        </w:rPr>
        <w:t>投标人在维护保养过程中，免费调换因保养不当而损坏的零部件；如因采购人管理、使用不当、人为损坏、不可抗力或非保养范围内的原因，而导致电梯设备零部件需要修理、更换的，投标人应进行报价，待采购人同意后，投标人应严格按照国家有关法规、规章、规定实施更换。</w:t>
      </w:r>
    </w:p>
    <w:p w14:paraId="1209CA00">
      <w:pPr>
        <w:numPr>
          <w:ilvl w:val="0"/>
          <w:numId w:val="2"/>
        </w:numPr>
        <w:tabs>
          <w:tab w:val="left" w:pos="900"/>
        </w:tabs>
        <w:spacing w:before="156" w:beforeLines="50" w:line="360" w:lineRule="auto"/>
        <w:ind w:firstLine="420" w:firstLineChars="200"/>
        <w:rPr>
          <w:color w:val="auto"/>
          <w:szCs w:val="21"/>
          <w:highlight w:val="none"/>
        </w:rPr>
      </w:pPr>
      <w:r>
        <w:rPr>
          <w:rFonts w:hint="eastAsia"/>
          <w:szCs w:val="21"/>
        </w:rPr>
        <w:t>投标人应提供详细的易损件、耗材清单及报价。</w:t>
      </w:r>
    </w:p>
    <w:p w14:paraId="52943EA6">
      <w:pPr>
        <w:pStyle w:val="2"/>
        <w:numPr>
          <w:ilvl w:val="0"/>
          <w:numId w:val="3"/>
        </w:numPr>
        <w:rPr>
          <w:sz w:val="21"/>
          <w:szCs w:val="21"/>
        </w:rPr>
      </w:pPr>
      <w:r>
        <w:rPr>
          <w:rFonts w:hint="eastAsia"/>
          <w:sz w:val="21"/>
          <w:szCs w:val="21"/>
        </w:rPr>
        <w:t>需维保设备清单</w:t>
      </w:r>
    </w:p>
    <w:p w14:paraId="2AFE7DD6">
      <w:pPr>
        <w:pStyle w:val="3"/>
        <w:ind w:firstLine="420" w:firstLineChars="200"/>
        <w:rPr>
          <w:szCs w:val="21"/>
        </w:rPr>
      </w:pPr>
      <w:r>
        <w:rPr>
          <w:rFonts w:hint="eastAsia"/>
          <w:szCs w:val="21"/>
        </w:rPr>
        <w:t>详见附件2。</w:t>
      </w:r>
    </w:p>
    <w:p w14:paraId="0C457646">
      <w:pPr>
        <w:numPr>
          <w:ilvl w:val="0"/>
          <w:numId w:val="4"/>
        </w:numPr>
        <w:tabs>
          <w:tab w:val="left" w:pos="900"/>
        </w:tabs>
        <w:spacing w:before="156" w:beforeLines="50" w:line="360" w:lineRule="auto"/>
        <w:rPr>
          <w:rFonts w:hAnsi="宋体"/>
          <w:b/>
          <w:color w:val="auto"/>
          <w:szCs w:val="21"/>
          <w:highlight w:val="none"/>
        </w:rPr>
      </w:pPr>
      <w:r>
        <w:rPr>
          <w:rFonts w:hint="eastAsia" w:hAnsi="宋体"/>
          <w:b/>
          <w:color w:val="auto"/>
          <w:szCs w:val="21"/>
          <w:highlight w:val="none"/>
        </w:rPr>
        <w:t>采购标的需满足的服务标准、期限、效率等要求</w:t>
      </w:r>
    </w:p>
    <w:p w14:paraId="7A50600D">
      <w:pPr>
        <w:pStyle w:val="3"/>
        <w:numPr>
          <w:ilvl w:val="0"/>
          <w:numId w:val="5"/>
        </w:numPr>
        <w:rPr>
          <w:color w:val="auto"/>
          <w:highlight w:val="none"/>
        </w:rPr>
      </w:pPr>
      <w:r>
        <w:rPr>
          <w:rFonts w:hint="eastAsia"/>
          <w:color w:val="auto"/>
          <w:szCs w:val="21"/>
          <w:highlight w:val="none"/>
        </w:rPr>
        <w:t>资质要求</w:t>
      </w:r>
    </w:p>
    <w:p w14:paraId="65CA05C0">
      <w:pPr>
        <w:tabs>
          <w:tab w:val="left" w:pos="900"/>
        </w:tabs>
        <w:spacing w:before="156" w:beforeLines="50" w:line="360" w:lineRule="auto"/>
        <w:ind w:left="420" w:leftChars="200" w:firstLine="420" w:firstLineChars="200"/>
        <w:rPr>
          <w:rFonts w:hAnsi="宋体"/>
          <w:color w:val="auto"/>
          <w:szCs w:val="21"/>
          <w:highlight w:val="none"/>
        </w:rPr>
      </w:pPr>
      <w:r>
        <w:rPr>
          <w:rFonts w:hint="eastAsia" w:hAnsi="宋体"/>
          <w:color w:val="auto"/>
          <w:szCs w:val="21"/>
          <w:highlight w:val="none"/>
        </w:rPr>
        <w:t>投标人须提供《中华人民共和国特种设备安装改造修理许可证》许可级别等于或高于B级。或提供《中华人民共和国特种设备生产许可证》许可项目为电梯安装（含修理），许可参数级别等于或高于“≤2.5m/s”或许可参数级别为“—”。（参考TSG 07—2019特种设备生产和充装单位许可规则）</w:t>
      </w:r>
    </w:p>
    <w:p w14:paraId="10247AAE">
      <w:pPr>
        <w:pStyle w:val="3"/>
        <w:numPr>
          <w:ilvl w:val="0"/>
          <w:numId w:val="5"/>
        </w:numPr>
        <w:rPr>
          <w:color w:val="auto"/>
          <w:highlight w:val="none"/>
        </w:rPr>
      </w:pPr>
      <w:r>
        <w:rPr>
          <w:rFonts w:hint="eastAsia"/>
          <w:color w:val="auto"/>
          <w:highlight w:val="none"/>
        </w:rPr>
        <w:t>服务承诺</w:t>
      </w:r>
    </w:p>
    <w:p w14:paraId="122EFF91">
      <w:pPr>
        <w:numPr>
          <w:ilvl w:val="0"/>
          <w:numId w:val="6"/>
        </w:numPr>
        <w:tabs>
          <w:tab w:val="left" w:pos="900"/>
        </w:tabs>
        <w:spacing w:before="156" w:beforeLines="50" w:line="360" w:lineRule="auto"/>
        <w:ind w:left="0" w:firstLine="420" w:firstLineChars="200"/>
        <w:rPr>
          <w:rFonts w:hAnsi="宋体"/>
          <w:color w:val="auto"/>
          <w:szCs w:val="21"/>
          <w:highlight w:val="none"/>
        </w:rPr>
      </w:pPr>
      <w:r>
        <w:rPr>
          <w:rFonts w:hint="eastAsia" w:hAnsi="宋体"/>
          <w:color w:val="auto"/>
          <w:szCs w:val="21"/>
          <w:highlight w:val="none"/>
        </w:rPr>
        <w:t>投标人须具有完备的售后服务保障体系,供应商需在校区或附近设立维保站；</w:t>
      </w:r>
    </w:p>
    <w:p w14:paraId="543B9902">
      <w:pPr>
        <w:numPr>
          <w:ilvl w:val="0"/>
          <w:numId w:val="6"/>
        </w:numPr>
        <w:tabs>
          <w:tab w:val="left" w:pos="900"/>
        </w:tabs>
        <w:spacing w:before="156" w:beforeLines="50" w:line="360" w:lineRule="auto"/>
        <w:ind w:left="0" w:firstLine="420" w:firstLineChars="200"/>
        <w:rPr>
          <w:rFonts w:hAnsi="宋体"/>
          <w:szCs w:val="21"/>
        </w:rPr>
      </w:pPr>
      <w:r>
        <w:rPr>
          <w:rFonts w:hint="eastAsia" w:hAnsi="宋体"/>
          <w:szCs w:val="21"/>
        </w:rPr>
        <w:t>提供24小时紧急救援、维修服务、救援电话。</w:t>
      </w:r>
    </w:p>
    <w:p w14:paraId="3786FCC9">
      <w:pPr>
        <w:pStyle w:val="3"/>
        <w:numPr>
          <w:ilvl w:val="0"/>
          <w:numId w:val="5"/>
        </w:numPr>
        <w:rPr>
          <w:color w:val="auto"/>
          <w:highlight w:val="none"/>
        </w:rPr>
      </w:pPr>
      <w:r>
        <w:rPr>
          <w:rFonts w:hint="eastAsia"/>
          <w:color w:val="auto"/>
          <w:highlight w:val="none"/>
        </w:rPr>
        <w:t xml:space="preserve">其他要求 </w:t>
      </w:r>
    </w:p>
    <w:p w14:paraId="03A65326">
      <w:pPr>
        <w:numPr>
          <w:ilvl w:val="0"/>
          <w:numId w:val="6"/>
        </w:numPr>
        <w:tabs>
          <w:tab w:val="left" w:pos="900"/>
        </w:tabs>
        <w:spacing w:before="156" w:beforeLines="50" w:line="360" w:lineRule="auto"/>
        <w:ind w:left="0" w:firstLine="420" w:firstLineChars="200"/>
        <w:rPr>
          <w:rFonts w:hAnsi="宋体"/>
          <w:color w:val="auto"/>
          <w:szCs w:val="21"/>
          <w:highlight w:val="none"/>
        </w:rPr>
      </w:pPr>
      <w:r>
        <w:rPr>
          <w:rFonts w:hint="eastAsia" w:hAnsi="宋体"/>
          <w:color w:val="auto"/>
          <w:szCs w:val="21"/>
          <w:highlight w:val="none"/>
        </w:rPr>
        <w:t>服务期内由供应商所更换的配件质保期至少</w:t>
      </w:r>
      <w:r>
        <w:rPr>
          <w:rFonts w:hint="eastAsia" w:hAnsi="宋体"/>
          <w:color w:val="auto"/>
          <w:szCs w:val="21"/>
          <w:highlight w:val="none"/>
          <w:u w:val="single"/>
        </w:rPr>
        <w:t xml:space="preserve"> 1 </w:t>
      </w:r>
      <w:r>
        <w:rPr>
          <w:rFonts w:hint="eastAsia" w:hAnsi="宋体"/>
          <w:color w:val="auto"/>
          <w:szCs w:val="21"/>
          <w:highlight w:val="none"/>
        </w:rPr>
        <w:t>年，对于特别约定质保期的零配件按照约定执行。质保期满后，仍需提供专业维修保养服务，投标人在投标文件中需注明维修服务单项报价。</w:t>
      </w:r>
    </w:p>
    <w:p w14:paraId="7AC18064">
      <w:pPr>
        <w:numPr>
          <w:ilvl w:val="0"/>
          <w:numId w:val="6"/>
        </w:numPr>
        <w:tabs>
          <w:tab w:val="left" w:pos="900"/>
        </w:tabs>
        <w:spacing w:before="156" w:beforeLines="50" w:line="360" w:lineRule="auto"/>
        <w:ind w:left="0" w:firstLine="420" w:firstLineChars="200"/>
        <w:rPr>
          <w:rFonts w:hAnsi="宋体"/>
          <w:color w:val="auto"/>
          <w:szCs w:val="21"/>
          <w:highlight w:val="none"/>
        </w:rPr>
      </w:pPr>
      <w:r>
        <w:rPr>
          <w:rFonts w:hint="eastAsia" w:hAnsi="宋体"/>
          <w:color w:val="auto"/>
          <w:szCs w:val="21"/>
          <w:highlight w:val="none"/>
        </w:rPr>
        <w:t>服务响应时间：接到维修电话后15分钟内给予明确答复，30分钟内到达现场维修。维修人员到现场后若问题特殊无法现场修复的，供应商需在2小时内给出合理解决方案，并按照约定时间完成维修。另外，</w:t>
      </w:r>
      <w:r>
        <w:rPr>
          <w:rFonts w:hint="eastAsia"/>
          <w:color w:val="auto"/>
          <w:szCs w:val="21"/>
          <w:highlight w:val="none"/>
        </w:rPr>
        <w:t>供应商需提供24小时应急救援服务，对电梯困人事故要求能在接到告警后15分钟内到达现场，到达现场后第一时间内把乘客从轿厢中救出。</w:t>
      </w:r>
    </w:p>
    <w:p w14:paraId="5DA3A4CB">
      <w:pPr>
        <w:numPr>
          <w:ilvl w:val="0"/>
          <w:numId w:val="6"/>
        </w:numPr>
        <w:tabs>
          <w:tab w:val="left" w:pos="900"/>
        </w:tabs>
        <w:spacing w:before="156" w:beforeLines="50" w:line="360" w:lineRule="auto"/>
        <w:ind w:left="0" w:firstLine="420" w:firstLineChars="200"/>
        <w:rPr>
          <w:rFonts w:hAnsi="宋体"/>
          <w:color w:val="auto"/>
          <w:szCs w:val="21"/>
          <w:highlight w:val="none"/>
        </w:rPr>
      </w:pPr>
      <w:r>
        <w:rPr>
          <w:rFonts w:hint="eastAsia" w:hAnsi="宋体"/>
          <w:color w:val="auto"/>
          <w:szCs w:val="21"/>
          <w:highlight w:val="none"/>
        </w:rPr>
        <w:t xml:space="preserve">培训及演练要求： </w:t>
      </w:r>
      <w:r>
        <w:rPr>
          <w:rFonts w:hint="eastAsia" w:hAnsi="宋体"/>
          <w:color w:val="auto"/>
          <w:szCs w:val="21"/>
          <w:highlight w:val="none"/>
          <w:u w:val="single"/>
        </w:rPr>
        <w:t xml:space="preserve"> 按照有关法规、规章、规定实施。 </w:t>
      </w:r>
      <w:r>
        <w:rPr>
          <w:rFonts w:hint="eastAsia" w:hAnsi="宋体"/>
          <w:color w:val="auto"/>
          <w:szCs w:val="21"/>
          <w:highlight w:val="none"/>
        </w:rPr>
        <w:t xml:space="preserve">  </w:t>
      </w:r>
    </w:p>
    <w:p w14:paraId="421452EF">
      <w:pPr>
        <w:numPr>
          <w:ilvl w:val="0"/>
          <w:numId w:val="7"/>
        </w:numPr>
        <w:tabs>
          <w:tab w:val="left" w:pos="900"/>
        </w:tabs>
        <w:spacing w:before="156" w:beforeLines="50" w:line="360" w:lineRule="auto"/>
        <w:rPr>
          <w:rFonts w:ascii="宋体" w:hAnsi="宋体"/>
          <w:b/>
          <w:color w:val="auto"/>
          <w:szCs w:val="21"/>
          <w:highlight w:val="none"/>
        </w:rPr>
      </w:pPr>
      <w:r>
        <w:rPr>
          <w:rFonts w:hint="eastAsia" w:ascii="宋体" w:hAnsi="宋体"/>
          <w:b/>
          <w:color w:val="auto"/>
          <w:szCs w:val="21"/>
          <w:highlight w:val="none"/>
        </w:rPr>
        <w:t>考核及付款</w:t>
      </w:r>
    </w:p>
    <w:p w14:paraId="33F17A2D">
      <w:pPr>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合同签订以后，中标人须交纳中标价款的5%作为履约保证金，合同期满采购人不计息退付。若由于中标人服务造成合同不满一年终止的，采购人将扣除全部履约保证金。</w:t>
      </w:r>
    </w:p>
    <w:p w14:paraId="0027FF9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服务期内每月根据考核表（附件一）所列标准要求进行服务质量考核，根据考核结果每三个月支付服务费。</w:t>
      </w:r>
    </w:p>
    <w:p w14:paraId="30451765">
      <w:pPr>
        <w:adjustRightInd w:val="0"/>
        <w:snapToGrid w:val="0"/>
        <w:spacing w:line="360" w:lineRule="auto"/>
        <w:ind w:firstLine="420" w:firstLineChars="200"/>
        <w:rPr>
          <w:rFonts w:hint="eastAsia" w:ascii="宋体" w:hAnsi="宋体"/>
          <w:color w:val="auto"/>
          <w:szCs w:val="21"/>
          <w:highlight w:val="none"/>
        </w:rPr>
      </w:pPr>
      <w:r>
        <w:rPr>
          <w:rFonts w:hint="eastAsia" w:hAnsi="宋体"/>
          <w:color w:val="auto"/>
          <w:szCs w:val="21"/>
          <w:highlight w:val="none"/>
          <w:lang w:val="en-US" w:eastAsia="zh-CN"/>
        </w:rPr>
        <w:t>本项目</w:t>
      </w:r>
      <w:r>
        <w:rPr>
          <w:rFonts w:hint="eastAsia" w:hAnsi="宋体"/>
          <w:color w:val="auto"/>
          <w:szCs w:val="21"/>
          <w:highlight w:val="none"/>
        </w:rPr>
        <w:t>一招三年</w:t>
      </w:r>
      <w:r>
        <w:rPr>
          <w:rFonts w:hint="eastAsia" w:hAnsi="宋体"/>
          <w:color w:val="auto"/>
          <w:szCs w:val="21"/>
          <w:highlight w:val="none"/>
          <w:lang w:eastAsia="zh-CN"/>
        </w:rPr>
        <w:t>，</w:t>
      </w:r>
      <w:r>
        <w:rPr>
          <w:rFonts w:hint="eastAsia" w:hAnsi="宋体"/>
          <w:color w:val="auto"/>
          <w:szCs w:val="21"/>
          <w:highlight w:val="none"/>
          <w:lang w:val="en-US" w:eastAsia="zh-CN"/>
        </w:rPr>
        <w:t>合同一年一签</w:t>
      </w:r>
      <w:r>
        <w:rPr>
          <w:rFonts w:hint="eastAsia" w:hAnsi="宋体"/>
          <w:color w:val="auto"/>
          <w:szCs w:val="21"/>
          <w:highlight w:val="none"/>
        </w:rPr>
        <w:t>。</w:t>
      </w:r>
      <w:r>
        <w:rPr>
          <w:rFonts w:hint="eastAsia" w:ascii="宋体" w:hAnsi="宋体" w:cs="Times New Roman"/>
          <w:szCs w:val="21"/>
        </w:rPr>
        <w:t>每个服务年度末，采购人将对供应商进行年度服务质量综合评价，结合供应商本合同期内的服务质量、响应速度、月考核情况以及整改落实情况进行综合评判，合格者续签下一年度服务合同，不合格者终止合同。</w:t>
      </w:r>
    </w:p>
    <w:p w14:paraId="2D17C6F4">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七、现场勘察</w:t>
      </w:r>
    </w:p>
    <w:p w14:paraId="2F694505">
      <w:pPr>
        <w:adjustRightInd w:val="0"/>
        <w:snapToGrid w:val="0"/>
        <w:spacing w:line="360" w:lineRule="auto"/>
        <w:ind w:firstLine="525" w:firstLineChars="250"/>
        <w:rPr>
          <w:rFonts w:ascii="宋体" w:hAnsi="宋体"/>
          <w:color w:val="auto"/>
          <w:szCs w:val="21"/>
          <w:highlight w:val="none"/>
        </w:rPr>
      </w:pPr>
      <w:bookmarkStart w:id="4" w:name="_Hlk105230281"/>
      <w:r>
        <w:rPr>
          <w:rFonts w:hint="eastAsia" w:ascii="宋体" w:hAnsi="宋体"/>
          <w:color w:val="auto"/>
          <w:szCs w:val="21"/>
          <w:highlight w:val="none"/>
        </w:rPr>
        <w:t>本项目不统一组织现场勘察和答疑会，有需要的单位请自行联系项目联系人。</w:t>
      </w:r>
    </w:p>
    <w:p w14:paraId="3FE3CEB4">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1.联系人：马彦明</w:t>
      </w:r>
    </w:p>
    <w:p w14:paraId="3E8BB9C0">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2.电话：17791399453</w:t>
      </w:r>
    </w:p>
    <w:p w14:paraId="3DA35D72">
      <w:pPr>
        <w:adjustRightInd w:val="0"/>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3.注意事项：报名结束后需要现场勘察的单位应在报名截止后开标前联系项目联系人，现场勘察产生的费用和需要的工具均由各单位自行解决。</w:t>
      </w:r>
    </w:p>
    <w:p w14:paraId="374EBE1D">
      <w:pPr>
        <w:pStyle w:val="2"/>
        <w:rPr>
          <w:rFonts w:ascii="宋体" w:hAnsi="宋体"/>
          <w:b/>
          <w:color w:val="auto"/>
          <w:sz w:val="21"/>
          <w:szCs w:val="21"/>
          <w:highlight w:val="none"/>
        </w:rPr>
      </w:pPr>
    </w:p>
    <w:p w14:paraId="1A4303C0">
      <w:pPr>
        <w:pStyle w:val="2"/>
        <w:rPr>
          <w:rFonts w:ascii="宋体" w:hAnsi="宋体"/>
          <w:b/>
          <w:color w:val="auto"/>
          <w:sz w:val="21"/>
          <w:szCs w:val="21"/>
          <w:highlight w:val="none"/>
        </w:rPr>
        <w:sectPr>
          <w:footerReference r:id="rId3" w:type="default"/>
          <w:pgSz w:w="11906" w:h="16838"/>
          <w:pgMar w:top="1440" w:right="1800" w:bottom="1440" w:left="1800" w:header="851" w:footer="992" w:gutter="0"/>
          <w:pgNumType w:start="1"/>
          <w:cols w:space="425" w:num="1"/>
          <w:docGrid w:type="lines" w:linePitch="312" w:charSpace="0"/>
        </w:sectPr>
      </w:pPr>
    </w:p>
    <w:p w14:paraId="645AEE4B">
      <w:pPr>
        <w:pStyle w:val="3"/>
        <w:rPr>
          <w:color w:val="auto"/>
          <w:highlight w:val="none"/>
        </w:rPr>
      </w:pPr>
    </w:p>
    <w:p w14:paraId="6BC78D3A">
      <w:pPr>
        <w:pStyle w:val="2"/>
        <w:rPr>
          <w:rFonts w:ascii="宋体" w:hAnsi="宋体"/>
          <w:b/>
          <w:color w:val="auto"/>
          <w:sz w:val="21"/>
          <w:szCs w:val="21"/>
          <w:highlight w:val="none"/>
        </w:rPr>
      </w:pPr>
      <w:r>
        <w:rPr>
          <w:rFonts w:hint="eastAsia" w:ascii="宋体" w:hAnsi="宋体"/>
          <w:b/>
          <w:color w:val="auto"/>
          <w:sz w:val="21"/>
          <w:szCs w:val="21"/>
          <w:highlight w:val="none"/>
        </w:rPr>
        <w:t>附件1：考核办法</w:t>
      </w:r>
    </w:p>
    <w:p w14:paraId="7E4F719A">
      <w:pPr>
        <w:jc w:val="center"/>
        <w:rPr>
          <w:rFonts w:eastAsiaTheme="minorEastAsia"/>
          <w:color w:val="auto"/>
          <w:sz w:val="36"/>
          <w:szCs w:val="40"/>
          <w:highlight w:val="none"/>
        </w:rPr>
      </w:pPr>
      <w:r>
        <w:rPr>
          <w:rFonts w:hint="eastAsia"/>
          <w:color w:val="auto"/>
          <w:sz w:val="36"/>
          <w:szCs w:val="40"/>
          <w:highlight w:val="none"/>
        </w:rPr>
        <w:t>创新港电梯维保考核表</w:t>
      </w:r>
    </w:p>
    <w:tbl>
      <w:tblPr>
        <w:tblStyle w:val="10"/>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231"/>
        <w:gridCol w:w="4252"/>
        <w:gridCol w:w="2378"/>
        <w:gridCol w:w="2808"/>
        <w:gridCol w:w="2808"/>
      </w:tblGrid>
      <w:tr w14:paraId="443B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3E9CB707">
            <w:pPr>
              <w:spacing w:line="360" w:lineRule="auto"/>
              <w:jc w:val="center"/>
              <w:rPr>
                <w:color w:val="auto"/>
                <w:szCs w:val="21"/>
                <w:highlight w:val="none"/>
              </w:rPr>
            </w:pPr>
            <w:r>
              <w:rPr>
                <w:rFonts w:hint="eastAsia"/>
                <w:color w:val="auto"/>
                <w:szCs w:val="21"/>
                <w:highlight w:val="none"/>
              </w:rPr>
              <w:t>序号</w:t>
            </w:r>
          </w:p>
        </w:tc>
        <w:tc>
          <w:tcPr>
            <w:tcW w:w="1231" w:type="dxa"/>
            <w:vAlign w:val="center"/>
          </w:tcPr>
          <w:p w14:paraId="2650267D">
            <w:pPr>
              <w:spacing w:line="360" w:lineRule="auto"/>
              <w:jc w:val="center"/>
              <w:rPr>
                <w:color w:val="auto"/>
                <w:szCs w:val="21"/>
                <w:highlight w:val="none"/>
              </w:rPr>
            </w:pPr>
            <w:r>
              <w:rPr>
                <w:rFonts w:hint="eastAsia"/>
                <w:color w:val="auto"/>
                <w:szCs w:val="21"/>
                <w:highlight w:val="none"/>
              </w:rPr>
              <w:t>考核内容</w:t>
            </w:r>
          </w:p>
        </w:tc>
        <w:tc>
          <w:tcPr>
            <w:tcW w:w="4252" w:type="dxa"/>
            <w:vAlign w:val="center"/>
          </w:tcPr>
          <w:p w14:paraId="282E5562">
            <w:pPr>
              <w:spacing w:line="360" w:lineRule="auto"/>
              <w:jc w:val="center"/>
              <w:rPr>
                <w:color w:val="auto"/>
                <w:szCs w:val="21"/>
                <w:highlight w:val="none"/>
              </w:rPr>
            </w:pPr>
            <w:r>
              <w:rPr>
                <w:rFonts w:hint="eastAsia"/>
                <w:color w:val="auto"/>
                <w:szCs w:val="21"/>
                <w:highlight w:val="none"/>
              </w:rPr>
              <w:t>考核标准</w:t>
            </w:r>
          </w:p>
        </w:tc>
        <w:tc>
          <w:tcPr>
            <w:tcW w:w="2378" w:type="dxa"/>
            <w:vAlign w:val="center"/>
          </w:tcPr>
          <w:p w14:paraId="0121480E">
            <w:pPr>
              <w:spacing w:line="360" w:lineRule="auto"/>
              <w:jc w:val="center"/>
              <w:rPr>
                <w:color w:val="auto"/>
                <w:szCs w:val="21"/>
                <w:highlight w:val="none"/>
              </w:rPr>
            </w:pPr>
            <w:r>
              <w:rPr>
                <w:rFonts w:hint="eastAsia"/>
                <w:color w:val="auto"/>
                <w:szCs w:val="21"/>
                <w:highlight w:val="none"/>
              </w:rPr>
              <w:t>考核方式</w:t>
            </w:r>
          </w:p>
        </w:tc>
        <w:tc>
          <w:tcPr>
            <w:tcW w:w="2808" w:type="dxa"/>
            <w:vAlign w:val="center"/>
          </w:tcPr>
          <w:p w14:paraId="29C04FCD">
            <w:pPr>
              <w:spacing w:line="360" w:lineRule="auto"/>
              <w:jc w:val="center"/>
              <w:rPr>
                <w:color w:val="auto"/>
                <w:szCs w:val="21"/>
                <w:highlight w:val="none"/>
              </w:rPr>
            </w:pPr>
            <w:r>
              <w:rPr>
                <w:rFonts w:hint="eastAsia"/>
                <w:color w:val="auto"/>
                <w:szCs w:val="21"/>
                <w:highlight w:val="none"/>
              </w:rPr>
              <w:t>处置方式</w:t>
            </w:r>
          </w:p>
        </w:tc>
        <w:tc>
          <w:tcPr>
            <w:tcW w:w="2808" w:type="dxa"/>
            <w:vAlign w:val="center"/>
          </w:tcPr>
          <w:p w14:paraId="693E8EFC">
            <w:pPr>
              <w:spacing w:line="360" w:lineRule="auto"/>
              <w:jc w:val="center"/>
              <w:rPr>
                <w:rFonts w:eastAsiaTheme="minorEastAsia"/>
                <w:color w:val="auto"/>
                <w:szCs w:val="21"/>
                <w:highlight w:val="none"/>
              </w:rPr>
            </w:pPr>
            <w:r>
              <w:rPr>
                <w:rFonts w:hint="eastAsia"/>
                <w:color w:val="auto"/>
                <w:szCs w:val="21"/>
                <w:highlight w:val="none"/>
              </w:rPr>
              <w:t>问题记录</w:t>
            </w:r>
          </w:p>
        </w:tc>
      </w:tr>
      <w:tr w14:paraId="7838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22883B80">
            <w:pPr>
              <w:jc w:val="center"/>
              <w:rPr>
                <w:color w:val="auto"/>
                <w:szCs w:val="21"/>
                <w:highlight w:val="none"/>
              </w:rPr>
            </w:pPr>
            <w:r>
              <w:rPr>
                <w:rFonts w:hint="eastAsia"/>
                <w:color w:val="auto"/>
                <w:szCs w:val="21"/>
                <w:highlight w:val="none"/>
              </w:rPr>
              <w:t>1</w:t>
            </w:r>
          </w:p>
        </w:tc>
        <w:tc>
          <w:tcPr>
            <w:tcW w:w="1231" w:type="dxa"/>
            <w:vAlign w:val="center"/>
          </w:tcPr>
          <w:p w14:paraId="2FBA2764">
            <w:pPr>
              <w:jc w:val="center"/>
              <w:rPr>
                <w:color w:val="auto"/>
                <w:szCs w:val="21"/>
                <w:highlight w:val="none"/>
              </w:rPr>
            </w:pPr>
            <w:r>
              <w:rPr>
                <w:rFonts w:hint="eastAsia" w:ascii="宋体" w:hAnsi="宋体"/>
                <w:color w:val="auto"/>
                <w:szCs w:val="21"/>
                <w:highlight w:val="none"/>
              </w:rPr>
              <w:t>设备台账</w:t>
            </w:r>
          </w:p>
        </w:tc>
        <w:tc>
          <w:tcPr>
            <w:tcW w:w="4252" w:type="dxa"/>
            <w:vAlign w:val="center"/>
          </w:tcPr>
          <w:p w14:paraId="1696721C">
            <w:pPr>
              <w:jc w:val="left"/>
              <w:rPr>
                <w:rFonts w:eastAsiaTheme="minorEastAsia"/>
                <w:color w:val="auto"/>
                <w:szCs w:val="21"/>
                <w:highlight w:val="none"/>
              </w:rPr>
            </w:pPr>
            <w:r>
              <w:rPr>
                <w:rFonts w:hint="eastAsia"/>
                <w:color w:val="auto"/>
                <w:szCs w:val="21"/>
                <w:highlight w:val="none"/>
              </w:rPr>
              <w:t>为相关管理单位提供电梯设备台账，台账信息准确、完善。</w:t>
            </w:r>
          </w:p>
        </w:tc>
        <w:tc>
          <w:tcPr>
            <w:tcW w:w="2378" w:type="dxa"/>
            <w:vAlign w:val="center"/>
          </w:tcPr>
          <w:p w14:paraId="2C1A88EE">
            <w:pPr>
              <w:jc w:val="center"/>
              <w:rPr>
                <w:color w:val="auto"/>
                <w:szCs w:val="21"/>
                <w:highlight w:val="none"/>
              </w:rPr>
            </w:pPr>
            <w:r>
              <w:rPr>
                <w:rFonts w:hint="eastAsia"/>
                <w:color w:val="auto"/>
                <w:szCs w:val="21"/>
                <w:highlight w:val="none"/>
              </w:rPr>
              <w:t>现场查看</w:t>
            </w:r>
          </w:p>
        </w:tc>
        <w:tc>
          <w:tcPr>
            <w:tcW w:w="2808" w:type="dxa"/>
            <w:vAlign w:val="center"/>
          </w:tcPr>
          <w:p w14:paraId="6F5AEEE0">
            <w:pPr>
              <w:jc w:val="center"/>
              <w:rPr>
                <w:color w:val="auto"/>
                <w:szCs w:val="21"/>
                <w:highlight w:val="none"/>
              </w:rPr>
            </w:pPr>
            <w:r>
              <w:rPr>
                <w:rFonts w:hint="eastAsia"/>
                <w:color w:val="auto"/>
                <w:szCs w:val="21"/>
                <w:highlight w:val="none"/>
              </w:rPr>
              <w:t>台账出现错误的扣除</w:t>
            </w:r>
            <w:r>
              <w:rPr>
                <w:color w:val="auto"/>
                <w:szCs w:val="21"/>
                <w:highlight w:val="none"/>
              </w:rPr>
              <w:t>100</w:t>
            </w:r>
            <w:r>
              <w:rPr>
                <w:rFonts w:hint="eastAsia"/>
                <w:color w:val="auto"/>
                <w:szCs w:val="21"/>
                <w:highlight w:val="none"/>
              </w:rPr>
              <w:t>元</w:t>
            </w:r>
          </w:p>
        </w:tc>
        <w:tc>
          <w:tcPr>
            <w:tcW w:w="2808" w:type="dxa"/>
            <w:vAlign w:val="center"/>
          </w:tcPr>
          <w:p w14:paraId="47DACE5E">
            <w:pPr>
              <w:jc w:val="center"/>
              <w:rPr>
                <w:color w:val="auto"/>
                <w:szCs w:val="21"/>
                <w:highlight w:val="none"/>
              </w:rPr>
            </w:pPr>
          </w:p>
        </w:tc>
      </w:tr>
      <w:tr w14:paraId="2568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11971862">
            <w:pPr>
              <w:spacing w:line="360" w:lineRule="auto"/>
              <w:jc w:val="center"/>
              <w:rPr>
                <w:rFonts w:eastAsiaTheme="minorEastAsia"/>
                <w:color w:val="auto"/>
                <w:szCs w:val="21"/>
                <w:highlight w:val="none"/>
              </w:rPr>
            </w:pPr>
            <w:r>
              <w:rPr>
                <w:rFonts w:hint="eastAsia"/>
                <w:color w:val="auto"/>
                <w:szCs w:val="21"/>
                <w:highlight w:val="none"/>
              </w:rPr>
              <w:t>2</w:t>
            </w:r>
          </w:p>
        </w:tc>
        <w:tc>
          <w:tcPr>
            <w:tcW w:w="1231" w:type="dxa"/>
            <w:vAlign w:val="center"/>
          </w:tcPr>
          <w:p w14:paraId="37FC05C0">
            <w:pPr>
              <w:spacing w:line="360" w:lineRule="auto"/>
              <w:jc w:val="center"/>
              <w:rPr>
                <w:rFonts w:eastAsiaTheme="minorEastAsia"/>
                <w:color w:val="auto"/>
                <w:szCs w:val="21"/>
                <w:highlight w:val="none"/>
              </w:rPr>
            </w:pPr>
            <w:r>
              <w:rPr>
                <w:rFonts w:hint="eastAsia"/>
                <w:color w:val="auto"/>
                <w:szCs w:val="21"/>
                <w:highlight w:val="none"/>
              </w:rPr>
              <w:t>人员考勤</w:t>
            </w:r>
          </w:p>
        </w:tc>
        <w:tc>
          <w:tcPr>
            <w:tcW w:w="4252" w:type="dxa"/>
            <w:vAlign w:val="center"/>
          </w:tcPr>
          <w:p w14:paraId="2F553C92">
            <w:pPr>
              <w:numPr>
                <w:ilvl w:val="0"/>
                <w:numId w:val="8"/>
              </w:numPr>
              <w:spacing w:line="360" w:lineRule="auto"/>
              <w:rPr>
                <w:rFonts w:eastAsiaTheme="minorEastAsia"/>
                <w:color w:val="auto"/>
                <w:szCs w:val="21"/>
                <w:highlight w:val="none"/>
              </w:rPr>
            </w:pPr>
            <w:r>
              <w:rPr>
                <w:rFonts w:hint="eastAsia"/>
                <w:color w:val="auto"/>
                <w:szCs w:val="21"/>
                <w:highlight w:val="none"/>
              </w:rPr>
              <w:t>维保人员每人每月出勤天数不得少于21个天。（维保人员因其他事宜需请假且无法保障出勤天数的，维保公司应安排人员顶岗并向管理单位报备。）</w:t>
            </w:r>
          </w:p>
          <w:p w14:paraId="0B6089E9">
            <w:pPr>
              <w:numPr>
                <w:ilvl w:val="0"/>
                <w:numId w:val="8"/>
              </w:numPr>
              <w:spacing w:line="360" w:lineRule="auto"/>
              <w:rPr>
                <w:rFonts w:eastAsiaTheme="minorEastAsia"/>
                <w:color w:val="auto"/>
                <w:szCs w:val="21"/>
                <w:highlight w:val="none"/>
              </w:rPr>
            </w:pPr>
            <w:r>
              <w:rPr>
                <w:rFonts w:hint="eastAsia"/>
                <w:color w:val="auto"/>
                <w:szCs w:val="21"/>
                <w:highlight w:val="none"/>
              </w:rPr>
              <w:t>维保人员每人所负责电梯数量不得超过28部。</w:t>
            </w:r>
          </w:p>
        </w:tc>
        <w:tc>
          <w:tcPr>
            <w:tcW w:w="2378" w:type="dxa"/>
            <w:vAlign w:val="center"/>
          </w:tcPr>
          <w:p w14:paraId="79AA157C">
            <w:pPr>
              <w:spacing w:line="360" w:lineRule="auto"/>
              <w:jc w:val="center"/>
              <w:rPr>
                <w:rFonts w:eastAsiaTheme="minorEastAsia"/>
                <w:color w:val="auto"/>
                <w:szCs w:val="21"/>
                <w:highlight w:val="none"/>
              </w:rPr>
            </w:pPr>
            <w:r>
              <w:rPr>
                <w:rFonts w:hint="eastAsia"/>
                <w:color w:val="auto"/>
                <w:szCs w:val="21"/>
                <w:highlight w:val="none"/>
              </w:rPr>
              <w:t>以打卡机数据为准</w:t>
            </w:r>
          </w:p>
        </w:tc>
        <w:tc>
          <w:tcPr>
            <w:tcW w:w="2808" w:type="dxa"/>
            <w:vAlign w:val="center"/>
          </w:tcPr>
          <w:p w14:paraId="647FE233">
            <w:pPr>
              <w:spacing w:line="360" w:lineRule="auto"/>
              <w:jc w:val="center"/>
              <w:rPr>
                <w:color w:val="auto"/>
                <w:szCs w:val="21"/>
                <w:highlight w:val="none"/>
              </w:rPr>
            </w:pPr>
          </w:p>
          <w:p w14:paraId="18DF7A28">
            <w:pPr>
              <w:spacing w:line="360" w:lineRule="auto"/>
              <w:jc w:val="center"/>
              <w:rPr>
                <w:rFonts w:eastAsiaTheme="minorEastAsia"/>
                <w:color w:val="auto"/>
                <w:szCs w:val="21"/>
                <w:highlight w:val="none"/>
              </w:rPr>
            </w:pPr>
            <w:r>
              <w:rPr>
                <w:rFonts w:hint="eastAsia"/>
                <w:color w:val="auto"/>
                <w:szCs w:val="21"/>
                <w:highlight w:val="none"/>
              </w:rPr>
              <w:t>每人每缺勤一天扣除200元</w:t>
            </w:r>
          </w:p>
          <w:p w14:paraId="4775B3DE">
            <w:pPr>
              <w:spacing w:line="360" w:lineRule="auto"/>
              <w:jc w:val="center"/>
              <w:rPr>
                <w:rFonts w:eastAsiaTheme="minorEastAsia"/>
                <w:color w:val="auto"/>
                <w:szCs w:val="21"/>
                <w:highlight w:val="none"/>
              </w:rPr>
            </w:pPr>
            <w:r>
              <w:rPr>
                <w:rFonts w:hint="eastAsia"/>
                <w:color w:val="auto"/>
                <w:szCs w:val="21"/>
                <w:highlight w:val="none"/>
              </w:rPr>
              <w:t>维保人员每缺编一人扣500元</w:t>
            </w:r>
          </w:p>
        </w:tc>
        <w:tc>
          <w:tcPr>
            <w:tcW w:w="2808" w:type="dxa"/>
            <w:vAlign w:val="center"/>
          </w:tcPr>
          <w:p w14:paraId="2E889FE0">
            <w:pPr>
              <w:spacing w:line="360" w:lineRule="auto"/>
              <w:jc w:val="center"/>
              <w:rPr>
                <w:color w:val="auto"/>
                <w:szCs w:val="21"/>
                <w:highlight w:val="none"/>
              </w:rPr>
            </w:pPr>
          </w:p>
        </w:tc>
      </w:tr>
      <w:tr w14:paraId="69E6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15E282DC">
            <w:pPr>
              <w:spacing w:line="360" w:lineRule="auto"/>
              <w:jc w:val="center"/>
              <w:rPr>
                <w:rFonts w:eastAsiaTheme="minorEastAsia"/>
                <w:color w:val="auto"/>
                <w:szCs w:val="21"/>
                <w:highlight w:val="none"/>
              </w:rPr>
            </w:pPr>
            <w:r>
              <w:rPr>
                <w:rFonts w:hint="eastAsia"/>
                <w:color w:val="auto"/>
                <w:szCs w:val="21"/>
                <w:highlight w:val="none"/>
              </w:rPr>
              <w:t>3</w:t>
            </w:r>
          </w:p>
        </w:tc>
        <w:tc>
          <w:tcPr>
            <w:tcW w:w="1231" w:type="dxa"/>
            <w:vAlign w:val="center"/>
          </w:tcPr>
          <w:p w14:paraId="1F89AD36">
            <w:pPr>
              <w:spacing w:line="360" w:lineRule="auto"/>
              <w:jc w:val="center"/>
              <w:rPr>
                <w:rFonts w:eastAsiaTheme="minorEastAsia"/>
                <w:color w:val="auto"/>
                <w:szCs w:val="21"/>
                <w:highlight w:val="none"/>
              </w:rPr>
            </w:pPr>
            <w:r>
              <w:rPr>
                <w:rFonts w:hint="eastAsia"/>
                <w:color w:val="auto"/>
                <w:szCs w:val="21"/>
                <w:highlight w:val="none"/>
              </w:rPr>
              <w:t>保养要求</w:t>
            </w:r>
          </w:p>
        </w:tc>
        <w:tc>
          <w:tcPr>
            <w:tcW w:w="4252" w:type="dxa"/>
            <w:vAlign w:val="center"/>
          </w:tcPr>
          <w:p w14:paraId="16575CFC">
            <w:pPr>
              <w:numPr>
                <w:ilvl w:val="0"/>
                <w:numId w:val="9"/>
              </w:numPr>
              <w:spacing w:line="360" w:lineRule="auto"/>
              <w:rPr>
                <w:color w:val="auto"/>
                <w:szCs w:val="21"/>
                <w:highlight w:val="none"/>
              </w:rPr>
            </w:pPr>
            <w:r>
              <w:rPr>
                <w:rFonts w:hint="eastAsia"/>
                <w:color w:val="auto"/>
                <w:szCs w:val="21"/>
                <w:highlight w:val="none"/>
              </w:rPr>
              <w:t>维保计划（PDF文件）须在每月25日提交给相关管理人员；</w:t>
            </w:r>
          </w:p>
          <w:p w14:paraId="0711AA73">
            <w:pPr>
              <w:numPr>
                <w:ilvl w:val="0"/>
                <w:numId w:val="9"/>
              </w:numPr>
              <w:spacing w:line="360" w:lineRule="auto"/>
              <w:rPr>
                <w:color w:val="auto"/>
                <w:szCs w:val="21"/>
                <w:highlight w:val="none"/>
              </w:rPr>
            </w:pPr>
            <w:r>
              <w:rPr>
                <w:rFonts w:hint="eastAsia"/>
                <w:color w:val="auto"/>
                <w:szCs w:val="21"/>
                <w:highlight w:val="none"/>
              </w:rPr>
              <w:t>根据维保计划做好半月、季度、半年、年度保养工作；</w:t>
            </w:r>
          </w:p>
          <w:p w14:paraId="49919276">
            <w:pPr>
              <w:numPr>
                <w:ilvl w:val="0"/>
                <w:numId w:val="9"/>
              </w:numPr>
              <w:spacing w:line="360" w:lineRule="auto"/>
              <w:rPr>
                <w:color w:val="auto"/>
                <w:szCs w:val="21"/>
                <w:highlight w:val="none"/>
              </w:rPr>
            </w:pPr>
            <w:r>
              <w:rPr>
                <w:rFonts w:hint="eastAsia"/>
                <w:color w:val="auto"/>
                <w:szCs w:val="21"/>
                <w:highlight w:val="none"/>
              </w:rPr>
              <w:t>根据保养记录本做好维保记录工作。</w:t>
            </w:r>
          </w:p>
        </w:tc>
        <w:tc>
          <w:tcPr>
            <w:tcW w:w="2378" w:type="dxa"/>
            <w:vAlign w:val="center"/>
          </w:tcPr>
          <w:p w14:paraId="26428BC4">
            <w:pPr>
              <w:spacing w:line="360" w:lineRule="auto"/>
              <w:jc w:val="center"/>
              <w:rPr>
                <w:rFonts w:eastAsiaTheme="minorEastAsia"/>
                <w:color w:val="auto"/>
                <w:szCs w:val="21"/>
                <w:highlight w:val="none"/>
              </w:rPr>
            </w:pPr>
            <w:r>
              <w:rPr>
                <w:rFonts w:hint="eastAsia"/>
                <w:color w:val="auto"/>
                <w:szCs w:val="21"/>
                <w:highlight w:val="none"/>
              </w:rPr>
              <w:t>根据打卡机数据、维保计划、保养记录、现场查看等方式进行考核。</w:t>
            </w:r>
          </w:p>
        </w:tc>
        <w:tc>
          <w:tcPr>
            <w:tcW w:w="2808" w:type="dxa"/>
            <w:vAlign w:val="center"/>
          </w:tcPr>
          <w:p w14:paraId="3A892E5E">
            <w:pPr>
              <w:spacing w:line="360" w:lineRule="auto"/>
              <w:jc w:val="center"/>
              <w:rPr>
                <w:color w:val="auto"/>
                <w:szCs w:val="21"/>
                <w:highlight w:val="none"/>
              </w:rPr>
            </w:pPr>
            <w:r>
              <w:rPr>
                <w:rFonts w:hint="eastAsia"/>
                <w:color w:val="auto"/>
                <w:szCs w:val="21"/>
                <w:highlight w:val="none"/>
              </w:rPr>
              <w:t>缺失一条内容扣除200元</w:t>
            </w:r>
          </w:p>
        </w:tc>
        <w:tc>
          <w:tcPr>
            <w:tcW w:w="2808" w:type="dxa"/>
            <w:vAlign w:val="center"/>
          </w:tcPr>
          <w:p w14:paraId="53292FB9">
            <w:pPr>
              <w:spacing w:line="360" w:lineRule="auto"/>
              <w:jc w:val="center"/>
              <w:rPr>
                <w:color w:val="auto"/>
                <w:szCs w:val="21"/>
                <w:highlight w:val="none"/>
              </w:rPr>
            </w:pPr>
          </w:p>
        </w:tc>
      </w:tr>
      <w:tr w14:paraId="167F8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Align w:val="center"/>
          </w:tcPr>
          <w:p w14:paraId="3735E1F5">
            <w:pPr>
              <w:spacing w:line="360" w:lineRule="auto"/>
              <w:jc w:val="center"/>
              <w:rPr>
                <w:rFonts w:eastAsiaTheme="minorEastAsia"/>
                <w:color w:val="auto"/>
                <w:szCs w:val="21"/>
                <w:highlight w:val="none"/>
              </w:rPr>
            </w:pPr>
            <w:r>
              <w:rPr>
                <w:rFonts w:hint="eastAsia"/>
                <w:color w:val="auto"/>
                <w:szCs w:val="21"/>
                <w:highlight w:val="none"/>
              </w:rPr>
              <w:t>4</w:t>
            </w:r>
          </w:p>
        </w:tc>
        <w:tc>
          <w:tcPr>
            <w:tcW w:w="1231" w:type="dxa"/>
            <w:vAlign w:val="center"/>
          </w:tcPr>
          <w:p w14:paraId="0B330827">
            <w:pPr>
              <w:spacing w:line="360" w:lineRule="auto"/>
              <w:jc w:val="center"/>
              <w:rPr>
                <w:rFonts w:eastAsiaTheme="minorEastAsia"/>
                <w:color w:val="auto"/>
                <w:szCs w:val="21"/>
                <w:highlight w:val="none"/>
              </w:rPr>
            </w:pPr>
            <w:r>
              <w:rPr>
                <w:rFonts w:hint="eastAsia"/>
                <w:color w:val="auto"/>
                <w:szCs w:val="21"/>
                <w:highlight w:val="none"/>
              </w:rPr>
              <w:t>维修</w:t>
            </w:r>
          </w:p>
        </w:tc>
        <w:tc>
          <w:tcPr>
            <w:tcW w:w="4252" w:type="dxa"/>
            <w:vAlign w:val="center"/>
          </w:tcPr>
          <w:p w14:paraId="0B8E7FDB">
            <w:pPr>
              <w:numPr>
                <w:ilvl w:val="0"/>
                <w:numId w:val="10"/>
              </w:numPr>
              <w:spacing w:line="360" w:lineRule="auto"/>
              <w:rPr>
                <w:color w:val="auto"/>
                <w:szCs w:val="21"/>
                <w:highlight w:val="none"/>
              </w:rPr>
            </w:pPr>
            <w:r>
              <w:rPr>
                <w:rFonts w:hint="eastAsia"/>
                <w:color w:val="auto"/>
                <w:szCs w:val="21"/>
                <w:highlight w:val="none"/>
              </w:rPr>
              <w:t>报修登记表</w:t>
            </w:r>
          </w:p>
          <w:p w14:paraId="42CDC865">
            <w:pPr>
              <w:numPr>
                <w:ilvl w:val="0"/>
                <w:numId w:val="10"/>
              </w:numPr>
              <w:spacing w:line="360" w:lineRule="auto"/>
              <w:rPr>
                <w:color w:val="auto"/>
                <w:szCs w:val="21"/>
                <w:highlight w:val="none"/>
              </w:rPr>
            </w:pPr>
            <w:r>
              <w:rPr>
                <w:rFonts w:hint="eastAsia"/>
                <w:color w:val="auto"/>
                <w:szCs w:val="21"/>
                <w:highlight w:val="none"/>
              </w:rPr>
              <w:t>报修内容</w:t>
            </w:r>
          </w:p>
          <w:p w14:paraId="52C1B2C2">
            <w:pPr>
              <w:numPr>
                <w:ilvl w:val="0"/>
                <w:numId w:val="10"/>
              </w:numPr>
              <w:spacing w:line="360" w:lineRule="auto"/>
              <w:rPr>
                <w:color w:val="auto"/>
                <w:szCs w:val="21"/>
                <w:highlight w:val="none"/>
              </w:rPr>
            </w:pPr>
            <w:r>
              <w:rPr>
                <w:rFonts w:hint="eastAsia"/>
                <w:color w:val="auto"/>
                <w:szCs w:val="21"/>
                <w:highlight w:val="none"/>
              </w:rPr>
              <w:t>报修周期</w:t>
            </w:r>
          </w:p>
          <w:p w14:paraId="54A42198">
            <w:pPr>
              <w:numPr>
                <w:ilvl w:val="0"/>
                <w:numId w:val="10"/>
              </w:numPr>
              <w:spacing w:line="360" w:lineRule="auto"/>
              <w:rPr>
                <w:color w:val="auto"/>
                <w:szCs w:val="21"/>
                <w:highlight w:val="none"/>
              </w:rPr>
            </w:pPr>
            <w:r>
              <w:rPr>
                <w:rFonts w:hint="eastAsia"/>
                <w:color w:val="auto"/>
                <w:szCs w:val="21"/>
                <w:highlight w:val="none"/>
              </w:rPr>
              <w:t>维修或换件记录</w:t>
            </w:r>
          </w:p>
          <w:p w14:paraId="460C91D3">
            <w:pPr>
              <w:numPr>
                <w:ilvl w:val="0"/>
                <w:numId w:val="10"/>
              </w:numPr>
              <w:spacing w:line="360" w:lineRule="auto"/>
              <w:rPr>
                <w:color w:val="auto"/>
                <w:szCs w:val="21"/>
                <w:highlight w:val="none"/>
              </w:rPr>
            </w:pPr>
            <w:r>
              <w:rPr>
                <w:rFonts w:hint="eastAsia"/>
                <w:color w:val="auto"/>
                <w:szCs w:val="21"/>
                <w:highlight w:val="none"/>
              </w:rPr>
              <w:t>完成维修用户确认签字函</w:t>
            </w:r>
          </w:p>
        </w:tc>
        <w:tc>
          <w:tcPr>
            <w:tcW w:w="2378" w:type="dxa"/>
            <w:vAlign w:val="center"/>
          </w:tcPr>
          <w:p w14:paraId="3BCDA913">
            <w:pPr>
              <w:spacing w:line="360" w:lineRule="auto"/>
              <w:jc w:val="center"/>
              <w:rPr>
                <w:color w:val="auto"/>
                <w:szCs w:val="21"/>
                <w:highlight w:val="none"/>
              </w:rPr>
            </w:pPr>
            <w:r>
              <w:rPr>
                <w:rFonts w:hint="eastAsia"/>
                <w:color w:val="auto"/>
                <w:szCs w:val="21"/>
                <w:highlight w:val="none"/>
              </w:rPr>
              <w:t>现场查看</w:t>
            </w:r>
          </w:p>
        </w:tc>
        <w:tc>
          <w:tcPr>
            <w:tcW w:w="2808" w:type="dxa"/>
            <w:vAlign w:val="center"/>
          </w:tcPr>
          <w:p w14:paraId="2562ACAA">
            <w:pPr>
              <w:spacing w:line="360" w:lineRule="auto"/>
              <w:jc w:val="center"/>
              <w:rPr>
                <w:color w:val="auto"/>
                <w:szCs w:val="21"/>
                <w:highlight w:val="none"/>
              </w:rPr>
            </w:pPr>
            <w:r>
              <w:rPr>
                <w:rFonts w:hint="eastAsia"/>
                <w:color w:val="auto"/>
                <w:szCs w:val="21"/>
                <w:highlight w:val="none"/>
              </w:rPr>
              <w:t>报修后未响应或未在约定周期内完成维修的，一次扣除200元。</w:t>
            </w:r>
          </w:p>
          <w:p w14:paraId="2F0CDD33">
            <w:pPr>
              <w:spacing w:line="360" w:lineRule="auto"/>
              <w:jc w:val="center"/>
              <w:rPr>
                <w:color w:val="auto"/>
                <w:szCs w:val="21"/>
                <w:highlight w:val="none"/>
              </w:rPr>
            </w:pPr>
            <w:r>
              <w:rPr>
                <w:rFonts w:hint="eastAsia"/>
                <w:color w:val="auto"/>
                <w:szCs w:val="21"/>
                <w:highlight w:val="none"/>
              </w:rPr>
              <w:t>缺失一条信息及记录扣除100元</w:t>
            </w:r>
          </w:p>
        </w:tc>
        <w:tc>
          <w:tcPr>
            <w:tcW w:w="2808" w:type="dxa"/>
            <w:vAlign w:val="center"/>
          </w:tcPr>
          <w:p w14:paraId="1F782997">
            <w:pPr>
              <w:spacing w:line="360" w:lineRule="auto"/>
              <w:jc w:val="center"/>
              <w:rPr>
                <w:color w:val="auto"/>
                <w:szCs w:val="21"/>
                <w:highlight w:val="none"/>
              </w:rPr>
            </w:pPr>
          </w:p>
        </w:tc>
      </w:tr>
      <w:tr w14:paraId="7625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Merge w:val="restart"/>
            <w:vAlign w:val="center"/>
          </w:tcPr>
          <w:p w14:paraId="7178E00F">
            <w:pPr>
              <w:spacing w:line="360" w:lineRule="auto"/>
              <w:jc w:val="center"/>
              <w:rPr>
                <w:rFonts w:eastAsiaTheme="minorEastAsia"/>
                <w:color w:val="auto"/>
                <w:szCs w:val="21"/>
                <w:highlight w:val="none"/>
              </w:rPr>
            </w:pPr>
            <w:r>
              <w:rPr>
                <w:rFonts w:hint="eastAsia"/>
                <w:color w:val="auto"/>
                <w:szCs w:val="21"/>
                <w:highlight w:val="none"/>
              </w:rPr>
              <w:t>5</w:t>
            </w:r>
          </w:p>
        </w:tc>
        <w:tc>
          <w:tcPr>
            <w:tcW w:w="1231" w:type="dxa"/>
            <w:vMerge w:val="restart"/>
            <w:vAlign w:val="center"/>
          </w:tcPr>
          <w:p w14:paraId="0F43418E">
            <w:pPr>
              <w:spacing w:line="360" w:lineRule="auto"/>
              <w:jc w:val="center"/>
              <w:rPr>
                <w:rFonts w:eastAsiaTheme="minorEastAsia"/>
                <w:color w:val="auto"/>
                <w:szCs w:val="21"/>
                <w:highlight w:val="none"/>
              </w:rPr>
            </w:pPr>
            <w:r>
              <w:rPr>
                <w:rFonts w:hint="eastAsia"/>
                <w:color w:val="auto"/>
                <w:szCs w:val="21"/>
                <w:highlight w:val="none"/>
              </w:rPr>
              <w:t>安全运行</w:t>
            </w:r>
          </w:p>
        </w:tc>
        <w:tc>
          <w:tcPr>
            <w:tcW w:w="4252" w:type="dxa"/>
            <w:vAlign w:val="center"/>
          </w:tcPr>
          <w:p w14:paraId="5845421C">
            <w:pPr>
              <w:spacing w:line="360" w:lineRule="auto"/>
              <w:rPr>
                <w:rFonts w:eastAsiaTheme="minorEastAsia"/>
                <w:color w:val="auto"/>
                <w:szCs w:val="21"/>
                <w:highlight w:val="none"/>
              </w:rPr>
            </w:pPr>
            <w:r>
              <w:rPr>
                <w:rFonts w:hint="eastAsia"/>
                <w:color w:val="auto"/>
                <w:szCs w:val="21"/>
                <w:highlight w:val="none"/>
              </w:rPr>
              <w:t>每台电梯每月困人超过1次的（维保或维修原因造成）</w:t>
            </w:r>
          </w:p>
        </w:tc>
        <w:tc>
          <w:tcPr>
            <w:tcW w:w="2378" w:type="dxa"/>
            <w:vAlign w:val="center"/>
          </w:tcPr>
          <w:p w14:paraId="02ADBD44">
            <w:pPr>
              <w:spacing w:line="360" w:lineRule="auto"/>
              <w:jc w:val="center"/>
              <w:rPr>
                <w:rFonts w:eastAsiaTheme="minorEastAsia"/>
                <w:color w:val="auto"/>
                <w:szCs w:val="21"/>
                <w:highlight w:val="none"/>
              </w:rPr>
            </w:pPr>
            <w:r>
              <w:rPr>
                <w:rFonts w:hint="eastAsia"/>
                <w:color w:val="auto"/>
                <w:szCs w:val="21"/>
                <w:highlight w:val="none"/>
              </w:rPr>
              <w:t>查看报修记录</w:t>
            </w:r>
          </w:p>
        </w:tc>
        <w:tc>
          <w:tcPr>
            <w:tcW w:w="2808" w:type="dxa"/>
            <w:vAlign w:val="center"/>
          </w:tcPr>
          <w:p w14:paraId="181AB3D4">
            <w:pPr>
              <w:spacing w:line="360" w:lineRule="auto"/>
              <w:jc w:val="center"/>
              <w:rPr>
                <w:rFonts w:eastAsiaTheme="minorEastAsia"/>
                <w:color w:val="auto"/>
                <w:szCs w:val="21"/>
                <w:highlight w:val="none"/>
              </w:rPr>
            </w:pPr>
            <w:r>
              <w:rPr>
                <w:rFonts w:hint="eastAsia"/>
                <w:color w:val="auto"/>
                <w:szCs w:val="21"/>
                <w:highlight w:val="none"/>
              </w:rPr>
              <w:t>每超出1次扣除1000元</w:t>
            </w:r>
          </w:p>
        </w:tc>
        <w:tc>
          <w:tcPr>
            <w:tcW w:w="2808" w:type="dxa"/>
            <w:vAlign w:val="center"/>
          </w:tcPr>
          <w:p w14:paraId="0561F6FC">
            <w:pPr>
              <w:spacing w:line="360" w:lineRule="auto"/>
              <w:jc w:val="center"/>
              <w:rPr>
                <w:color w:val="auto"/>
                <w:szCs w:val="21"/>
                <w:highlight w:val="none"/>
              </w:rPr>
            </w:pPr>
          </w:p>
        </w:tc>
      </w:tr>
      <w:tr w14:paraId="1B5A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694" w:type="dxa"/>
            <w:vMerge w:val="continue"/>
            <w:vAlign w:val="center"/>
          </w:tcPr>
          <w:p w14:paraId="6D082250">
            <w:pPr>
              <w:spacing w:line="360" w:lineRule="auto"/>
              <w:jc w:val="center"/>
              <w:rPr>
                <w:color w:val="auto"/>
                <w:szCs w:val="21"/>
                <w:highlight w:val="none"/>
              </w:rPr>
            </w:pPr>
          </w:p>
        </w:tc>
        <w:tc>
          <w:tcPr>
            <w:tcW w:w="1231" w:type="dxa"/>
            <w:vMerge w:val="continue"/>
            <w:vAlign w:val="center"/>
          </w:tcPr>
          <w:p w14:paraId="17268D79">
            <w:pPr>
              <w:spacing w:line="360" w:lineRule="auto"/>
              <w:jc w:val="center"/>
              <w:rPr>
                <w:color w:val="auto"/>
                <w:szCs w:val="21"/>
                <w:highlight w:val="none"/>
              </w:rPr>
            </w:pPr>
          </w:p>
        </w:tc>
        <w:tc>
          <w:tcPr>
            <w:tcW w:w="4252" w:type="dxa"/>
            <w:vAlign w:val="center"/>
          </w:tcPr>
          <w:p w14:paraId="265A8B75">
            <w:pPr>
              <w:spacing w:line="360" w:lineRule="auto"/>
              <w:rPr>
                <w:rFonts w:eastAsiaTheme="minorEastAsia"/>
                <w:color w:val="auto"/>
                <w:szCs w:val="21"/>
                <w:highlight w:val="none"/>
              </w:rPr>
            </w:pPr>
            <w:r>
              <w:rPr>
                <w:rFonts w:hint="eastAsia"/>
                <w:color w:val="auto"/>
                <w:szCs w:val="21"/>
                <w:highlight w:val="none"/>
              </w:rPr>
              <w:t>短接</w:t>
            </w:r>
          </w:p>
        </w:tc>
        <w:tc>
          <w:tcPr>
            <w:tcW w:w="2378" w:type="dxa"/>
            <w:vAlign w:val="center"/>
          </w:tcPr>
          <w:p w14:paraId="3FF6EE32">
            <w:pPr>
              <w:spacing w:line="360" w:lineRule="auto"/>
              <w:jc w:val="center"/>
              <w:rPr>
                <w:color w:val="auto"/>
                <w:szCs w:val="21"/>
                <w:highlight w:val="none"/>
              </w:rPr>
            </w:pPr>
            <w:r>
              <w:rPr>
                <w:color w:val="auto"/>
                <w:szCs w:val="21"/>
                <w:highlight w:val="none"/>
              </w:rPr>
              <w:t>现场查看</w:t>
            </w:r>
          </w:p>
        </w:tc>
        <w:tc>
          <w:tcPr>
            <w:tcW w:w="2808" w:type="dxa"/>
            <w:vAlign w:val="center"/>
          </w:tcPr>
          <w:p w14:paraId="60383303">
            <w:pPr>
              <w:spacing w:line="360" w:lineRule="auto"/>
              <w:jc w:val="center"/>
              <w:rPr>
                <w:rFonts w:eastAsiaTheme="minorEastAsia"/>
                <w:color w:val="auto"/>
                <w:szCs w:val="21"/>
                <w:highlight w:val="none"/>
              </w:rPr>
            </w:pPr>
            <w:r>
              <w:rPr>
                <w:rFonts w:hint="eastAsia"/>
                <w:color w:val="auto"/>
                <w:szCs w:val="21"/>
                <w:highlight w:val="none"/>
              </w:rPr>
              <w:t>每处扣除2000元</w:t>
            </w:r>
          </w:p>
        </w:tc>
        <w:tc>
          <w:tcPr>
            <w:tcW w:w="2808" w:type="dxa"/>
            <w:vAlign w:val="center"/>
          </w:tcPr>
          <w:p w14:paraId="0C026649">
            <w:pPr>
              <w:spacing w:line="360" w:lineRule="auto"/>
              <w:jc w:val="center"/>
              <w:rPr>
                <w:color w:val="auto"/>
                <w:szCs w:val="21"/>
                <w:highlight w:val="none"/>
              </w:rPr>
            </w:pPr>
          </w:p>
        </w:tc>
      </w:tr>
    </w:tbl>
    <w:p w14:paraId="57608300">
      <w:pPr>
        <w:spacing w:line="360" w:lineRule="auto"/>
        <w:rPr>
          <w:color w:val="auto"/>
          <w:sz w:val="28"/>
          <w:szCs w:val="28"/>
          <w:highlight w:val="none"/>
        </w:rPr>
      </w:pPr>
      <w:r>
        <w:rPr>
          <w:color w:val="auto"/>
          <w:sz w:val="28"/>
          <w:szCs w:val="28"/>
          <w:highlight w:val="none"/>
        </w:rPr>
        <w:t>考核人：</w:t>
      </w:r>
      <w:r>
        <w:rPr>
          <w:rFonts w:hint="eastAsia"/>
          <w:color w:val="auto"/>
          <w:sz w:val="28"/>
          <w:szCs w:val="28"/>
          <w:highlight w:val="none"/>
        </w:rPr>
        <w:t xml:space="preserve">                                     被考核单位：</w:t>
      </w:r>
    </w:p>
    <w:p w14:paraId="61808C19">
      <w:pPr>
        <w:spacing w:line="360" w:lineRule="auto"/>
        <w:rPr>
          <w:color w:val="auto"/>
          <w:sz w:val="28"/>
          <w:szCs w:val="28"/>
          <w:highlight w:val="none"/>
        </w:rPr>
      </w:pPr>
    </w:p>
    <w:p w14:paraId="5DE632CB">
      <w:pPr>
        <w:spacing w:line="360" w:lineRule="auto"/>
        <w:rPr>
          <w:color w:val="auto"/>
          <w:sz w:val="28"/>
          <w:szCs w:val="28"/>
          <w:highlight w:val="none"/>
        </w:rPr>
      </w:pPr>
      <w:r>
        <w:rPr>
          <w:color w:val="auto"/>
          <w:sz w:val="28"/>
          <w:szCs w:val="28"/>
          <w:highlight w:val="none"/>
        </w:rPr>
        <w:t>考核日期：</w:t>
      </w:r>
    </w:p>
    <w:p w14:paraId="46DEFEA2">
      <w:pPr>
        <w:rPr>
          <w:rFonts w:ascii="宋体" w:hAnsi="宋体"/>
          <w:b/>
          <w:color w:val="auto"/>
          <w:szCs w:val="21"/>
          <w:highlight w:val="none"/>
        </w:rPr>
      </w:pPr>
    </w:p>
    <w:p w14:paraId="572E1C3A">
      <w:pPr>
        <w:pStyle w:val="2"/>
        <w:rPr>
          <w:color w:val="auto"/>
          <w:highlight w:val="none"/>
        </w:rPr>
      </w:pPr>
    </w:p>
    <w:p w14:paraId="79520388">
      <w:pPr>
        <w:pStyle w:val="3"/>
        <w:rPr>
          <w:color w:val="auto"/>
          <w:highlight w:val="none"/>
        </w:rPr>
      </w:pPr>
    </w:p>
    <w:p w14:paraId="67D1469E">
      <w:pPr>
        <w:rPr>
          <w:color w:val="auto"/>
          <w:highlight w:val="none"/>
        </w:rPr>
        <w:sectPr>
          <w:pgSz w:w="16838" w:h="11906" w:orient="landscape"/>
          <w:pgMar w:top="1800" w:right="1440" w:bottom="1800" w:left="1440" w:header="851" w:footer="992" w:gutter="0"/>
          <w:pgNumType w:start="1"/>
          <w:cols w:space="425" w:num="1"/>
          <w:docGrid w:type="lines" w:linePitch="312" w:charSpace="0"/>
        </w:sectPr>
      </w:pPr>
    </w:p>
    <w:p w14:paraId="3FD7F1DD">
      <w:pPr>
        <w:rPr>
          <w:color w:val="auto"/>
          <w:highlight w:val="none"/>
        </w:rPr>
      </w:pPr>
    </w:p>
    <w:p w14:paraId="19484CC6">
      <w:pPr>
        <w:pStyle w:val="2"/>
        <w:rPr>
          <w:rFonts w:ascii="宋体" w:hAnsi="宋体"/>
          <w:b/>
          <w:color w:val="auto"/>
          <w:sz w:val="21"/>
          <w:szCs w:val="21"/>
          <w:highlight w:val="none"/>
        </w:rPr>
      </w:pPr>
      <w:r>
        <w:rPr>
          <w:rFonts w:hint="eastAsia" w:ascii="宋体" w:hAnsi="宋体"/>
          <w:b/>
          <w:color w:val="auto"/>
          <w:sz w:val="21"/>
          <w:szCs w:val="21"/>
          <w:highlight w:val="none"/>
        </w:rPr>
        <w:t>附件2：</w:t>
      </w:r>
      <w:r>
        <w:rPr>
          <w:rFonts w:hint="eastAsia" w:ascii="宋体" w:hAnsi="宋体"/>
          <w:b/>
          <w:color w:val="auto"/>
          <w:sz w:val="21"/>
          <w:szCs w:val="21"/>
          <w:highlight w:val="none"/>
          <w:lang w:val="en-US" w:eastAsia="zh-CN"/>
        </w:rPr>
        <w:t>维保</w:t>
      </w:r>
      <w:r>
        <w:rPr>
          <w:rFonts w:hint="eastAsia" w:ascii="宋体" w:hAnsi="宋体"/>
          <w:b/>
          <w:color w:val="auto"/>
          <w:sz w:val="21"/>
          <w:szCs w:val="21"/>
          <w:highlight w:val="none"/>
        </w:rPr>
        <w:t>设备清单</w:t>
      </w:r>
    </w:p>
    <w:bookmarkEnd w:id="1"/>
    <w:bookmarkEnd w:id="2"/>
    <w:bookmarkEnd w:id="3"/>
    <w:bookmarkEnd w:id="4"/>
    <w:tbl>
      <w:tblPr>
        <w:tblStyle w:val="9"/>
        <w:tblpPr w:leftFromText="180" w:rightFromText="180" w:vertAnchor="page" w:horzAnchor="page" w:tblpXSpec="center" w:tblpY="2339"/>
        <w:tblW w:w="8540" w:type="dxa"/>
        <w:jc w:val="center"/>
        <w:tblLayout w:type="fixed"/>
        <w:tblCellMar>
          <w:top w:w="15" w:type="dxa"/>
          <w:left w:w="15" w:type="dxa"/>
          <w:bottom w:w="15" w:type="dxa"/>
          <w:right w:w="15" w:type="dxa"/>
        </w:tblCellMar>
      </w:tblPr>
      <w:tblGrid>
        <w:gridCol w:w="846"/>
        <w:gridCol w:w="1657"/>
        <w:gridCol w:w="1875"/>
        <w:gridCol w:w="1275"/>
        <w:gridCol w:w="1245"/>
        <w:gridCol w:w="945"/>
        <w:gridCol w:w="697"/>
      </w:tblGrid>
      <w:tr w14:paraId="619FFD4A">
        <w:tblPrEx>
          <w:tblCellMar>
            <w:top w:w="15" w:type="dxa"/>
            <w:left w:w="15" w:type="dxa"/>
            <w:bottom w:w="15" w:type="dxa"/>
            <w:right w:w="15" w:type="dxa"/>
          </w:tblCellMar>
        </w:tblPrEx>
        <w:trPr>
          <w:trHeight w:val="74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7F06FCB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品牌</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5B81A18E">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产品编号</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211EDE1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电梯型号</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64FF95B6">
            <w:pPr>
              <w:widowControl/>
              <w:jc w:val="center"/>
              <w:textAlignment w:val="center"/>
              <w:rPr>
                <w:rFonts w:ascii="仿宋" w:hAnsi="仿宋" w:eastAsia="仿宋" w:cs="仿宋"/>
                <w:color w:val="auto"/>
                <w:sz w:val="24"/>
                <w:szCs w:val="24"/>
                <w:highlight w:val="none"/>
              </w:rPr>
            </w:pPr>
            <w:r>
              <w:rPr>
                <w:rStyle w:val="21"/>
                <w:rFonts w:ascii="仿宋" w:hAnsi="仿宋" w:eastAsia="仿宋" w:cs="仿宋"/>
                <w:color w:val="auto"/>
                <w:highlight w:val="none"/>
              </w:rPr>
              <w:t>载重量</w:t>
            </w:r>
            <w:r>
              <w:rPr>
                <w:rStyle w:val="22"/>
                <w:rFonts w:hint="eastAsia" w:ascii="仿宋" w:hAnsi="仿宋" w:eastAsia="仿宋" w:cs="仿宋"/>
                <w:color w:val="auto"/>
                <w:highlight w:val="none"/>
              </w:rPr>
              <w:t>(kg)</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7D218858">
            <w:pPr>
              <w:widowControl/>
              <w:jc w:val="center"/>
              <w:textAlignment w:val="center"/>
              <w:rPr>
                <w:rFonts w:ascii="仿宋" w:hAnsi="仿宋" w:eastAsia="仿宋" w:cs="仿宋"/>
                <w:b/>
                <w:color w:val="auto"/>
                <w:sz w:val="24"/>
                <w:highlight w:val="none"/>
              </w:rPr>
            </w:pPr>
            <w:r>
              <w:rPr>
                <w:rStyle w:val="21"/>
                <w:rFonts w:ascii="仿宋" w:hAnsi="仿宋" w:eastAsia="仿宋" w:cs="仿宋"/>
                <w:color w:val="auto"/>
                <w:highlight w:val="none"/>
              </w:rPr>
              <w:t>速度</w:t>
            </w:r>
            <w:r>
              <w:rPr>
                <w:rStyle w:val="22"/>
                <w:rFonts w:hint="eastAsia" w:ascii="仿宋" w:hAnsi="仿宋" w:eastAsia="仿宋" w:cs="仿宋"/>
                <w:color w:val="auto"/>
                <w:highlight w:val="none"/>
              </w:rPr>
              <w:t>(m/s)</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F608A7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层站门</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4AFAC8F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台数</w:t>
            </w:r>
          </w:p>
        </w:tc>
      </w:tr>
      <w:tr w14:paraId="051558FA">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92DB6A4">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0EF58305">
            <w:pPr>
              <w:widowControl/>
              <w:jc w:val="center"/>
              <w:rPr>
                <w:rFonts w:ascii="微软雅黑" w:hAnsi="微软雅黑" w:eastAsia="微软雅黑" w:cs="宋体"/>
                <w:color w:val="auto"/>
                <w:kern w:val="0"/>
                <w:sz w:val="24"/>
                <w:szCs w:val="24"/>
                <w:highlight w:val="none"/>
              </w:rPr>
            </w:pPr>
            <w:r>
              <w:rPr>
                <w:rFonts w:hint="eastAsia" w:ascii="微软雅黑" w:hAnsi="微软雅黑" w:eastAsia="微软雅黑"/>
                <w:color w:val="auto"/>
                <w:highlight w:val="none"/>
              </w:rPr>
              <w:t>18G034171</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5500FBF1">
            <w:pPr>
              <w:jc w:val="center"/>
              <w:rPr>
                <w:rFonts w:ascii="仿宋" w:hAnsi="仿宋" w:eastAsia="仿宋" w:cs="仿宋"/>
                <w:color w:val="auto"/>
                <w:sz w:val="24"/>
                <w:szCs w:val="24"/>
                <w:highlight w:val="none"/>
              </w:rPr>
            </w:pPr>
            <w:r>
              <w:rPr>
                <w:rFonts w:hint="eastAsia"/>
                <w:color w:val="auto"/>
                <w:sz w:val="20"/>
                <w:highlight w:val="none"/>
              </w:rPr>
              <w:t>MCA-2000-4C60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09E574B">
            <w:pPr>
              <w:tabs>
                <w:tab w:val="left" w:pos="482"/>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2000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1B18C240">
            <w:pPr>
              <w:tabs>
                <w:tab w:val="left" w:pos="360"/>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A817F48">
            <w:pPr>
              <w:widowControl/>
              <w:jc w:val="center"/>
              <w:rPr>
                <w:rFonts w:ascii="微软雅黑" w:hAnsi="微软雅黑" w:eastAsia="微软雅黑" w:cs="宋体"/>
                <w:color w:val="auto"/>
                <w:kern w:val="0"/>
                <w:sz w:val="24"/>
                <w:szCs w:val="24"/>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6C4FBF3D">
            <w:pPr>
              <w:tabs>
                <w:tab w:val="left" w:pos="404"/>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r>
      <w:tr w14:paraId="1ABF8C00">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D9E3A65">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6E21DA0D">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18G034172</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68CA6A0F">
            <w:pPr>
              <w:jc w:val="center"/>
              <w:rPr>
                <w:rFonts w:ascii="仿宋" w:hAnsi="仿宋" w:eastAsia="仿宋" w:cs="仿宋"/>
                <w:color w:val="auto"/>
                <w:sz w:val="24"/>
                <w:szCs w:val="24"/>
                <w:highlight w:val="none"/>
              </w:rPr>
            </w:pPr>
            <w:r>
              <w:rPr>
                <w:rFonts w:hint="eastAsia"/>
                <w:color w:val="auto"/>
                <w:sz w:val="20"/>
                <w:highlight w:val="none"/>
              </w:rPr>
              <w:t>MCA-1050-CO60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CE751B3">
            <w:pPr>
              <w:tabs>
                <w:tab w:val="left" w:pos="482"/>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B4FB993">
            <w:pPr>
              <w:tabs>
                <w:tab w:val="left" w:pos="360"/>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379B331">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09374594">
            <w:pPr>
              <w:tabs>
                <w:tab w:val="left" w:pos="404"/>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r>
      <w:tr w14:paraId="42306619">
        <w:tblPrEx>
          <w:tblCellMar>
            <w:top w:w="15" w:type="dxa"/>
            <w:left w:w="15" w:type="dxa"/>
            <w:bottom w:w="15" w:type="dxa"/>
            <w:right w:w="15" w:type="dxa"/>
          </w:tblCellMar>
        </w:tblPrEx>
        <w:trPr>
          <w:trHeight w:val="108"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428FE62">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33FED1C3">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18G034173</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5B828E24">
            <w:pPr>
              <w:jc w:val="center"/>
              <w:rPr>
                <w:rFonts w:ascii="仿宋" w:hAnsi="仿宋" w:eastAsia="仿宋" w:cs="仿宋"/>
                <w:color w:val="auto"/>
                <w:sz w:val="24"/>
                <w:szCs w:val="24"/>
                <w:highlight w:val="none"/>
              </w:rPr>
            </w:pPr>
            <w:r>
              <w:rPr>
                <w:rFonts w:hint="eastAsia"/>
                <w:color w:val="auto"/>
                <w:sz w:val="20"/>
                <w:highlight w:val="none"/>
              </w:rPr>
              <w:t>LCA-1350-CO60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01367981">
            <w:pPr>
              <w:tabs>
                <w:tab w:val="left" w:pos="482"/>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3</w:t>
            </w:r>
            <w:r>
              <w:rPr>
                <w:rFonts w:hint="eastAsia" w:ascii="仿宋" w:hAnsi="仿宋" w:eastAsia="仿宋" w:cs="仿宋"/>
                <w:color w:val="auto"/>
                <w:sz w:val="24"/>
                <w:szCs w:val="24"/>
                <w:highlight w:val="none"/>
              </w:rPr>
              <w:t>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AA8E812">
            <w:pPr>
              <w:tabs>
                <w:tab w:val="left" w:pos="360"/>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E19E9E5">
            <w:pPr>
              <w:jc w:val="center"/>
              <w:rPr>
                <w:rFonts w:ascii="微软雅黑" w:hAnsi="微软雅黑" w:eastAsia="微软雅黑"/>
                <w:color w:val="auto"/>
                <w:highlight w:val="none"/>
              </w:rPr>
            </w:pPr>
            <w:r>
              <w:rPr>
                <w:rFonts w:hint="eastAsia" w:ascii="微软雅黑" w:hAnsi="微软雅黑" w:eastAsia="微软雅黑"/>
                <w:color w:val="auto"/>
                <w:highlight w:val="none"/>
              </w:rPr>
              <w:t>3/3/3</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77C8A1AD">
            <w:pPr>
              <w:tabs>
                <w:tab w:val="left" w:pos="404"/>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r>
      <w:tr w14:paraId="00418907">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55AC8D95">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6AC5757">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18G034175</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1F98816D">
            <w:pPr>
              <w:jc w:val="center"/>
              <w:rPr>
                <w:rFonts w:ascii="仿宋" w:hAnsi="仿宋" w:eastAsia="仿宋" w:cs="仿宋"/>
                <w:color w:val="auto"/>
                <w:sz w:val="24"/>
                <w:szCs w:val="24"/>
                <w:highlight w:val="none"/>
              </w:rPr>
            </w:pPr>
            <w:r>
              <w:rPr>
                <w:rFonts w:hint="eastAsia"/>
                <w:color w:val="auto"/>
                <w:sz w:val="20"/>
                <w:highlight w:val="none"/>
              </w:rPr>
              <w:t>LCA-2000-4C60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638B79EC">
            <w:pPr>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2000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C935C80">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615CCC7">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6F1C5162">
            <w:pPr>
              <w:tabs>
                <w:tab w:val="left" w:pos="404"/>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p>
        </w:tc>
      </w:tr>
      <w:tr w14:paraId="4BE3238E">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F0D3E1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1722FE7">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18G034176</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0CA02DD6">
            <w:pPr>
              <w:jc w:val="center"/>
              <w:rPr>
                <w:rFonts w:ascii="仿宋" w:hAnsi="仿宋" w:eastAsia="仿宋" w:cs="仿宋"/>
                <w:color w:val="auto"/>
                <w:sz w:val="24"/>
                <w:szCs w:val="24"/>
                <w:highlight w:val="none"/>
              </w:rPr>
            </w:pPr>
            <w:r>
              <w:rPr>
                <w:rFonts w:hint="eastAsia"/>
                <w:color w:val="auto"/>
                <w:sz w:val="20"/>
                <w:highlight w:val="none"/>
              </w:rPr>
              <w:t>LCA-1050-CO60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19A29C8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70998972">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11E57EAA">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41373B18">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498F76B1">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6180C0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CC560E5">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18G034177</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0C482F51">
            <w:pPr>
              <w:jc w:val="center"/>
              <w:rPr>
                <w:rFonts w:ascii="仿宋" w:hAnsi="仿宋" w:eastAsia="仿宋" w:cs="仿宋"/>
                <w:color w:val="auto"/>
                <w:sz w:val="24"/>
                <w:szCs w:val="24"/>
                <w:highlight w:val="none"/>
              </w:rPr>
            </w:pPr>
            <w:r>
              <w:rPr>
                <w:rFonts w:hint="eastAsia"/>
                <w:color w:val="auto"/>
                <w:sz w:val="20"/>
                <w:highlight w:val="none"/>
              </w:rPr>
              <w:t>MCA-1600-CO60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241315F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60</w:t>
            </w:r>
            <w:r>
              <w:rPr>
                <w:rFonts w:hint="eastAsia" w:ascii="仿宋" w:hAnsi="仿宋" w:eastAsia="仿宋" w:cs="仿宋"/>
                <w:color w:val="auto"/>
                <w:sz w:val="24"/>
                <w:szCs w:val="24"/>
                <w:highlight w:val="none"/>
              </w:rPr>
              <w:t>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BCDB5F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7E731271">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0A41E464">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7F8ECFE6">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6578A76">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2BDF2B7B">
            <w:pPr>
              <w:jc w:val="center"/>
              <w:rPr>
                <w:rFonts w:ascii="微软雅黑" w:hAnsi="微软雅黑" w:eastAsia="微软雅黑"/>
                <w:color w:val="auto"/>
                <w:highlight w:val="none"/>
              </w:rPr>
            </w:pPr>
            <w:r>
              <w:rPr>
                <w:rFonts w:hint="eastAsia" w:ascii="微软雅黑" w:hAnsi="微软雅黑" w:eastAsia="微软雅黑"/>
                <w:color w:val="auto"/>
                <w:highlight w:val="none"/>
              </w:rPr>
              <w:t>18G034178</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3CE9E8F5">
            <w:pPr>
              <w:jc w:val="center"/>
              <w:rPr>
                <w:rFonts w:ascii="仿宋" w:hAnsi="仿宋" w:eastAsia="仿宋" w:cs="仿宋"/>
                <w:color w:val="auto"/>
                <w:sz w:val="24"/>
                <w:szCs w:val="24"/>
                <w:highlight w:val="none"/>
              </w:rPr>
            </w:pPr>
            <w:r>
              <w:rPr>
                <w:rFonts w:hint="eastAsia"/>
                <w:color w:val="auto"/>
                <w:sz w:val="20"/>
                <w:highlight w:val="none"/>
              </w:rPr>
              <w:t>LCA-1050-CO60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7BAA79C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FE7D7C5">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70814CF">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39E9FEA9">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07A12BE7">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C493CA0">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536B78D">
            <w:pPr>
              <w:jc w:val="center"/>
              <w:rPr>
                <w:rFonts w:ascii="微软雅黑" w:hAnsi="微软雅黑" w:eastAsia="微软雅黑" w:cs="宋体"/>
                <w:color w:val="auto"/>
                <w:kern w:val="0"/>
                <w:sz w:val="24"/>
                <w:szCs w:val="24"/>
                <w:highlight w:val="none"/>
              </w:rPr>
            </w:pPr>
            <w:r>
              <w:rPr>
                <w:rFonts w:ascii="微软雅黑" w:hAnsi="微软雅黑" w:eastAsia="微软雅黑"/>
                <w:color w:val="auto"/>
                <w:highlight w:val="none"/>
              </w:rPr>
              <w:t>18G034179-297</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57F493E9">
            <w:pPr>
              <w:jc w:val="center"/>
              <w:rPr>
                <w:rFonts w:ascii="仿宋" w:hAnsi="仿宋" w:eastAsia="仿宋" w:cs="仿宋"/>
                <w:color w:val="auto"/>
                <w:sz w:val="24"/>
                <w:szCs w:val="24"/>
                <w:highlight w:val="none"/>
              </w:rPr>
            </w:pPr>
            <w:r>
              <w:rPr>
                <w:rFonts w:hint="eastAsia"/>
                <w:color w:val="auto"/>
                <w:sz w:val="20"/>
                <w:highlight w:val="none"/>
              </w:rPr>
              <w:t>MCA-1050-CO105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978767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452DBF0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D71A660">
            <w:pPr>
              <w:jc w:val="center"/>
              <w:rPr>
                <w:rFonts w:ascii="微软雅黑" w:hAnsi="微软雅黑" w:eastAsia="微软雅黑"/>
                <w:color w:val="auto"/>
                <w:highlight w:val="none"/>
              </w:rPr>
            </w:pPr>
            <w:r>
              <w:rPr>
                <w:rFonts w:ascii="微软雅黑" w:hAnsi="微软雅黑" w:eastAsia="微软雅黑"/>
                <w:color w:val="auto"/>
                <w:highlight w:val="none"/>
              </w:rPr>
              <w:t>8</w:t>
            </w:r>
            <w:r>
              <w:rPr>
                <w:rFonts w:hint="eastAsia" w:ascii="微软雅黑" w:hAnsi="微软雅黑" w:eastAsia="微软雅黑"/>
                <w:color w:val="auto"/>
                <w:highlight w:val="none"/>
              </w:rPr>
              <w:t>/</w:t>
            </w:r>
            <w:r>
              <w:rPr>
                <w:rFonts w:ascii="微软雅黑" w:hAnsi="微软雅黑" w:eastAsia="微软雅黑"/>
                <w:color w:val="auto"/>
                <w:highlight w:val="none"/>
              </w:rPr>
              <w:t>8</w:t>
            </w:r>
            <w:r>
              <w:rPr>
                <w:rFonts w:hint="eastAsia" w:ascii="微软雅黑" w:hAnsi="微软雅黑" w:eastAsia="微软雅黑"/>
                <w:color w:val="auto"/>
                <w:highlight w:val="none"/>
              </w:rPr>
              <w:t>/</w:t>
            </w:r>
            <w:r>
              <w:rPr>
                <w:rFonts w:ascii="微软雅黑" w:hAnsi="微软雅黑" w:eastAsia="微软雅黑"/>
                <w:color w:val="auto"/>
                <w:highlight w:val="none"/>
              </w:rPr>
              <w:t>8</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4C9907E1">
            <w:pPr>
              <w:tabs>
                <w:tab w:val="left" w:pos="404"/>
              </w:tabs>
              <w:jc w:val="center"/>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9</w:t>
            </w:r>
          </w:p>
        </w:tc>
      </w:tr>
      <w:tr w14:paraId="6718594A">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823AD8D">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63F01566">
            <w:pPr>
              <w:widowControl/>
              <w:jc w:val="center"/>
              <w:rPr>
                <w:rFonts w:ascii="微软雅黑" w:hAnsi="微软雅黑" w:eastAsia="微软雅黑"/>
                <w:color w:val="auto"/>
                <w:highlight w:val="none"/>
              </w:rPr>
            </w:pPr>
            <w:r>
              <w:rPr>
                <w:rFonts w:hint="eastAsia" w:ascii="微软雅黑" w:hAnsi="微软雅黑" w:eastAsia="微软雅黑"/>
                <w:color w:val="auto"/>
                <w:highlight w:val="none"/>
              </w:rPr>
              <w:t>18G034299</w:t>
            </w:r>
            <w:r>
              <w:rPr>
                <w:rFonts w:ascii="微软雅黑" w:hAnsi="微软雅黑" w:eastAsia="微软雅黑"/>
                <w:color w:val="auto"/>
                <w:highlight w:val="none"/>
              </w:rPr>
              <w:t>-344</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19EC5024">
            <w:pPr>
              <w:jc w:val="center"/>
              <w:rPr>
                <w:rFonts w:ascii="仿宋" w:hAnsi="仿宋" w:eastAsia="仿宋" w:cs="仿宋"/>
                <w:color w:val="auto"/>
                <w:sz w:val="24"/>
                <w:szCs w:val="24"/>
                <w:highlight w:val="none"/>
              </w:rPr>
            </w:pPr>
            <w:r>
              <w:rPr>
                <w:rFonts w:hint="eastAsia"/>
                <w:color w:val="auto"/>
                <w:sz w:val="20"/>
                <w:highlight w:val="none"/>
              </w:rPr>
              <w:t>MCA-1050-CO105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9CA65B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B48C84E">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6763B9C0">
            <w:pPr>
              <w:jc w:val="center"/>
              <w:rPr>
                <w:rFonts w:ascii="微软雅黑" w:hAnsi="微软雅黑" w:eastAsia="微软雅黑"/>
                <w:color w:val="auto"/>
                <w:highlight w:val="none"/>
              </w:rPr>
            </w:pPr>
            <w:r>
              <w:rPr>
                <w:rFonts w:hint="eastAsia" w:ascii="微软雅黑" w:hAnsi="微软雅黑" w:eastAsia="微软雅黑"/>
                <w:color w:val="auto"/>
                <w:highlight w:val="none"/>
              </w:rPr>
              <w:t>11/11/11</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051D2BB2">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6</w:t>
            </w:r>
          </w:p>
        </w:tc>
      </w:tr>
      <w:tr w14:paraId="5F37BE90">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0B3F91A3">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167CCD8">
            <w:pPr>
              <w:widowControl/>
              <w:jc w:val="center"/>
              <w:rPr>
                <w:rFonts w:ascii="微软雅黑" w:hAnsi="微软雅黑" w:eastAsia="微软雅黑"/>
                <w:color w:val="auto"/>
                <w:highlight w:val="none"/>
              </w:rPr>
            </w:pPr>
            <w:r>
              <w:rPr>
                <w:rFonts w:ascii="微软雅黑" w:hAnsi="微软雅黑" w:eastAsia="微软雅黑"/>
                <w:color w:val="auto"/>
                <w:highlight w:val="none"/>
              </w:rPr>
              <w:t>18G038305</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6215FAD6">
            <w:pPr>
              <w:jc w:val="center"/>
              <w:rPr>
                <w:rFonts w:ascii="仿宋" w:hAnsi="仿宋" w:eastAsia="仿宋" w:cs="仿宋"/>
                <w:color w:val="auto"/>
                <w:sz w:val="24"/>
                <w:szCs w:val="24"/>
                <w:highlight w:val="none"/>
              </w:rPr>
            </w:pPr>
            <w:r>
              <w:rPr>
                <w:rFonts w:hint="eastAsia"/>
                <w:color w:val="auto"/>
                <w:sz w:val="20"/>
                <w:highlight w:val="none"/>
              </w:rPr>
              <w:t>MCA-1050-CO105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27CA1E2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2691FD8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7C9A2FC4">
            <w:pPr>
              <w:jc w:val="center"/>
              <w:rPr>
                <w:rFonts w:ascii="微软雅黑" w:hAnsi="微软雅黑" w:eastAsia="微软雅黑"/>
                <w:color w:val="auto"/>
                <w:highlight w:val="none"/>
              </w:rPr>
            </w:pPr>
            <w:r>
              <w:rPr>
                <w:rFonts w:hint="eastAsia" w:ascii="微软雅黑" w:hAnsi="微软雅黑" w:eastAsia="微软雅黑"/>
                <w:color w:val="auto"/>
                <w:highlight w:val="none"/>
              </w:rPr>
              <w:t>11/11/11</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4C69E322">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33283086">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6F050813">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2B115218">
            <w:pPr>
              <w:widowControl/>
              <w:jc w:val="center"/>
              <w:rPr>
                <w:rFonts w:ascii="微软雅黑" w:hAnsi="微软雅黑" w:eastAsia="微软雅黑"/>
                <w:color w:val="auto"/>
                <w:highlight w:val="none"/>
              </w:rPr>
            </w:pPr>
            <w:r>
              <w:rPr>
                <w:rFonts w:hint="eastAsia" w:ascii="微软雅黑" w:hAnsi="微软雅黑" w:eastAsia="微软雅黑"/>
                <w:color w:val="auto"/>
                <w:highlight w:val="none"/>
              </w:rPr>
              <w:t>20G140486</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7B5F7902">
            <w:pPr>
              <w:jc w:val="center"/>
              <w:rPr>
                <w:color w:val="auto"/>
                <w:sz w:val="20"/>
                <w:highlight w:val="none"/>
              </w:rPr>
            </w:pPr>
            <w:r>
              <w:rPr>
                <w:rFonts w:hint="eastAsia"/>
                <w:color w:val="auto"/>
                <w:sz w:val="20"/>
                <w:highlight w:val="none"/>
                <w:shd w:val="clear" w:color="auto" w:fill="F3FBFE"/>
              </w:rPr>
              <w:t>MCA-1050-CO60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7DE8F41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D6BF9D1">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06AE6DD9">
            <w:pPr>
              <w:jc w:val="center"/>
              <w:rPr>
                <w:rFonts w:ascii="微软雅黑" w:hAnsi="微软雅黑" w:eastAsia="微软雅黑"/>
                <w:color w:val="auto"/>
                <w:highlight w:val="none"/>
              </w:rPr>
            </w:pPr>
            <w:r>
              <w:rPr>
                <w:rFonts w:hint="eastAsia" w:ascii="微软雅黑" w:hAnsi="微软雅黑" w:eastAsia="微软雅黑"/>
                <w:color w:val="auto"/>
                <w:highlight w:val="none"/>
              </w:rPr>
              <w:t>5/5/5</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7E3B1A36">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7BF94BEA">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7540D3A">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2C67520F">
            <w:pPr>
              <w:widowControl/>
              <w:jc w:val="center"/>
              <w:rPr>
                <w:rFonts w:ascii="微软雅黑" w:hAnsi="微软雅黑" w:eastAsia="微软雅黑"/>
                <w:color w:val="auto"/>
                <w:highlight w:val="none"/>
              </w:rPr>
            </w:pPr>
            <w:r>
              <w:rPr>
                <w:rFonts w:hint="eastAsia" w:ascii="微软雅黑" w:hAnsi="微软雅黑" w:eastAsia="微软雅黑"/>
                <w:color w:val="auto"/>
                <w:highlight w:val="none"/>
              </w:rPr>
              <w:t>20G140487</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7042DF3D">
            <w:pPr>
              <w:jc w:val="center"/>
              <w:rPr>
                <w:color w:val="auto"/>
                <w:sz w:val="20"/>
                <w:highlight w:val="none"/>
              </w:rPr>
            </w:pPr>
            <w:r>
              <w:rPr>
                <w:rFonts w:hint="eastAsia"/>
                <w:color w:val="auto"/>
                <w:sz w:val="20"/>
                <w:highlight w:val="none"/>
                <w:shd w:val="clear" w:color="auto" w:fill="F3FBFE"/>
              </w:rPr>
              <w:t>MCA-1050-CO60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3D0CAFD8">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7BA6F8B3">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06AB94B9">
            <w:pPr>
              <w:jc w:val="center"/>
              <w:rPr>
                <w:rFonts w:ascii="微软雅黑" w:hAnsi="微软雅黑" w:eastAsia="微软雅黑"/>
                <w:color w:val="auto"/>
                <w:highlight w:val="none"/>
              </w:rPr>
            </w:pPr>
            <w:r>
              <w:rPr>
                <w:rFonts w:hint="eastAsia" w:ascii="微软雅黑" w:hAnsi="微软雅黑" w:eastAsia="微软雅黑"/>
                <w:color w:val="auto"/>
                <w:highlight w:val="non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60F2D5A5">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7BB24EBD">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4BB47DF1">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2CEE1236">
            <w:pPr>
              <w:widowControl/>
              <w:jc w:val="center"/>
              <w:rPr>
                <w:rFonts w:ascii="微软雅黑" w:hAnsi="微软雅黑" w:eastAsia="微软雅黑"/>
                <w:color w:val="auto"/>
                <w:highlight w:val="none"/>
              </w:rPr>
            </w:pPr>
            <w:r>
              <w:rPr>
                <w:rFonts w:hint="eastAsia" w:ascii="微软雅黑" w:hAnsi="微软雅黑" w:eastAsia="微软雅黑"/>
                <w:color w:val="auto"/>
                <w:highlight w:val="none"/>
              </w:rPr>
              <w:t>20G140488</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6905DD84">
            <w:pPr>
              <w:jc w:val="center"/>
              <w:rPr>
                <w:color w:val="auto"/>
                <w:sz w:val="20"/>
                <w:highlight w:val="none"/>
              </w:rPr>
            </w:pPr>
            <w:r>
              <w:rPr>
                <w:rFonts w:hint="eastAsia"/>
                <w:color w:val="auto"/>
                <w:sz w:val="20"/>
                <w:highlight w:val="none"/>
                <w:shd w:val="clear" w:color="auto" w:fill="F3FBFE"/>
              </w:rPr>
              <w:t>MCA-1050-CO60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07E6C069">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48A7769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4221716">
            <w:pPr>
              <w:jc w:val="center"/>
              <w:rPr>
                <w:rFonts w:ascii="微软雅黑" w:hAnsi="微软雅黑" w:eastAsia="微软雅黑"/>
                <w:color w:val="auto"/>
                <w:highlight w:val="none"/>
              </w:rPr>
            </w:pPr>
            <w:r>
              <w:rPr>
                <w:rFonts w:hint="eastAsia" w:ascii="微软雅黑" w:hAnsi="微软雅黑" w:eastAsia="微软雅黑"/>
                <w:color w:val="auto"/>
                <w:highlight w:val="none"/>
              </w:rPr>
              <w:t>3/3/3</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383D43F1">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65F142AB">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2F0FCED2">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32BE4026">
            <w:pPr>
              <w:widowControl/>
              <w:jc w:val="center"/>
              <w:rPr>
                <w:rFonts w:ascii="微软雅黑" w:hAnsi="微软雅黑" w:eastAsia="微软雅黑"/>
                <w:color w:val="auto"/>
                <w:highlight w:val="none"/>
              </w:rPr>
            </w:pPr>
            <w:r>
              <w:rPr>
                <w:rFonts w:hint="eastAsia"/>
                <w:color w:val="auto"/>
                <w:sz w:val="20"/>
                <w:highlight w:val="none"/>
                <w:shd w:val="clear" w:color="auto" w:fill="F3FBFE"/>
              </w:rPr>
              <w:t>21G046976</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6A41C82F">
            <w:pPr>
              <w:jc w:val="center"/>
              <w:rPr>
                <w:color w:val="auto"/>
                <w:sz w:val="20"/>
                <w:highlight w:val="none"/>
                <w:shd w:val="clear" w:color="auto" w:fill="F3FBFE"/>
              </w:rPr>
            </w:pPr>
            <w:r>
              <w:rPr>
                <w:rFonts w:hint="eastAsia"/>
                <w:color w:val="auto"/>
                <w:sz w:val="20"/>
                <w:highlight w:val="none"/>
                <w:shd w:val="clear" w:color="auto" w:fill="F3FBFE"/>
              </w:rPr>
              <w:t>MCA-1350-CO105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54753ACD">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76FE3B14">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1.75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4DD4EDEF">
            <w:pPr>
              <w:jc w:val="center"/>
              <w:rPr>
                <w:rFonts w:ascii="微软雅黑" w:hAnsi="微软雅黑" w:eastAsia="微软雅黑"/>
                <w:color w:val="auto"/>
                <w:highlight w:val="none"/>
              </w:rPr>
            </w:pPr>
            <w:r>
              <w:rPr>
                <w:rFonts w:hint="eastAsia"/>
                <w:color w:val="auto"/>
                <w:sz w:val="20"/>
                <w:highlight w:val="none"/>
                <w:shd w:val="clear" w:color="auto" w:fill="F3FBFE"/>
              </w:rPr>
              <w:t>6/6/6</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3B1EA321">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r w14:paraId="291A2666">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1D0E646F">
            <w:pPr>
              <w:jc w:val="center"/>
              <w:rPr>
                <w:color w:val="auto"/>
                <w:sz w:val="20"/>
                <w:highlight w:val="none"/>
                <w:shd w:val="clear" w:color="auto" w:fill="F3FBF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42B3A5B2">
            <w:pPr>
              <w:jc w:val="center"/>
              <w:rPr>
                <w:color w:val="auto"/>
                <w:sz w:val="20"/>
                <w:highlight w:val="none"/>
                <w:shd w:val="clear" w:color="auto" w:fill="F3FBFE"/>
              </w:rPr>
            </w:pPr>
            <w:r>
              <w:rPr>
                <w:rFonts w:hint="eastAsia"/>
                <w:color w:val="auto"/>
                <w:sz w:val="20"/>
                <w:highlight w:val="none"/>
                <w:shd w:val="clear" w:color="auto" w:fill="F3FBFE"/>
              </w:rPr>
              <w:br w:type="textWrapping"/>
            </w:r>
            <w:r>
              <w:rPr>
                <w:rFonts w:hint="eastAsia"/>
                <w:color w:val="auto"/>
                <w:sz w:val="20"/>
                <w:highlight w:val="none"/>
                <w:shd w:val="clear" w:color="auto" w:fill="F3FBFE"/>
              </w:rPr>
              <w:t>21G046977-80</w:t>
            </w:r>
          </w:p>
          <w:p w14:paraId="4952EFD0">
            <w:pPr>
              <w:jc w:val="center"/>
              <w:rPr>
                <w:color w:val="auto"/>
                <w:sz w:val="20"/>
                <w:highlight w:val="none"/>
                <w:shd w:val="clear" w:color="auto" w:fill="F3FBFE"/>
              </w:rPr>
            </w:pP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3E6837C8">
            <w:pPr>
              <w:jc w:val="center"/>
              <w:rPr>
                <w:color w:val="auto"/>
                <w:sz w:val="20"/>
                <w:highlight w:val="none"/>
                <w:shd w:val="clear" w:color="auto" w:fill="F3FBFE"/>
              </w:rPr>
            </w:pPr>
            <w:r>
              <w:rPr>
                <w:rFonts w:hint="eastAsia"/>
                <w:color w:val="auto"/>
                <w:sz w:val="20"/>
                <w:highlight w:val="none"/>
                <w:shd w:val="clear" w:color="auto" w:fill="F3FBFE"/>
              </w:rPr>
              <w:t>MCA-1350-CO105</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007FC5E">
            <w:pPr>
              <w:jc w:val="center"/>
              <w:rPr>
                <w:color w:val="auto"/>
                <w:sz w:val="20"/>
                <w:highlight w:val="none"/>
                <w:shd w:val="clear" w:color="auto" w:fill="F3FBFE"/>
              </w:rPr>
            </w:pPr>
            <w:r>
              <w:rPr>
                <w:rFonts w:hint="eastAsia"/>
                <w:color w:val="auto"/>
                <w:sz w:val="20"/>
                <w:highlight w:val="none"/>
                <w:shd w:val="clear" w:color="auto" w:fill="F3FBFE"/>
              </w:rPr>
              <w:t>1350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8450EA6">
            <w:pPr>
              <w:jc w:val="center"/>
              <w:rPr>
                <w:color w:val="auto"/>
                <w:sz w:val="20"/>
                <w:highlight w:val="none"/>
                <w:shd w:val="clear" w:color="auto" w:fill="F3FBFE"/>
              </w:rPr>
            </w:pPr>
            <w:r>
              <w:rPr>
                <w:rFonts w:hint="eastAsia" w:ascii="仿宋" w:hAnsi="仿宋" w:eastAsia="仿宋" w:cs="仿宋"/>
                <w:color w:val="auto"/>
                <w:sz w:val="24"/>
                <w:szCs w:val="24"/>
                <w:highlight w:val="none"/>
              </w:rPr>
              <w:t>1.75</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3ABAA0AE">
            <w:pPr>
              <w:jc w:val="center"/>
              <w:rPr>
                <w:color w:val="auto"/>
                <w:sz w:val="20"/>
                <w:highlight w:val="none"/>
                <w:shd w:val="clear" w:color="auto" w:fill="F3FBFE"/>
              </w:rPr>
            </w:pPr>
            <w:r>
              <w:rPr>
                <w:rFonts w:hint="eastAsia"/>
                <w:color w:val="auto"/>
                <w:sz w:val="20"/>
                <w:highlight w:val="none"/>
                <w:shd w:val="clear" w:color="auto" w:fill="F3FBFE"/>
              </w:rPr>
              <w:t>9/9/9</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572B00FF">
            <w:pPr>
              <w:tabs>
                <w:tab w:val="left" w:pos="404"/>
              </w:tabs>
              <w:jc w:val="center"/>
              <w:rPr>
                <w:color w:val="auto"/>
                <w:sz w:val="20"/>
                <w:highlight w:val="none"/>
                <w:shd w:val="clear" w:color="auto" w:fill="F3FBFE"/>
              </w:rPr>
            </w:pPr>
            <w:r>
              <w:rPr>
                <w:rFonts w:hint="eastAsia"/>
                <w:color w:val="auto"/>
                <w:sz w:val="20"/>
                <w:highlight w:val="none"/>
                <w:shd w:val="clear" w:color="auto" w:fill="F3FBFE"/>
              </w:rPr>
              <w:t>4</w:t>
            </w:r>
          </w:p>
        </w:tc>
      </w:tr>
      <w:tr w14:paraId="731C9AA8">
        <w:tblPrEx>
          <w:tblCellMar>
            <w:top w:w="15" w:type="dxa"/>
            <w:left w:w="15" w:type="dxa"/>
            <w:bottom w:w="15" w:type="dxa"/>
            <w:right w:w="15" w:type="dxa"/>
          </w:tblCellMar>
        </w:tblPrEx>
        <w:trPr>
          <w:trHeight w:val="473"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FFFFFF"/>
            <w:vAlign w:val="center"/>
          </w:tcPr>
          <w:p w14:paraId="3D86F087">
            <w:pPr>
              <w:widowControl/>
              <w:jc w:val="center"/>
              <w:textAlignment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日立</w:t>
            </w:r>
          </w:p>
        </w:tc>
        <w:tc>
          <w:tcPr>
            <w:tcW w:w="1657" w:type="dxa"/>
            <w:tcBorders>
              <w:top w:val="single" w:color="auto" w:sz="4" w:space="0"/>
              <w:left w:val="single" w:color="auto" w:sz="4" w:space="0"/>
              <w:bottom w:val="single" w:color="auto" w:sz="4" w:space="0"/>
              <w:right w:val="single" w:color="auto" w:sz="4" w:space="0"/>
            </w:tcBorders>
            <w:shd w:val="clear" w:color="auto" w:fill="FFFFFF"/>
            <w:vAlign w:val="center"/>
          </w:tcPr>
          <w:p w14:paraId="180A4023">
            <w:pPr>
              <w:widowControl/>
              <w:jc w:val="center"/>
              <w:rPr>
                <w:color w:val="auto"/>
                <w:sz w:val="20"/>
                <w:highlight w:val="none"/>
                <w:shd w:val="clear" w:color="auto" w:fill="F3FBFE"/>
              </w:rPr>
            </w:pPr>
            <w:r>
              <w:rPr>
                <w:rFonts w:hint="eastAsia" w:ascii="微软雅黑" w:hAnsi="微软雅黑" w:eastAsia="微软雅黑"/>
                <w:color w:val="auto"/>
                <w:highlight w:val="none"/>
              </w:rPr>
              <w:t>21G046981</w:t>
            </w:r>
          </w:p>
        </w:tc>
        <w:tc>
          <w:tcPr>
            <w:tcW w:w="1875" w:type="dxa"/>
            <w:tcBorders>
              <w:top w:val="single" w:color="auto" w:sz="4" w:space="0"/>
              <w:left w:val="single" w:color="auto" w:sz="4" w:space="0"/>
              <w:bottom w:val="single" w:color="auto" w:sz="4" w:space="0"/>
              <w:right w:val="single" w:color="auto" w:sz="4" w:space="0"/>
            </w:tcBorders>
            <w:shd w:val="clear" w:color="auto" w:fill="FFFFFF"/>
            <w:vAlign w:val="center"/>
          </w:tcPr>
          <w:p w14:paraId="5A058DC6">
            <w:pPr>
              <w:jc w:val="center"/>
              <w:rPr>
                <w:color w:val="auto"/>
                <w:sz w:val="20"/>
                <w:highlight w:val="none"/>
                <w:shd w:val="clear" w:color="auto" w:fill="F3FBFE"/>
              </w:rPr>
            </w:pPr>
            <w:r>
              <w:rPr>
                <w:rFonts w:hint="eastAsia"/>
                <w:color w:val="auto"/>
                <w:sz w:val="20"/>
                <w:highlight w:val="none"/>
                <w:shd w:val="clear" w:color="auto" w:fill="F3FBFE"/>
              </w:rPr>
              <w:t>MCA-1350-CO60</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4065126A">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1350</w:t>
            </w: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3E4D977">
            <w:pPr>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945" w:type="dxa"/>
            <w:tcBorders>
              <w:top w:val="single" w:color="auto" w:sz="4" w:space="0"/>
              <w:left w:val="single" w:color="auto" w:sz="4" w:space="0"/>
              <w:bottom w:val="single" w:color="auto" w:sz="4" w:space="0"/>
              <w:right w:val="single" w:color="auto" w:sz="4" w:space="0"/>
            </w:tcBorders>
            <w:shd w:val="clear" w:color="auto" w:fill="FFFFFF"/>
            <w:vAlign w:val="center"/>
          </w:tcPr>
          <w:p w14:paraId="22157249">
            <w:pPr>
              <w:jc w:val="center"/>
              <w:rPr>
                <w:color w:val="auto"/>
                <w:sz w:val="20"/>
                <w:highlight w:val="none"/>
                <w:shd w:val="clear" w:color="auto" w:fill="F3FBFE"/>
              </w:rPr>
            </w:pPr>
            <w:r>
              <w:rPr>
                <w:rFonts w:hint="eastAsia"/>
                <w:color w:val="auto"/>
                <w:sz w:val="20"/>
                <w:highlight w:val="none"/>
                <w:shd w:val="clear" w:color="auto" w:fill="F3FBFE"/>
              </w:rPr>
              <w:t>4/4/4</w:t>
            </w:r>
          </w:p>
        </w:tc>
        <w:tc>
          <w:tcPr>
            <w:tcW w:w="697" w:type="dxa"/>
            <w:tcBorders>
              <w:top w:val="single" w:color="auto" w:sz="4" w:space="0"/>
              <w:left w:val="single" w:color="auto" w:sz="4" w:space="0"/>
              <w:bottom w:val="single" w:color="auto" w:sz="4" w:space="0"/>
              <w:right w:val="single" w:color="auto" w:sz="4" w:space="0"/>
            </w:tcBorders>
            <w:shd w:val="clear" w:color="auto" w:fill="FFFFFF"/>
            <w:vAlign w:val="center"/>
          </w:tcPr>
          <w:p w14:paraId="7C08AD5C">
            <w:pPr>
              <w:tabs>
                <w:tab w:val="left" w:pos="404"/>
              </w:tabs>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r>
    </w:tbl>
    <w:p w14:paraId="63840FD2">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highlight w:val="none"/>
        </w:rPr>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217C">
    <w:pPr>
      <w:pStyle w:val="6"/>
      <w:jc w:val="center"/>
    </w:pPr>
    <w:r>
      <w:fldChar w:fldCharType="begin"/>
    </w:r>
    <w:r>
      <w:instrText xml:space="preserve">PAGE   \* MERGEFORMAT</w:instrText>
    </w:r>
    <w:r>
      <w:fldChar w:fldCharType="separate"/>
    </w:r>
    <w:r>
      <w:rPr>
        <w:lang w:val="zh-CN"/>
      </w:rPr>
      <w:t>2</w:t>
    </w:r>
    <w:r>
      <w:fldChar w:fldCharType="end"/>
    </w:r>
  </w:p>
  <w:p w14:paraId="18CE4C16">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153FD"/>
    <w:multiLevelType w:val="singleLevel"/>
    <w:tmpl w:val="AC1153FD"/>
    <w:lvl w:ilvl="0" w:tentative="0">
      <w:start w:val="5"/>
      <w:numFmt w:val="chineseCounting"/>
      <w:suff w:val="nothing"/>
      <w:lvlText w:val="%1、"/>
      <w:lvlJc w:val="left"/>
      <w:rPr>
        <w:rFonts w:hint="eastAsia"/>
      </w:rPr>
    </w:lvl>
  </w:abstractNum>
  <w:abstractNum w:abstractNumId="1">
    <w:nsid w:val="D02CCFA6"/>
    <w:multiLevelType w:val="singleLevel"/>
    <w:tmpl w:val="D02CCFA6"/>
    <w:lvl w:ilvl="0" w:tentative="0">
      <w:start w:val="1"/>
      <w:numFmt w:val="decimal"/>
      <w:lvlText w:val="(%1)"/>
      <w:lvlJc w:val="left"/>
      <w:pPr>
        <w:ind w:left="425" w:hanging="425"/>
      </w:pPr>
      <w:rPr>
        <w:rFonts w:hint="default"/>
      </w:rPr>
    </w:lvl>
  </w:abstractNum>
  <w:abstractNum w:abstractNumId="2">
    <w:nsid w:val="FFF40CAF"/>
    <w:multiLevelType w:val="singleLevel"/>
    <w:tmpl w:val="FFF40CAF"/>
    <w:lvl w:ilvl="0" w:tentative="0">
      <w:start w:val="1"/>
      <w:numFmt w:val="chineseCounting"/>
      <w:suff w:val="nothing"/>
      <w:lvlText w:val="（%1）"/>
      <w:lvlJc w:val="left"/>
      <w:rPr>
        <w:rFonts w:hint="eastAsia"/>
      </w:rPr>
    </w:lvl>
  </w:abstractNum>
  <w:abstractNum w:abstractNumId="3">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6BE8E00"/>
    <w:multiLevelType w:val="singleLevel"/>
    <w:tmpl w:val="26BE8E00"/>
    <w:lvl w:ilvl="0" w:tentative="0">
      <w:start w:val="1"/>
      <w:numFmt w:val="decimal"/>
      <w:lvlText w:val="(%1)"/>
      <w:lvlJc w:val="left"/>
      <w:pPr>
        <w:ind w:left="425" w:hanging="425"/>
      </w:pPr>
      <w:rPr>
        <w:rFonts w:hint="default"/>
      </w:rPr>
    </w:lvl>
  </w:abstractNum>
  <w:abstractNum w:abstractNumId="5">
    <w:nsid w:val="3A53B1C1"/>
    <w:multiLevelType w:val="singleLevel"/>
    <w:tmpl w:val="3A53B1C1"/>
    <w:lvl w:ilvl="0" w:tentative="0">
      <w:start w:val="1"/>
      <w:numFmt w:val="decimal"/>
      <w:lvlText w:val="%1."/>
      <w:lvlJc w:val="left"/>
      <w:pPr>
        <w:ind w:left="425" w:hanging="425"/>
      </w:pPr>
      <w:rPr>
        <w:rFonts w:hint="default"/>
      </w:rPr>
    </w:lvl>
  </w:abstractNum>
  <w:abstractNum w:abstractNumId="6">
    <w:nsid w:val="3D4F211F"/>
    <w:multiLevelType w:val="singleLevel"/>
    <w:tmpl w:val="3D4F211F"/>
    <w:lvl w:ilvl="0" w:tentative="0">
      <w:start w:val="1"/>
      <w:numFmt w:val="decimal"/>
      <w:lvlText w:val="(%1)"/>
      <w:lvlJc w:val="left"/>
      <w:pPr>
        <w:ind w:left="425" w:hanging="425"/>
      </w:pPr>
      <w:rPr>
        <w:rFonts w:hint="default"/>
      </w:rPr>
    </w:lvl>
  </w:abstractNum>
  <w:abstractNum w:abstractNumId="7">
    <w:nsid w:val="455E23BA"/>
    <w:multiLevelType w:val="singleLevel"/>
    <w:tmpl w:val="455E23BA"/>
    <w:lvl w:ilvl="0" w:tentative="0">
      <w:start w:val="2"/>
      <w:numFmt w:val="chineseCounting"/>
      <w:suff w:val="nothing"/>
      <w:lvlText w:val="（%1）"/>
      <w:lvlJc w:val="left"/>
      <w:rPr>
        <w:rFonts w:hint="eastAsia"/>
      </w:rPr>
    </w:lvl>
  </w:abstractNum>
  <w:abstractNum w:abstractNumId="8">
    <w:nsid w:val="561E5F64"/>
    <w:multiLevelType w:val="singleLevel"/>
    <w:tmpl w:val="561E5F64"/>
    <w:lvl w:ilvl="0" w:tentative="0">
      <w:start w:val="1"/>
      <w:numFmt w:val="decimal"/>
      <w:suff w:val="nothing"/>
      <w:lvlText w:val="%1．"/>
      <w:lvlJc w:val="left"/>
      <w:pPr>
        <w:ind w:left="0" w:firstLine="400"/>
      </w:pPr>
      <w:rPr>
        <w:rFonts w:hint="default"/>
      </w:rPr>
    </w:lvl>
  </w:abstractNum>
  <w:abstractNum w:abstractNumId="9">
    <w:nsid w:val="79506FC8"/>
    <w:multiLevelType w:val="singleLevel"/>
    <w:tmpl w:val="79506FC8"/>
    <w:lvl w:ilvl="0" w:tentative="0">
      <w:start w:val="6"/>
      <w:numFmt w:val="chineseCounting"/>
      <w:suff w:val="nothing"/>
      <w:lvlText w:val="%1、"/>
      <w:lvlJc w:val="left"/>
      <w:rPr>
        <w:rFonts w:hint="eastAsia"/>
      </w:rPr>
    </w:lvl>
  </w:abstractNum>
  <w:num w:numId="1">
    <w:abstractNumId w:val="5"/>
  </w:num>
  <w:num w:numId="2">
    <w:abstractNumId w:val="8"/>
  </w:num>
  <w:num w:numId="3">
    <w:abstractNumId w:val="7"/>
  </w:num>
  <w:num w:numId="4">
    <w:abstractNumId w:val="0"/>
  </w:num>
  <w:num w:numId="5">
    <w:abstractNumId w:val="2"/>
  </w:num>
  <w:num w:numId="6">
    <w:abstractNumId w:val="3"/>
  </w:num>
  <w:num w:numId="7">
    <w:abstractNumId w:val="9"/>
  </w:num>
  <w:num w:numId="8">
    <w:abstractNumId w:val="1"/>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kNzExYzI3Y2I0MmQ3MWRjNmUyMDFiZWE4MDE2MTcifQ=="/>
  </w:docVars>
  <w:rsids>
    <w:rsidRoot w:val="00A161FC"/>
    <w:rsid w:val="00105428"/>
    <w:rsid w:val="00140AF0"/>
    <w:rsid w:val="001507CE"/>
    <w:rsid w:val="00157667"/>
    <w:rsid w:val="001609FC"/>
    <w:rsid w:val="0018461B"/>
    <w:rsid w:val="001B712C"/>
    <w:rsid w:val="001C41C3"/>
    <w:rsid w:val="002104D6"/>
    <w:rsid w:val="00237253"/>
    <w:rsid w:val="002B3A1B"/>
    <w:rsid w:val="003113D4"/>
    <w:rsid w:val="00345D8D"/>
    <w:rsid w:val="0036352F"/>
    <w:rsid w:val="003649AF"/>
    <w:rsid w:val="00453832"/>
    <w:rsid w:val="004951D7"/>
    <w:rsid w:val="004A43F0"/>
    <w:rsid w:val="004E4B14"/>
    <w:rsid w:val="00501176"/>
    <w:rsid w:val="00510891"/>
    <w:rsid w:val="0053111A"/>
    <w:rsid w:val="00562C62"/>
    <w:rsid w:val="005633CE"/>
    <w:rsid w:val="00571ADE"/>
    <w:rsid w:val="005951EF"/>
    <w:rsid w:val="005F1571"/>
    <w:rsid w:val="005F401F"/>
    <w:rsid w:val="00611202"/>
    <w:rsid w:val="006C2918"/>
    <w:rsid w:val="006C782C"/>
    <w:rsid w:val="006D1FC2"/>
    <w:rsid w:val="007554BB"/>
    <w:rsid w:val="007839AE"/>
    <w:rsid w:val="007F4BD9"/>
    <w:rsid w:val="00800E12"/>
    <w:rsid w:val="008153D5"/>
    <w:rsid w:val="00823CA9"/>
    <w:rsid w:val="008403A0"/>
    <w:rsid w:val="0084652E"/>
    <w:rsid w:val="0089621F"/>
    <w:rsid w:val="00925E61"/>
    <w:rsid w:val="0099177F"/>
    <w:rsid w:val="00995789"/>
    <w:rsid w:val="009F6CAB"/>
    <w:rsid w:val="009F7A2C"/>
    <w:rsid w:val="00A047F0"/>
    <w:rsid w:val="00A161FC"/>
    <w:rsid w:val="00A765E9"/>
    <w:rsid w:val="00AC005D"/>
    <w:rsid w:val="00AF7468"/>
    <w:rsid w:val="00B0132C"/>
    <w:rsid w:val="00B4481B"/>
    <w:rsid w:val="00B72BD6"/>
    <w:rsid w:val="00B91989"/>
    <w:rsid w:val="00BC3D86"/>
    <w:rsid w:val="00BE5444"/>
    <w:rsid w:val="00C15054"/>
    <w:rsid w:val="00C63818"/>
    <w:rsid w:val="00C82348"/>
    <w:rsid w:val="00CD153F"/>
    <w:rsid w:val="00CD2230"/>
    <w:rsid w:val="00DC1928"/>
    <w:rsid w:val="00DF5062"/>
    <w:rsid w:val="00E0581E"/>
    <w:rsid w:val="00E1130A"/>
    <w:rsid w:val="00E4264C"/>
    <w:rsid w:val="00E73399"/>
    <w:rsid w:val="00E7573D"/>
    <w:rsid w:val="00E821CF"/>
    <w:rsid w:val="00E931F1"/>
    <w:rsid w:val="00F9789E"/>
    <w:rsid w:val="00FB00E1"/>
    <w:rsid w:val="00FC1111"/>
    <w:rsid w:val="00FC3BB8"/>
    <w:rsid w:val="00FE1B41"/>
    <w:rsid w:val="00FF21F2"/>
    <w:rsid w:val="00FF47AD"/>
    <w:rsid w:val="042F62B6"/>
    <w:rsid w:val="056D3B39"/>
    <w:rsid w:val="05DE20B7"/>
    <w:rsid w:val="09F50129"/>
    <w:rsid w:val="0CA76AA3"/>
    <w:rsid w:val="0D70010A"/>
    <w:rsid w:val="15BC6161"/>
    <w:rsid w:val="1BC72B84"/>
    <w:rsid w:val="2BB445C1"/>
    <w:rsid w:val="2DBA3532"/>
    <w:rsid w:val="2E401E1B"/>
    <w:rsid w:val="35A008B7"/>
    <w:rsid w:val="382D26C2"/>
    <w:rsid w:val="3A10178C"/>
    <w:rsid w:val="41EF58ED"/>
    <w:rsid w:val="48C97504"/>
    <w:rsid w:val="4A9106FD"/>
    <w:rsid w:val="4CB27155"/>
    <w:rsid w:val="4FAF6015"/>
    <w:rsid w:val="56351186"/>
    <w:rsid w:val="569C0B56"/>
    <w:rsid w:val="5D7A3273"/>
    <w:rsid w:val="5EA901CC"/>
    <w:rsid w:val="61FD63DC"/>
    <w:rsid w:val="67EA3F16"/>
    <w:rsid w:val="6C0E1756"/>
    <w:rsid w:val="6EA91EA1"/>
    <w:rsid w:val="7541007C"/>
    <w:rsid w:val="78D87374"/>
    <w:rsid w:val="79B7153C"/>
    <w:rsid w:val="7C8B68D8"/>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sz w:val="28"/>
    </w:rPr>
  </w:style>
  <w:style w:type="paragraph" w:styleId="3">
    <w:name w:val="Date"/>
    <w:basedOn w:val="1"/>
    <w:next w:val="1"/>
    <w:qFormat/>
    <w:uiPriority w:val="0"/>
  </w:style>
  <w:style w:type="paragraph" w:styleId="4">
    <w:name w:val="Plain Text"/>
    <w:basedOn w:val="1"/>
    <w:link w:val="12"/>
    <w:qFormat/>
    <w:uiPriority w:val="0"/>
    <w:rPr>
      <w:rFonts w:ascii="宋体" w:hAnsi="Courier New"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4"/>
    <w:qFormat/>
    <w:uiPriority w:val="0"/>
    <w:rPr>
      <w:rFonts w:ascii="宋体" w:hAnsi="Courier New" w:eastAsia="宋体"/>
    </w:rPr>
  </w:style>
  <w:style w:type="character" w:customStyle="1" w:styleId="13">
    <w:name w:val="页脚 字符"/>
    <w:link w:val="6"/>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5"/>
    <w:semiHidden/>
    <w:qFormat/>
    <w:uiPriority w:val="99"/>
    <w:rPr>
      <w:rFonts w:ascii="Times New Roman" w:hAnsi="Times New Roman" w:eastAsia="宋体" w:cs="Times New Roman"/>
      <w:sz w:val="18"/>
      <w:szCs w:val="18"/>
    </w:rPr>
  </w:style>
  <w:style w:type="character" w:customStyle="1" w:styleId="21">
    <w:name w:val="font11"/>
    <w:qFormat/>
    <w:uiPriority w:val="0"/>
    <w:rPr>
      <w:rFonts w:ascii="宋体" w:hAnsi="宋体" w:eastAsia="宋体"/>
      <w:color w:val="000000"/>
      <w:sz w:val="22"/>
      <w:u w:val="none"/>
    </w:rPr>
  </w:style>
  <w:style w:type="character" w:customStyle="1" w:styleId="22">
    <w:name w:val="font01"/>
    <w:qFormat/>
    <w:uiPriority w:val="0"/>
    <w:rPr>
      <w:rFonts w:ascii="宋体" w:hAnsi="宋体" w:eastAsia="宋体"/>
      <w:b/>
      <w:color w:val="000000"/>
      <w:sz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3211</Words>
  <Characters>3863</Characters>
  <Lines>31</Lines>
  <Paragraphs>8</Paragraphs>
  <TotalTime>0</TotalTime>
  <ScaleCrop>false</ScaleCrop>
  <LinksUpToDate>false</LinksUpToDate>
  <CharactersWithSpaces>3939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qzuser</cp:lastModifiedBy>
  <dcterms:modified xsi:type="dcterms:W3CDTF">2024-07-16T01:58:14Z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888C53974C914B94AA711ACD5C39F09B_13</vt:lpwstr>
  </property>
</Properties>
</file>