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A2C" w:rsidRPr="001B1762" w:rsidRDefault="00E3606B" w:rsidP="009F7A2C">
      <w:pPr>
        <w:pStyle w:val="a5"/>
        <w:rPr>
          <w:rFonts w:ascii="Times New Roman" w:hAnsi="Times New Roman" w:cs="Times New Roman"/>
          <w:sz w:val="36"/>
        </w:rPr>
      </w:pPr>
      <w:bookmarkStart w:id="0" w:name="_Toc38367762"/>
      <w:r w:rsidRPr="001B1762">
        <w:rPr>
          <w:rFonts w:ascii="Times New Roman" w:hAnsi="宋体" w:cs="Times New Roman"/>
          <w:sz w:val="36"/>
        </w:rPr>
        <w:t>质子</w:t>
      </w:r>
      <w:r w:rsidR="00674BB8">
        <w:rPr>
          <w:rFonts w:ascii="Times New Roman" w:hAnsi="宋体" w:cs="Times New Roman" w:hint="eastAsia"/>
          <w:sz w:val="36"/>
        </w:rPr>
        <w:t>转移</w:t>
      </w:r>
      <w:r w:rsidRPr="001B1762">
        <w:rPr>
          <w:rFonts w:ascii="Times New Roman" w:hAnsi="宋体" w:cs="Times New Roman"/>
          <w:sz w:val="36"/>
        </w:rPr>
        <w:t>反应质谱仪</w:t>
      </w:r>
      <w:r w:rsidR="00A161FC" w:rsidRPr="001B1762">
        <w:rPr>
          <w:rFonts w:ascii="Times New Roman" w:hAnsi="宋体" w:cs="Times New Roman"/>
          <w:sz w:val="36"/>
        </w:rPr>
        <w:t>采购需求</w:t>
      </w:r>
      <w:bookmarkEnd w:id="0"/>
    </w:p>
    <w:p w:rsidR="0084652E" w:rsidRPr="001B1762" w:rsidRDefault="0084652E" w:rsidP="00BC11C9">
      <w:pPr>
        <w:tabs>
          <w:tab w:val="left" w:pos="900"/>
        </w:tabs>
        <w:spacing w:beforeLines="50" w:line="360" w:lineRule="auto"/>
        <w:rPr>
          <w:b/>
          <w:szCs w:val="21"/>
        </w:rPr>
      </w:pPr>
      <w:bookmarkStart w:id="1" w:name="_Toc158978330"/>
      <w:bookmarkStart w:id="2" w:name="_Toc172360661"/>
      <w:bookmarkStart w:id="3" w:name="_Toc219271393"/>
      <w:r w:rsidRPr="001B1762">
        <w:rPr>
          <w:b/>
          <w:szCs w:val="21"/>
        </w:rPr>
        <w:t>一、</w:t>
      </w:r>
      <w:r w:rsidR="00A12DED">
        <w:rPr>
          <w:rFonts w:hint="eastAsia"/>
          <w:b/>
          <w:szCs w:val="21"/>
        </w:rPr>
        <w:t>项目概述</w:t>
      </w:r>
    </w:p>
    <w:p w:rsidR="0084652E" w:rsidRPr="00A12DED" w:rsidRDefault="0084652E" w:rsidP="00BC11C9">
      <w:pPr>
        <w:tabs>
          <w:tab w:val="left" w:pos="900"/>
        </w:tabs>
        <w:spacing w:beforeLines="50" w:line="360" w:lineRule="auto"/>
        <w:ind w:firstLineChars="200" w:firstLine="420"/>
        <w:jc w:val="left"/>
        <w:rPr>
          <w:color w:val="000000" w:themeColor="text1"/>
          <w:szCs w:val="21"/>
        </w:rPr>
      </w:pPr>
      <w:r w:rsidRPr="001B1762">
        <w:rPr>
          <w:szCs w:val="24"/>
        </w:rPr>
        <w:t>根据</w:t>
      </w:r>
      <w:r w:rsidRPr="001B1762">
        <w:t>《政府采购促进中小企业发展管理办法》（财库【</w:t>
      </w:r>
      <w:r w:rsidRPr="001B1762">
        <w:t>2020</w:t>
      </w:r>
      <w:r w:rsidRPr="001B1762">
        <w:t>】</w:t>
      </w:r>
      <w:r w:rsidRPr="001B1762">
        <w:t>46</w:t>
      </w:r>
      <w:r w:rsidRPr="001B1762">
        <w:t>号）规定，本项目采购标的为中小型企业制造、承建或承接</w:t>
      </w:r>
      <w:r w:rsidRPr="001B1762">
        <w:rPr>
          <w:szCs w:val="24"/>
        </w:rPr>
        <w:t>的，</w:t>
      </w:r>
      <w:r w:rsidRPr="001B1762">
        <w:t>投标人应</w:t>
      </w:r>
      <w:r w:rsidR="00FF21F2" w:rsidRPr="001B1762">
        <w:t>提供</w:t>
      </w:r>
      <w:r w:rsidRPr="001B1762">
        <w:t>办法规定的</w:t>
      </w:r>
      <w:r w:rsidRPr="001B1762">
        <w:rPr>
          <w:szCs w:val="21"/>
        </w:rPr>
        <w:t>《中小企业声明函》，否则不得享受相关中小企业扶持政策</w:t>
      </w:r>
      <w:r w:rsidRPr="001B1762">
        <w:rPr>
          <w:szCs w:val="24"/>
        </w:rPr>
        <w:t>。投标人应对提交的中小企</w:t>
      </w:r>
      <w:bookmarkStart w:id="4" w:name="_GoBack"/>
      <w:bookmarkEnd w:id="4"/>
      <w:r w:rsidRPr="001B1762">
        <w:rPr>
          <w:szCs w:val="24"/>
        </w:rPr>
        <w:t>业声明函的真实性负责，提交的中小企业声明函不真实的，应承担相应的法律责任</w:t>
      </w:r>
      <w:r w:rsidRPr="001B1762">
        <w:rPr>
          <w:szCs w:val="21"/>
        </w:rPr>
        <w:t>。</w:t>
      </w:r>
    </w:p>
    <w:p w:rsidR="00A12DED" w:rsidRDefault="0084652E" w:rsidP="00BC11C9">
      <w:pPr>
        <w:tabs>
          <w:tab w:val="left" w:pos="900"/>
        </w:tabs>
        <w:spacing w:beforeLines="50" w:line="360" w:lineRule="auto"/>
        <w:ind w:firstLineChars="200" w:firstLine="420"/>
        <w:jc w:val="left"/>
        <w:rPr>
          <w:szCs w:val="24"/>
        </w:rPr>
      </w:pPr>
      <w:r w:rsidRPr="001B1762">
        <w:rPr>
          <w:szCs w:val="24"/>
        </w:rPr>
        <w:t>本项目采购标的对应的《中小企业划型标准规定》所属行业为：</w:t>
      </w:r>
      <w:r w:rsidRPr="001B1762">
        <w:rPr>
          <w:szCs w:val="24"/>
          <w:u w:val="single"/>
        </w:rPr>
        <w:t xml:space="preserve">  </w:t>
      </w:r>
      <w:r w:rsidR="00B37893" w:rsidRPr="001B1762">
        <w:rPr>
          <w:szCs w:val="24"/>
          <w:u w:val="single"/>
        </w:rPr>
        <w:t>工业</w:t>
      </w:r>
      <w:r w:rsidRPr="001B1762">
        <w:rPr>
          <w:szCs w:val="24"/>
          <w:u w:val="single"/>
        </w:rPr>
        <w:t xml:space="preserve">     </w:t>
      </w:r>
      <w:r w:rsidRPr="001B1762">
        <w:rPr>
          <w:szCs w:val="24"/>
        </w:rPr>
        <w:t>。</w:t>
      </w:r>
    </w:p>
    <w:p w:rsidR="0084652E" w:rsidRPr="00A12DED" w:rsidRDefault="00A12DED" w:rsidP="00BC11C9">
      <w:pPr>
        <w:tabs>
          <w:tab w:val="left" w:pos="900"/>
        </w:tabs>
        <w:spacing w:beforeLines="50" w:line="360" w:lineRule="auto"/>
        <w:ind w:firstLineChars="200" w:firstLine="420"/>
        <w:jc w:val="left"/>
        <w:rPr>
          <w:color w:val="000000" w:themeColor="text1"/>
          <w:szCs w:val="21"/>
        </w:rPr>
      </w:pPr>
      <w:r>
        <w:rPr>
          <w:color w:val="000000" w:themeColor="text1"/>
          <w:szCs w:val="21"/>
        </w:rPr>
        <w:t>本采购项目为质子转移反应质谱仪</w:t>
      </w:r>
      <w:r>
        <w:rPr>
          <w:color w:val="000000" w:themeColor="text1"/>
          <w:szCs w:val="21"/>
        </w:rPr>
        <w:t>1</w:t>
      </w:r>
      <w:r>
        <w:rPr>
          <w:color w:val="000000" w:themeColor="text1"/>
          <w:szCs w:val="21"/>
        </w:rPr>
        <w:t>套</w:t>
      </w:r>
      <w:r>
        <w:rPr>
          <w:rFonts w:hint="eastAsia"/>
          <w:color w:val="000000" w:themeColor="text1"/>
          <w:szCs w:val="21"/>
        </w:rPr>
        <w:t>，用于分析检测挥发性有机物（</w:t>
      </w:r>
      <w:r>
        <w:rPr>
          <w:rFonts w:hint="eastAsia"/>
          <w:color w:val="000000" w:themeColor="text1"/>
          <w:szCs w:val="21"/>
        </w:rPr>
        <w:t>VOCs</w:t>
      </w:r>
      <w:r>
        <w:rPr>
          <w:rFonts w:hint="eastAsia"/>
          <w:color w:val="000000" w:themeColor="text1"/>
          <w:szCs w:val="21"/>
        </w:rPr>
        <w:t>）的浓度，</w:t>
      </w:r>
      <w:r w:rsidRPr="001B1762">
        <w:rPr>
          <w:color w:val="000000" w:themeColor="text1"/>
          <w:szCs w:val="21"/>
        </w:rPr>
        <w:t>能</w:t>
      </w:r>
      <w:r>
        <w:rPr>
          <w:color w:val="000000" w:themeColor="text1"/>
          <w:szCs w:val="21"/>
        </w:rPr>
        <w:t>够</w:t>
      </w:r>
      <w:r w:rsidRPr="001B1762">
        <w:rPr>
          <w:color w:val="000000" w:themeColor="text1"/>
          <w:szCs w:val="21"/>
        </w:rPr>
        <w:t>实时在线连续监测</w:t>
      </w:r>
      <w:r>
        <w:rPr>
          <w:rFonts w:hint="eastAsia"/>
          <w:color w:val="000000" w:themeColor="text1"/>
          <w:szCs w:val="21"/>
        </w:rPr>
        <w:t>V</w:t>
      </w:r>
      <w:r>
        <w:rPr>
          <w:color w:val="000000" w:themeColor="text1"/>
          <w:szCs w:val="21"/>
        </w:rPr>
        <w:t>OCs</w:t>
      </w:r>
      <w:r w:rsidRPr="001B1762">
        <w:rPr>
          <w:color w:val="000000" w:themeColor="text1"/>
          <w:szCs w:val="21"/>
        </w:rPr>
        <w:t>催化过程中的含量变化</w:t>
      </w:r>
      <w:r>
        <w:rPr>
          <w:rFonts w:hint="eastAsia"/>
          <w:color w:val="000000" w:themeColor="text1"/>
          <w:szCs w:val="21"/>
        </w:rPr>
        <w:t>。</w:t>
      </w:r>
    </w:p>
    <w:p w:rsidR="0084652E" w:rsidRPr="001B1762" w:rsidRDefault="0084652E" w:rsidP="00BC11C9">
      <w:pPr>
        <w:tabs>
          <w:tab w:val="left" w:pos="900"/>
        </w:tabs>
        <w:spacing w:beforeLines="50" w:line="360" w:lineRule="auto"/>
        <w:rPr>
          <w:b/>
          <w:szCs w:val="21"/>
        </w:rPr>
      </w:pPr>
      <w:r w:rsidRPr="001B1762">
        <w:rPr>
          <w:b/>
          <w:szCs w:val="21"/>
        </w:rPr>
        <w:t>二、</w:t>
      </w:r>
      <w:r w:rsidR="00A12DED">
        <w:rPr>
          <w:b/>
          <w:szCs w:val="21"/>
        </w:rPr>
        <w:t>执行标准</w:t>
      </w:r>
    </w:p>
    <w:p w:rsidR="00B37893" w:rsidRPr="001B1762" w:rsidRDefault="00B37893" w:rsidP="00BC11C9">
      <w:pPr>
        <w:tabs>
          <w:tab w:val="left" w:pos="900"/>
        </w:tabs>
        <w:spacing w:beforeLines="50" w:line="360" w:lineRule="auto"/>
        <w:ind w:firstLineChars="200" w:firstLine="420"/>
        <w:rPr>
          <w:szCs w:val="21"/>
        </w:rPr>
      </w:pPr>
      <w:r w:rsidRPr="001B1762">
        <w:rPr>
          <w:szCs w:val="21"/>
        </w:rPr>
        <w:t>国家相关标准：执行国家标准及相关规定。</w:t>
      </w:r>
      <w:r w:rsidR="00A12DED">
        <w:rPr>
          <w:rFonts w:hint="eastAsia"/>
          <w:szCs w:val="21"/>
        </w:rPr>
        <w:t>（</w:t>
      </w:r>
      <w:r w:rsidR="00601AC9" w:rsidRPr="00601AC9">
        <w:rPr>
          <w:szCs w:val="21"/>
        </w:rPr>
        <w:t>质谱仪通用规范</w:t>
      </w:r>
      <w:r w:rsidR="00601AC9">
        <w:rPr>
          <w:szCs w:val="21"/>
        </w:rPr>
        <w:t>GB/T 33864-2017</w:t>
      </w:r>
      <w:r w:rsidR="00A12DED">
        <w:rPr>
          <w:rFonts w:hint="eastAsia"/>
          <w:szCs w:val="21"/>
        </w:rPr>
        <w:t>）</w:t>
      </w:r>
    </w:p>
    <w:p w:rsidR="0084652E" w:rsidRPr="001B1762" w:rsidRDefault="0084652E" w:rsidP="00BC11C9">
      <w:pPr>
        <w:tabs>
          <w:tab w:val="left" w:pos="900"/>
        </w:tabs>
        <w:spacing w:beforeLines="50" w:line="360" w:lineRule="auto"/>
        <w:rPr>
          <w:b/>
          <w:szCs w:val="21"/>
        </w:rPr>
      </w:pPr>
      <w:r w:rsidRPr="001B1762">
        <w:rPr>
          <w:b/>
          <w:szCs w:val="21"/>
        </w:rPr>
        <w:t>三、采购标的概况</w:t>
      </w:r>
    </w:p>
    <w:p w:rsidR="0084652E" w:rsidRPr="001B1762" w:rsidRDefault="0084652E" w:rsidP="00BC11C9">
      <w:pPr>
        <w:spacing w:beforeLines="50" w:line="360" w:lineRule="auto"/>
        <w:rPr>
          <w:szCs w:val="21"/>
        </w:rPr>
      </w:pPr>
      <w:r w:rsidRPr="001B1762">
        <w:rPr>
          <w:rFonts w:hAnsi="宋体"/>
          <w:szCs w:val="21"/>
        </w:rPr>
        <w:t>（一）采购项目名称：</w:t>
      </w:r>
      <w:r w:rsidRPr="001B1762">
        <w:rPr>
          <w:szCs w:val="21"/>
          <w:u w:val="single"/>
        </w:rPr>
        <w:t xml:space="preserve">  </w:t>
      </w:r>
      <w:r w:rsidR="005D65B0" w:rsidRPr="001B1762">
        <w:rPr>
          <w:rFonts w:hAnsi="宋体"/>
          <w:szCs w:val="21"/>
          <w:u w:val="single"/>
        </w:rPr>
        <w:t>质子</w:t>
      </w:r>
      <w:r w:rsidR="00674BB8">
        <w:rPr>
          <w:rFonts w:hAnsi="宋体" w:hint="eastAsia"/>
          <w:szCs w:val="21"/>
          <w:u w:val="single"/>
        </w:rPr>
        <w:t>转移</w:t>
      </w:r>
      <w:r w:rsidR="005D65B0" w:rsidRPr="001B1762">
        <w:rPr>
          <w:rFonts w:hAnsi="宋体"/>
          <w:szCs w:val="21"/>
          <w:u w:val="single"/>
        </w:rPr>
        <w:t>反应质谱仪</w:t>
      </w:r>
      <w:r w:rsidR="005D65B0" w:rsidRPr="001B1762">
        <w:rPr>
          <w:szCs w:val="21"/>
          <w:u w:val="single"/>
        </w:rPr>
        <w:t xml:space="preserve"> </w:t>
      </w:r>
      <w:r w:rsidRPr="001B1762">
        <w:rPr>
          <w:szCs w:val="21"/>
          <w:u w:val="single"/>
        </w:rPr>
        <w:t xml:space="preserve">  </w:t>
      </w:r>
      <w:r w:rsidRPr="001B1762">
        <w:rPr>
          <w:szCs w:val="21"/>
        </w:rPr>
        <w:t xml:space="preserve">   </w:t>
      </w:r>
    </w:p>
    <w:p w:rsidR="0084652E" w:rsidRPr="001B1762" w:rsidRDefault="0084652E" w:rsidP="00BC11C9">
      <w:pPr>
        <w:spacing w:beforeLines="50" w:line="360" w:lineRule="auto"/>
        <w:rPr>
          <w:szCs w:val="21"/>
          <w:u w:val="single"/>
        </w:rPr>
      </w:pPr>
      <w:r w:rsidRPr="001B1762">
        <w:rPr>
          <w:szCs w:val="21"/>
        </w:rPr>
        <w:t>（二）采购数量及计量单位：</w:t>
      </w:r>
      <w:r w:rsidRPr="001B1762">
        <w:rPr>
          <w:szCs w:val="21"/>
          <w:u w:val="single"/>
        </w:rPr>
        <w:t xml:space="preserve">    </w:t>
      </w:r>
      <w:r w:rsidR="005D65B0" w:rsidRPr="001B1762">
        <w:rPr>
          <w:szCs w:val="21"/>
          <w:u w:val="single"/>
        </w:rPr>
        <w:t>1</w:t>
      </w:r>
      <w:r w:rsidR="005D65B0" w:rsidRPr="001B1762">
        <w:rPr>
          <w:szCs w:val="21"/>
          <w:u w:val="single"/>
        </w:rPr>
        <w:t>套</w:t>
      </w:r>
      <w:r w:rsidRPr="001B1762">
        <w:rPr>
          <w:szCs w:val="21"/>
          <w:u w:val="single"/>
        </w:rPr>
        <w:t xml:space="preserve">     </w:t>
      </w:r>
    </w:p>
    <w:p w:rsidR="0084652E" w:rsidRPr="001B1762" w:rsidRDefault="0084652E" w:rsidP="00BC11C9">
      <w:pPr>
        <w:spacing w:beforeLines="50" w:line="360" w:lineRule="auto"/>
        <w:rPr>
          <w:szCs w:val="21"/>
        </w:rPr>
      </w:pPr>
      <w:r w:rsidRPr="001B1762">
        <w:rPr>
          <w:szCs w:val="21"/>
        </w:rPr>
        <w:t>（三）最高限价：人民币</w:t>
      </w:r>
      <w:r w:rsidRPr="001B1762">
        <w:rPr>
          <w:szCs w:val="21"/>
          <w:u w:val="single"/>
        </w:rPr>
        <w:t xml:space="preserve">   </w:t>
      </w:r>
      <w:r w:rsidR="005D65B0" w:rsidRPr="001B1762">
        <w:rPr>
          <w:szCs w:val="21"/>
          <w:u w:val="single"/>
        </w:rPr>
        <w:t>1</w:t>
      </w:r>
      <w:r w:rsidR="00203141">
        <w:rPr>
          <w:rFonts w:hint="eastAsia"/>
          <w:szCs w:val="21"/>
          <w:u w:val="single"/>
        </w:rPr>
        <w:t>,</w:t>
      </w:r>
      <w:r w:rsidR="005D65B0" w:rsidRPr="001B1762">
        <w:rPr>
          <w:szCs w:val="21"/>
          <w:u w:val="single"/>
        </w:rPr>
        <w:t>4</w:t>
      </w:r>
      <w:r w:rsidR="001B1762" w:rsidRPr="001B1762">
        <w:rPr>
          <w:szCs w:val="21"/>
          <w:u w:val="single"/>
        </w:rPr>
        <w:t>0</w:t>
      </w:r>
      <w:r w:rsidR="00203141">
        <w:rPr>
          <w:szCs w:val="21"/>
          <w:u w:val="single"/>
        </w:rPr>
        <w:t>0,000</w:t>
      </w:r>
      <w:r w:rsidRPr="001B1762">
        <w:rPr>
          <w:szCs w:val="21"/>
          <w:u w:val="single"/>
        </w:rPr>
        <w:t xml:space="preserve">      </w:t>
      </w:r>
      <w:r w:rsidRPr="001B1762">
        <w:rPr>
          <w:szCs w:val="21"/>
        </w:rPr>
        <w:t xml:space="preserve"> </w:t>
      </w:r>
      <w:r w:rsidRPr="001B1762">
        <w:rPr>
          <w:szCs w:val="21"/>
        </w:rPr>
        <w:t>元。</w:t>
      </w:r>
    </w:p>
    <w:p w:rsidR="0084652E" w:rsidRPr="001B1762" w:rsidRDefault="0084652E" w:rsidP="00BC11C9">
      <w:pPr>
        <w:spacing w:beforeLines="50" w:line="360" w:lineRule="auto"/>
        <w:rPr>
          <w:szCs w:val="21"/>
        </w:rPr>
      </w:pPr>
      <w:r w:rsidRPr="001B1762">
        <w:rPr>
          <w:szCs w:val="21"/>
        </w:rPr>
        <w:t>（四）交付时间：</w:t>
      </w:r>
      <w:r w:rsidRPr="001B1762">
        <w:t>合同签订后</w:t>
      </w:r>
      <w:r w:rsidRPr="001B1762">
        <w:rPr>
          <w:u w:val="single"/>
        </w:rPr>
        <w:t xml:space="preserve">   </w:t>
      </w:r>
      <w:r w:rsidR="00C315AB" w:rsidRPr="001B1762">
        <w:rPr>
          <w:u w:val="single"/>
        </w:rPr>
        <w:t>20</w:t>
      </w:r>
      <w:r w:rsidR="005D65B0" w:rsidRPr="001B1762">
        <w:rPr>
          <w:u w:val="single"/>
        </w:rPr>
        <w:t>0</w:t>
      </w:r>
      <w:r w:rsidRPr="001B1762">
        <w:rPr>
          <w:u w:val="single"/>
        </w:rPr>
        <w:t xml:space="preserve">    </w:t>
      </w:r>
      <w:r w:rsidRPr="001B1762">
        <w:t>天内。</w:t>
      </w:r>
    </w:p>
    <w:p w:rsidR="0084652E" w:rsidRPr="001B1762" w:rsidRDefault="0084652E" w:rsidP="00BC11C9">
      <w:pPr>
        <w:tabs>
          <w:tab w:val="left" w:pos="900"/>
        </w:tabs>
        <w:spacing w:beforeLines="50" w:line="360" w:lineRule="auto"/>
        <w:rPr>
          <w:szCs w:val="21"/>
        </w:rPr>
      </w:pPr>
      <w:r w:rsidRPr="001B1762">
        <w:rPr>
          <w:szCs w:val="21"/>
        </w:rPr>
        <w:t>（五）交付地点：</w:t>
      </w:r>
      <w:r w:rsidRPr="001B1762">
        <w:rPr>
          <w:szCs w:val="21"/>
          <w:u w:val="single"/>
        </w:rPr>
        <w:t xml:space="preserve">  </w:t>
      </w:r>
      <w:r w:rsidR="005D65B0" w:rsidRPr="001B1762">
        <w:rPr>
          <w:szCs w:val="21"/>
          <w:u w:val="single"/>
        </w:rPr>
        <w:t>西安交通大学创新港校区</w:t>
      </w:r>
      <w:r w:rsidR="001B1762" w:rsidRPr="001B1762">
        <w:rPr>
          <w:szCs w:val="21"/>
          <w:u w:val="single"/>
        </w:rPr>
        <w:t>19</w:t>
      </w:r>
      <w:r w:rsidR="001B1762" w:rsidRPr="001B1762">
        <w:rPr>
          <w:szCs w:val="21"/>
          <w:u w:val="single"/>
        </w:rPr>
        <w:t>号楼</w:t>
      </w:r>
      <w:r w:rsidRPr="001B1762">
        <w:rPr>
          <w:szCs w:val="21"/>
          <w:u w:val="single"/>
        </w:rPr>
        <w:t xml:space="preserve">   </w:t>
      </w:r>
      <w:r w:rsidRPr="001B1762">
        <w:rPr>
          <w:szCs w:val="21"/>
        </w:rPr>
        <w:t>。</w:t>
      </w:r>
    </w:p>
    <w:p w:rsidR="00CD2230" w:rsidRPr="001B1762" w:rsidRDefault="00CD2230" w:rsidP="00BC11C9">
      <w:pPr>
        <w:tabs>
          <w:tab w:val="left" w:pos="900"/>
        </w:tabs>
        <w:spacing w:beforeLines="50" w:line="360" w:lineRule="auto"/>
        <w:rPr>
          <w:szCs w:val="21"/>
        </w:rPr>
      </w:pPr>
      <w:r w:rsidRPr="001B1762">
        <w:rPr>
          <w:szCs w:val="21"/>
        </w:rPr>
        <w:t>（六）付款方式：</w:t>
      </w:r>
      <w:r w:rsidRPr="001B1762">
        <w:rPr>
          <w:szCs w:val="21"/>
          <w:u w:val="single"/>
        </w:rPr>
        <w:t xml:space="preserve">    </w:t>
      </w:r>
      <w:r w:rsidR="005D65B0" w:rsidRPr="001B1762">
        <w:rPr>
          <w:szCs w:val="21"/>
          <w:u w:val="single"/>
        </w:rPr>
        <w:t>信用证</w:t>
      </w:r>
      <w:r w:rsidRPr="001B1762">
        <w:rPr>
          <w:szCs w:val="21"/>
          <w:u w:val="single"/>
        </w:rPr>
        <w:t xml:space="preserve">             </w:t>
      </w:r>
      <w:r w:rsidRPr="001B1762">
        <w:rPr>
          <w:szCs w:val="21"/>
        </w:rPr>
        <w:t>。</w:t>
      </w:r>
    </w:p>
    <w:p w:rsidR="0084652E" w:rsidRPr="001B1762" w:rsidRDefault="0084652E" w:rsidP="00BC11C9">
      <w:pPr>
        <w:tabs>
          <w:tab w:val="left" w:pos="900"/>
        </w:tabs>
        <w:spacing w:beforeLines="50" w:line="360" w:lineRule="auto"/>
        <w:rPr>
          <w:b/>
          <w:szCs w:val="21"/>
        </w:rPr>
      </w:pPr>
      <w:r w:rsidRPr="001B1762">
        <w:rPr>
          <w:b/>
          <w:szCs w:val="21"/>
        </w:rPr>
        <w:t>四、采购标的需满足的质量、安全、技术规格、物理特性等要求：</w:t>
      </w:r>
    </w:p>
    <w:p w:rsidR="00D81F35" w:rsidRPr="00BD6851" w:rsidRDefault="00D81F35" w:rsidP="00FA5BA6">
      <w:pPr>
        <w:jc w:val="left"/>
        <w:rPr>
          <w:szCs w:val="21"/>
        </w:rPr>
      </w:pPr>
      <w:r w:rsidRPr="00BD6851">
        <w:rPr>
          <w:szCs w:val="21"/>
        </w:rPr>
        <w:t>4.1</w:t>
      </w:r>
      <w:r w:rsidRPr="00BD6851">
        <w:rPr>
          <w:rFonts w:hAnsi="宋体"/>
          <w:szCs w:val="21"/>
        </w:rPr>
        <w:t>功能需求</w:t>
      </w:r>
    </w:p>
    <w:p w:rsidR="0084652E" w:rsidRPr="00BD6851" w:rsidRDefault="00D81F35" w:rsidP="00BC11C9">
      <w:pPr>
        <w:spacing w:beforeLines="50" w:line="360" w:lineRule="auto"/>
        <w:ind w:firstLineChars="200" w:firstLine="420"/>
        <w:jc w:val="left"/>
        <w:rPr>
          <w:szCs w:val="21"/>
        </w:rPr>
      </w:pPr>
      <w:r w:rsidRPr="00BD6851">
        <w:rPr>
          <w:rFonts w:hAnsi="宋体"/>
          <w:szCs w:val="21"/>
        </w:rPr>
        <w:t>采用化学电离源（</w:t>
      </w:r>
      <w:r w:rsidRPr="00BD6851">
        <w:rPr>
          <w:szCs w:val="21"/>
        </w:rPr>
        <w:t>CI</w:t>
      </w:r>
      <w:r w:rsidRPr="00BD6851">
        <w:rPr>
          <w:rFonts w:hAnsi="宋体"/>
          <w:szCs w:val="21"/>
        </w:rPr>
        <w:t>）技术，离子源产生的初始反应离子与引入到漂移管中的</w:t>
      </w:r>
      <w:r w:rsidR="00FA5BA6" w:rsidRPr="00BD6851">
        <w:rPr>
          <w:rFonts w:hAnsi="宋体"/>
          <w:szCs w:val="21"/>
        </w:rPr>
        <w:t>挥发性有机物</w:t>
      </w:r>
      <w:r w:rsidRPr="00BD6851">
        <w:rPr>
          <w:rFonts w:hAnsi="宋体"/>
          <w:szCs w:val="21"/>
        </w:rPr>
        <w:t>分子反生质子转移反应，最后通过质量分析器检测</w:t>
      </w:r>
      <w:r w:rsidRPr="00BD6851">
        <w:rPr>
          <w:szCs w:val="21"/>
        </w:rPr>
        <w:t>VOCsH+</w:t>
      </w:r>
      <w:r w:rsidRPr="00BD6851">
        <w:rPr>
          <w:rFonts w:hAnsi="宋体"/>
          <w:szCs w:val="21"/>
        </w:rPr>
        <w:t>强度的变化计算出</w:t>
      </w:r>
      <w:r w:rsidR="00FA5BA6" w:rsidRPr="00BD6851">
        <w:rPr>
          <w:rFonts w:hAnsi="宋体"/>
          <w:szCs w:val="21"/>
        </w:rPr>
        <w:t>挥发性有机物</w:t>
      </w:r>
      <w:r w:rsidRPr="00BD6851">
        <w:rPr>
          <w:rFonts w:hAnsi="宋体"/>
          <w:szCs w:val="21"/>
        </w:rPr>
        <w:t>的绝对浓度，能实时在线连续监测挥发性有机物催化过程中的</w:t>
      </w:r>
      <w:r w:rsidR="00FA5BA6" w:rsidRPr="00BD6851">
        <w:rPr>
          <w:rFonts w:hAnsi="宋体"/>
          <w:szCs w:val="21"/>
        </w:rPr>
        <w:t>含量</w:t>
      </w:r>
      <w:r w:rsidRPr="00BD6851">
        <w:rPr>
          <w:rFonts w:hAnsi="宋体"/>
          <w:szCs w:val="21"/>
        </w:rPr>
        <w:t>变化。</w:t>
      </w:r>
    </w:p>
    <w:p w:rsidR="00D3260A" w:rsidRDefault="00FA5BA6" w:rsidP="00BC11C9">
      <w:pPr>
        <w:spacing w:beforeLines="50" w:line="360" w:lineRule="auto"/>
        <w:rPr>
          <w:szCs w:val="21"/>
        </w:rPr>
      </w:pPr>
      <w:r w:rsidRPr="00BD6851">
        <w:rPr>
          <w:szCs w:val="21"/>
        </w:rPr>
        <w:t>4.2</w:t>
      </w:r>
      <w:r w:rsidR="00C27139">
        <w:rPr>
          <w:rFonts w:hint="eastAsia"/>
          <w:szCs w:val="21"/>
        </w:rPr>
        <w:t xml:space="preserve"> </w:t>
      </w:r>
      <w:r w:rsidR="00D3260A" w:rsidRPr="00BD6851">
        <w:rPr>
          <w:szCs w:val="21"/>
        </w:rPr>
        <w:t>质子</w:t>
      </w:r>
      <w:r w:rsidR="00D3260A" w:rsidRPr="00BD6851">
        <w:rPr>
          <w:rFonts w:hint="eastAsia"/>
          <w:szCs w:val="21"/>
        </w:rPr>
        <w:t>转移</w:t>
      </w:r>
      <w:r w:rsidR="00D3260A" w:rsidRPr="00BD6851">
        <w:rPr>
          <w:szCs w:val="21"/>
        </w:rPr>
        <w:t>反应质谱仪</w:t>
      </w:r>
      <w:r w:rsidR="00D3260A" w:rsidRPr="00BD6851">
        <w:rPr>
          <w:szCs w:val="21"/>
        </w:rPr>
        <w:t>1</w:t>
      </w:r>
      <w:r w:rsidR="00D3260A" w:rsidRPr="00BD6851">
        <w:rPr>
          <w:szCs w:val="21"/>
        </w:rPr>
        <w:t>套</w:t>
      </w:r>
      <w:r w:rsidR="00D3260A" w:rsidRPr="00BD6851">
        <w:rPr>
          <w:rFonts w:hint="eastAsia"/>
          <w:szCs w:val="21"/>
        </w:rPr>
        <w:t>，</w:t>
      </w:r>
      <w:r w:rsidR="00D3260A" w:rsidRPr="00BD6851">
        <w:rPr>
          <w:szCs w:val="21"/>
        </w:rPr>
        <w:t>包括</w:t>
      </w:r>
      <w:r w:rsidR="00D3260A" w:rsidRPr="00BD6851">
        <w:rPr>
          <w:rFonts w:hint="eastAsia"/>
          <w:szCs w:val="21"/>
        </w:rPr>
        <w:t>：</w:t>
      </w:r>
      <w:r w:rsidR="00D3260A" w:rsidRPr="00BD6851">
        <w:rPr>
          <w:szCs w:val="21"/>
        </w:rPr>
        <w:t>电子倍增检测器备件</w:t>
      </w:r>
      <w:r w:rsidR="00D3260A" w:rsidRPr="00BD6851">
        <w:rPr>
          <w:szCs w:val="21"/>
        </w:rPr>
        <w:t>1</w:t>
      </w:r>
      <w:r w:rsidR="00D3260A" w:rsidRPr="00BD6851">
        <w:rPr>
          <w:szCs w:val="21"/>
        </w:rPr>
        <w:t>个；进样系统工具包</w:t>
      </w:r>
      <w:r w:rsidR="00D3260A" w:rsidRPr="00BD6851">
        <w:rPr>
          <w:szCs w:val="21"/>
        </w:rPr>
        <w:tab/>
        <w:t>1</w:t>
      </w:r>
      <w:r w:rsidR="00D3260A" w:rsidRPr="00BD6851">
        <w:rPr>
          <w:szCs w:val="21"/>
        </w:rPr>
        <w:t>包；离</w:t>
      </w:r>
      <w:r w:rsidR="00D3260A" w:rsidRPr="00BD6851">
        <w:rPr>
          <w:szCs w:val="21"/>
        </w:rPr>
        <w:lastRenderedPageBreak/>
        <w:t>子源密封法兰工具包</w:t>
      </w:r>
      <w:r w:rsidR="00D3260A" w:rsidRPr="00BD6851">
        <w:rPr>
          <w:szCs w:val="21"/>
        </w:rPr>
        <w:t>1</w:t>
      </w:r>
      <w:r w:rsidR="00D3260A" w:rsidRPr="00BD6851">
        <w:rPr>
          <w:szCs w:val="21"/>
        </w:rPr>
        <w:t>包；离子源清洁工具包</w:t>
      </w:r>
      <w:r w:rsidR="00D3260A" w:rsidRPr="00BD6851">
        <w:rPr>
          <w:szCs w:val="21"/>
        </w:rPr>
        <w:t>1</w:t>
      </w:r>
      <w:r w:rsidR="00D3260A" w:rsidRPr="00BD6851">
        <w:rPr>
          <w:szCs w:val="21"/>
        </w:rPr>
        <w:t>包。具体指标如下</w:t>
      </w:r>
      <w:r w:rsidR="00D3260A" w:rsidRPr="00BD6851">
        <w:rPr>
          <w:rFonts w:hint="eastAsia"/>
          <w:szCs w:val="21"/>
        </w:rPr>
        <w:t>：</w:t>
      </w:r>
    </w:p>
    <w:p w:rsidR="00BD6851" w:rsidRDefault="00BD6851" w:rsidP="00BC11C9">
      <w:pPr>
        <w:tabs>
          <w:tab w:val="left" w:pos="900"/>
        </w:tabs>
        <w:spacing w:beforeLines="50" w:line="360" w:lineRule="auto"/>
        <w:ind w:firstLineChars="200" w:firstLine="420"/>
        <w:jc w:val="center"/>
        <w:rPr>
          <w:szCs w:val="21"/>
        </w:rPr>
      </w:pPr>
      <w:r>
        <w:rPr>
          <w:rFonts w:hint="eastAsia"/>
          <w:szCs w:val="21"/>
        </w:rPr>
        <w:t>表</w:t>
      </w:r>
      <w:r>
        <w:rPr>
          <w:rFonts w:hint="eastAsia"/>
          <w:szCs w:val="21"/>
        </w:rPr>
        <w:t>1</w:t>
      </w:r>
      <w:r>
        <w:rPr>
          <w:szCs w:val="21"/>
        </w:rPr>
        <w:t xml:space="preserve"> </w:t>
      </w:r>
      <w:r>
        <w:rPr>
          <w:rFonts w:hint="eastAsia"/>
          <w:szCs w:val="21"/>
        </w:rPr>
        <w:t>质子转移反应质谱仪技术指标需求</w:t>
      </w:r>
    </w:p>
    <w:tbl>
      <w:tblPr>
        <w:tblStyle w:val="a8"/>
        <w:tblW w:w="0" w:type="auto"/>
        <w:tblInd w:w="-882" w:type="dxa"/>
        <w:tblLook w:val="04A0"/>
      </w:tblPr>
      <w:tblGrid>
        <w:gridCol w:w="2970"/>
        <w:gridCol w:w="6434"/>
      </w:tblGrid>
      <w:tr w:rsidR="00055C7D" w:rsidTr="00C27139">
        <w:tc>
          <w:tcPr>
            <w:tcW w:w="2970" w:type="dxa"/>
          </w:tcPr>
          <w:p w:rsidR="00055C7D" w:rsidRDefault="00055C7D" w:rsidP="00BC11C9">
            <w:pPr>
              <w:tabs>
                <w:tab w:val="left" w:pos="900"/>
              </w:tabs>
              <w:spacing w:beforeLines="50" w:line="360" w:lineRule="auto"/>
              <w:rPr>
                <w:rFonts w:hAnsi="宋体"/>
                <w:szCs w:val="21"/>
              </w:rPr>
            </w:pPr>
            <w:r>
              <w:rPr>
                <w:rFonts w:hAnsi="宋体" w:hint="eastAsia"/>
                <w:szCs w:val="21"/>
              </w:rPr>
              <w:t>项目</w:t>
            </w:r>
          </w:p>
        </w:tc>
        <w:tc>
          <w:tcPr>
            <w:tcW w:w="6434" w:type="dxa"/>
          </w:tcPr>
          <w:p w:rsidR="00055C7D" w:rsidRDefault="00055C7D" w:rsidP="00BC11C9">
            <w:pPr>
              <w:tabs>
                <w:tab w:val="left" w:pos="900"/>
              </w:tabs>
              <w:spacing w:beforeLines="50" w:line="360" w:lineRule="auto"/>
              <w:rPr>
                <w:rFonts w:hAnsi="宋体"/>
                <w:szCs w:val="21"/>
              </w:rPr>
            </w:pPr>
            <w:r>
              <w:rPr>
                <w:rFonts w:hAnsi="宋体" w:hint="eastAsia"/>
                <w:szCs w:val="21"/>
              </w:rPr>
              <w:t>技术参数</w:t>
            </w:r>
          </w:p>
        </w:tc>
      </w:tr>
      <w:tr w:rsidR="00055C7D" w:rsidTr="00C27139">
        <w:tc>
          <w:tcPr>
            <w:tcW w:w="2970" w:type="dxa"/>
          </w:tcPr>
          <w:p w:rsidR="00055C7D" w:rsidRDefault="00055C7D" w:rsidP="00BC11C9">
            <w:pPr>
              <w:tabs>
                <w:tab w:val="left" w:pos="900"/>
              </w:tabs>
              <w:spacing w:beforeLines="50" w:line="360" w:lineRule="auto"/>
              <w:rPr>
                <w:rFonts w:hAnsi="宋体"/>
                <w:szCs w:val="21"/>
              </w:rPr>
            </w:pPr>
            <w:r w:rsidRPr="00055C7D">
              <w:rPr>
                <w:rFonts w:hAnsi="宋体"/>
                <w:szCs w:val="21"/>
              </w:rPr>
              <w:t>质量数范围</w:t>
            </w:r>
            <w:r>
              <w:rPr>
                <w:rFonts w:hAnsi="宋体"/>
                <w:szCs w:val="21"/>
              </w:rPr>
              <w:t xml:space="preserve"> </w:t>
            </w:r>
          </w:p>
        </w:tc>
        <w:tc>
          <w:tcPr>
            <w:tcW w:w="6434" w:type="dxa"/>
          </w:tcPr>
          <w:p w:rsidR="00055C7D" w:rsidRDefault="00055C7D" w:rsidP="00BC11C9">
            <w:pPr>
              <w:tabs>
                <w:tab w:val="left" w:pos="900"/>
              </w:tabs>
              <w:spacing w:beforeLines="50" w:line="360" w:lineRule="auto"/>
              <w:rPr>
                <w:rFonts w:hAnsi="宋体"/>
                <w:szCs w:val="21"/>
              </w:rPr>
            </w:pPr>
            <w:r>
              <w:rPr>
                <w:rFonts w:hAnsi="宋体" w:hint="eastAsia"/>
                <w:szCs w:val="21"/>
              </w:rPr>
              <w:t>≥</w:t>
            </w:r>
            <w:r>
              <w:rPr>
                <w:rFonts w:hAnsi="宋体" w:hint="eastAsia"/>
                <w:szCs w:val="21"/>
              </w:rPr>
              <w:t xml:space="preserve"> </w:t>
            </w:r>
            <w:r w:rsidR="00BC11C9">
              <w:rPr>
                <w:rFonts w:hAnsi="宋体" w:hint="eastAsia"/>
                <w:szCs w:val="21"/>
              </w:rPr>
              <w:t>26</w:t>
            </w:r>
            <w:r w:rsidRPr="00055C7D">
              <w:rPr>
                <w:rFonts w:hAnsi="宋体"/>
                <w:szCs w:val="21"/>
              </w:rPr>
              <w:t>0 amu</w:t>
            </w:r>
          </w:p>
        </w:tc>
      </w:tr>
      <w:tr w:rsidR="00055C7D" w:rsidTr="00C27139">
        <w:tc>
          <w:tcPr>
            <w:tcW w:w="2970" w:type="dxa"/>
          </w:tcPr>
          <w:p w:rsidR="00055C7D" w:rsidRDefault="00055C7D" w:rsidP="00BC11C9">
            <w:pPr>
              <w:tabs>
                <w:tab w:val="left" w:pos="900"/>
              </w:tabs>
              <w:spacing w:beforeLines="50" w:line="360" w:lineRule="auto"/>
              <w:rPr>
                <w:rFonts w:hAnsi="宋体"/>
                <w:szCs w:val="21"/>
              </w:rPr>
            </w:pPr>
            <w:r w:rsidRPr="00BD6851">
              <w:rPr>
                <w:rFonts w:hAnsi="宋体"/>
                <w:szCs w:val="21"/>
              </w:rPr>
              <w:t>分辨率</w:t>
            </w:r>
          </w:p>
        </w:tc>
        <w:tc>
          <w:tcPr>
            <w:tcW w:w="6434" w:type="dxa"/>
          </w:tcPr>
          <w:p w:rsidR="00055C7D" w:rsidRDefault="00BC11C9" w:rsidP="00BC11C9">
            <w:pPr>
              <w:tabs>
                <w:tab w:val="left" w:pos="900"/>
              </w:tabs>
              <w:spacing w:beforeLines="50" w:line="360" w:lineRule="auto"/>
              <w:rPr>
                <w:rFonts w:hAnsi="宋体"/>
                <w:szCs w:val="21"/>
              </w:rPr>
            </w:pPr>
            <w:r>
              <w:rPr>
                <w:szCs w:val="21"/>
              </w:rPr>
              <w:t>优于</w:t>
            </w:r>
            <w:r w:rsidR="00055C7D" w:rsidRPr="00BD6851">
              <w:rPr>
                <w:szCs w:val="21"/>
              </w:rPr>
              <w:t>1 amu</w:t>
            </w:r>
          </w:p>
        </w:tc>
      </w:tr>
      <w:tr w:rsidR="00055C7D" w:rsidTr="00C27139">
        <w:tc>
          <w:tcPr>
            <w:tcW w:w="2970" w:type="dxa"/>
          </w:tcPr>
          <w:p w:rsidR="00055C7D" w:rsidRPr="00055C7D" w:rsidRDefault="00055C7D" w:rsidP="00055C7D">
            <w:pPr>
              <w:spacing w:before="50" w:line="360" w:lineRule="auto"/>
              <w:rPr>
                <w:szCs w:val="21"/>
              </w:rPr>
            </w:pPr>
            <w:r w:rsidRPr="00BD6851">
              <w:rPr>
                <w:rFonts w:hAnsi="宋体"/>
                <w:szCs w:val="21"/>
              </w:rPr>
              <w:t>响应时间</w:t>
            </w:r>
          </w:p>
        </w:tc>
        <w:tc>
          <w:tcPr>
            <w:tcW w:w="6434" w:type="dxa"/>
          </w:tcPr>
          <w:p w:rsidR="00055C7D" w:rsidRDefault="00055C7D" w:rsidP="00BC11C9">
            <w:pPr>
              <w:tabs>
                <w:tab w:val="left" w:pos="900"/>
              </w:tabs>
              <w:spacing w:beforeLines="50" w:line="360" w:lineRule="auto"/>
              <w:rPr>
                <w:rFonts w:hAnsi="宋体"/>
                <w:szCs w:val="21"/>
              </w:rPr>
            </w:pPr>
            <w:r w:rsidRPr="00BD6851">
              <w:rPr>
                <w:szCs w:val="21"/>
              </w:rPr>
              <w:t>&lt; 100ms</w:t>
            </w:r>
          </w:p>
        </w:tc>
      </w:tr>
      <w:tr w:rsidR="00055C7D" w:rsidTr="00C27139">
        <w:tc>
          <w:tcPr>
            <w:tcW w:w="2970" w:type="dxa"/>
          </w:tcPr>
          <w:p w:rsidR="00055C7D" w:rsidRDefault="00055C7D" w:rsidP="00BC11C9">
            <w:pPr>
              <w:tabs>
                <w:tab w:val="left" w:pos="900"/>
              </w:tabs>
              <w:spacing w:beforeLines="50" w:line="360" w:lineRule="auto"/>
              <w:rPr>
                <w:rFonts w:hAnsi="宋体"/>
                <w:szCs w:val="21"/>
              </w:rPr>
            </w:pPr>
            <w:r w:rsidRPr="00055C7D">
              <w:rPr>
                <w:rFonts w:hAnsi="宋体"/>
                <w:szCs w:val="21"/>
              </w:rPr>
              <w:t>测量时间</w:t>
            </w:r>
          </w:p>
        </w:tc>
        <w:tc>
          <w:tcPr>
            <w:tcW w:w="6434" w:type="dxa"/>
          </w:tcPr>
          <w:p w:rsidR="00055C7D" w:rsidRDefault="00BC11C9" w:rsidP="00BC11C9">
            <w:pPr>
              <w:tabs>
                <w:tab w:val="left" w:pos="900"/>
              </w:tabs>
              <w:spacing w:beforeLines="50" w:line="360" w:lineRule="auto"/>
              <w:rPr>
                <w:rFonts w:hAnsi="宋体"/>
                <w:szCs w:val="21"/>
              </w:rPr>
            </w:pPr>
            <w:r>
              <w:rPr>
                <w:szCs w:val="21"/>
              </w:rPr>
              <w:t>优于</w:t>
            </w:r>
            <w:r w:rsidR="00055C7D" w:rsidRPr="00055C7D">
              <w:rPr>
                <w:rFonts w:hAnsi="宋体"/>
                <w:szCs w:val="21"/>
              </w:rPr>
              <w:t>10 ms/amu</w:t>
            </w:r>
          </w:p>
        </w:tc>
      </w:tr>
      <w:tr w:rsidR="00055C7D" w:rsidTr="00C27139">
        <w:tc>
          <w:tcPr>
            <w:tcW w:w="2970" w:type="dxa"/>
          </w:tcPr>
          <w:p w:rsidR="00055C7D" w:rsidRPr="00055C7D" w:rsidRDefault="00055C7D" w:rsidP="00055C7D">
            <w:pPr>
              <w:spacing w:before="50" w:line="360" w:lineRule="auto"/>
              <w:rPr>
                <w:szCs w:val="21"/>
              </w:rPr>
            </w:pPr>
            <w:r w:rsidRPr="00BD6851">
              <w:rPr>
                <w:rFonts w:hAnsi="宋体"/>
                <w:szCs w:val="21"/>
              </w:rPr>
              <w:t>检测极限</w:t>
            </w:r>
          </w:p>
        </w:tc>
        <w:tc>
          <w:tcPr>
            <w:tcW w:w="6434" w:type="dxa"/>
          </w:tcPr>
          <w:p w:rsidR="00055C7D" w:rsidRDefault="00BC11C9" w:rsidP="00BC11C9">
            <w:pPr>
              <w:tabs>
                <w:tab w:val="left" w:pos="900"/>
              </w:tabs>
              <w:spacing w:beforeLines="50" w:line="360" w:lineRule="auto"/>
              <w:rPr>
                <w:rFonts w:hAnsi="宋体"/>
                <w:szCs w:val="21"/>
              </w:rPr>
            </w:pPr>
            <w:r>
              <w:rPr>
                <w:rFonts w:hint="eastAsia"/>
                <w:color w:val="000000" w:themeColor="text1"/>
                <w:szCs w:val="21"/>
              </w:rPr>
              <w:t>≤</w:t>
            </w:r>
            <w:r w:rsidR="00055C7D" w:rsidRPr="00055C7D">
              <w:rPr>
                <w:color w:val="000000" w:themeColor="text1"/>
                <w:szCs w:val="21"/>
              </w:rPr>
              <w:t xml:space="preserve"> 400 pptv</w:t>
            </w:r>
          </w:p>
        </w:tc>
      </w:tr>
      <w:tr w:rsidR="00055C7D" w:rsidTr="00C27139">
        <w:tc>
          <w:tcPr>
            <w:tcW w:w="2970" w:type="dxa"/>
          </w:tcPr>
          <w:p w:rsidR="00055C7D" w:rsidRDefault="00C27139" w:rsidP="00C27139">
            <w:pPr>
              <w:spacing w:before="50" w:line="360" w:lineRule="auto"/>
              <w:rPr>
                <w:rFonts w:hAnsi="宋体"/>
                <w:szCs w:val="21"/>
              </w:rPr>
            </w:pPr>
            <w:r w:rsidRPr="00BD6851">
              <w:rPr>
                <w:rFonts w:hAnsi="宋体"/>
                <w:szCs w:val="21"/>
              </w:rPr>
              <w:t>线性范围</w:t>
            </w:r>
          </w:p>
        </w:tc>
        <w:tc>
          <w:tcPr>
            <w:tcW w:w="6434" w:type="dxa"/>
          </w:tcPr>
          <w:p w:rsidR="00055C7D" w:rsidRPr="00C27139" w:rsidRDefault="00BC11C9" w:rsidP="00C27139">
            <w:pPr>
              <w:spacing w:before="50" w:line="360" w:lineRule="auto"/>
              <w:rPr>
                <w:szCs w:val="21"/>
              </w:rPr>
            </w:pPr>
            <w:r>
              <w:rPr>
                <w:rFonts w:hAnsi="宋体" w:hint="eastAsia"/>
                <w:szCs w:val="21"/>
              </w:rPr>
              <w:t>≥</w:t>
            </w:r>
            <w:r w:rsidR="00C27139" w:rsidRPr="00055C7D">
              <w:rPr>
                <w:rFonts w:hint="eastAsia"/>
                <w:color w:val="000000" w:themeColor="text1"/>
                <w:szCs w:val="21"/>
              </w:rPr>
              <w:t xml:space="preserve"> </w:t>
            </w:r>
            <w:r w:rsidR="00C27139" w:rsidRPr="00055C7D">
              <w:rPr>
                <w:color w:val="000000" w:themeColor="text1"/>
                <w:szCs w:val="21"/>
              </w:rPr>
              <w:t>400 pptv – 5 ppmv</w:t>
            </w:r>
          </w:p>
        </w:tc>
      </w:tr>
      <w:tr w:rsidR="00055C7D" w:rsidTr="00C27139">
        <w:tc>
          <w:tcPr>
            <w:tcW w:w="2970" w:type="dxa"/>
          </w:tcPr>
          <w:p w:rsidR="00055C7D" w:rsidRPr="00C27139" w:rsidRDefault="00C27139" w:rsidP="00C27139">
            <w:pPr>
              <w:spacing w:before="50" w:line="360" w:lineRule="auto"/>
              <w:rPr>
                <w:szCs w:val="21"/>
              </w:rPr>
            </w:pPr>
            <w:r w:rsidRPr="00BD6851">
              <w:rPr>
                <w:rFonts w:hAnsi="宋体"/>
                <w:szCs w:val="21"/>
              </w:rPr>
              <w:t>进样系统</w:t>
            </w:r>
          </w:p>
        </w:tc>
        <w:tc>
          <w:tcPr>
            <w:tcW w:w="6434" w:type="dxa"/>
          </w:tcPr>
          <w:p w:rsidR="00055C7D" w:rsidRPr="00C27139" w:rsidRDefault="00C27139" w:rsidP="00BC11C9">
            <w:pPr>
              <w:spacing w:before="50" w:line="360" w:lineRule="auto"/>
              <w:rPr>
                <w:szCs w:val="21"/>
              </w:rPr>
            </w:pPr>
            <w:r>
              <w:rPr>
                <w:rFonts w:hAnsi="宋体" w:hint="eastAsia"/>
                <w:szCs w:val="21"/>
              </w:rPr>
              <w:t>长度大于</w:t>
            </w:r>
            <w:r>
              <w:rPr>
                <w:rFonts w:hAnsi="宋体" w:hint="eastAsia"/>
                <w:szCs w:val="21"/>
              </w:rPr>
              <w:t>1</w:t>
            </w:r>
            <w:r w:rsidR="00BC11C9">
              <w:rPr>
                <w:rFonts w:hAnsi="宋体" w:hint="eastAsia"/>
                <w:szCs w:val="21"/>
              </w:rPr>
              <w:t>米，</w:t>
            </w:r>
            <w:r>
              <w:rPr>
                <w:rFonts w:hAnsi="宋体" w:hint="eastAsia"/>
                <w:szCs w:val="21"/>
              </w:rPr>
              <w:t>加热温度</w:t>
            </w:r>
            <w:r w:rsidR="00BC11C9" w:rsidRPr="00055C7D">
              <w:rPr>
                <w:rFonts w:hAnsi="宋体" w:hint="eastAsia"/>
                <w:color w:val="000000" w:themeColor="text1"/>
                <w:szCs w:val="21"/>
              </w:rPr>
              <w:t>≥</w:t>
            </w:r>
            <w:r>
              <w:rPr>
                <w:rFonts w:hAnsi="宋体" w:hint="eastAsia"/>
                <w:szCs w:val="21"/>
              </w:rPr>
              <w:t>180</w:t>
            </w:r>
            <w:r>
              <w:rPr>
                <w:rFonts w:hAnsi="宋体" w:hint="eastAsia"/>
                <w:szCs w:val="21"/>
              </w:rPr>
              <w:t>°</w:t>
            </w:r>
            <w:r>
              <w:rPr>
                <w:rFonts w:hAnsi="宋体" w:hint="eastAsia"/>
                <w:szCs w:val="21"/>
              </w:rPr>
              <w:t>C</w:t>
            </w:r>
            <w:r>
              <w:rPr>
                <w:rFonts w:hAnsi="宋体" w:hint="eastAsia"/>
                <w:szCs w:val="21"/>
              </w:rPr>
              <w:t>；</w:t>
            </w:r>
            <w:r w:rsidR="00BC11C9">
              <w:rPr>
                <w:rFonts w:hAnsi="宋体"/>
                <w:szCs w:val="21"/>
              </w:rPr>
              <w:t>可调流速</w:t>
            </w:r>
            <w:r w:rsidR="00BC11C9">
              <w:rPr>
                <w:rFonts w:hAnsi="宋体" w:hint="eastAsia"/>
                <w:szCs w:val="21"/>
              </w:rPr>
              <w:t>范围大于</w:t>
            </w:r>
            <w:r w:rsidR="00BC11C9">
              <w:rPr>
                <w:rFonts w:hAnsi="宋体" w:hint="eastAsia"/>
                <w:szCs w:val="21"/>
              </w:rPr>
              <w:t>10</w:t>
            </w:r>
            <w:r w:rsidR="00BC11C9" w:rsidRPr="00BD6851">
              <w:rPr>
                <w:szCs w:val="21"/>
              </w:rPr>
              <w:t>0-</w:t>
            </w:r>
            <w:r w:rsidR="00BC11C9">
              <w:rPr>
                <w:szCs w:val="21"/>
              </w:rPr>
              <w:t>4</w:t>
            </w:r>
            <w:r w:rsidR="00BC11C9" w:rsidRPr="00BD6851">
              <w:rPr>
                <w:szCs w:val="21"/>
              </w:rPr>
              <w:t>00sccm</w:t>
            </w:r>
          </w:p>
        </w:tc>
      </w:tr>
      <w:tr w:rsidR="00C27139" w:rsidTr="00C27139">
        <w:tc>
          <w:tcPr>
            <w:tcW w:w="2970" w:type="dxa"/>
          </w:tcPr>
          <w:p w:rsidR="00C27139" w:rsidRPr="00BD6851" w:rsidRDefault="00C27139" w:rsidP="00C27139">
            <w:pPr>
              <w:spacing w:before="50" w:line="360" w:lineRule="auto"/>
              <w:rPr>
                <w:rFonts w:hAnsi="宋体"/>
                <w:szCs w:val="21"/>
              </w:rPr>
            </w:pPr>
            <w:r w:rsidRPr="00BD6851">
              <w:rPr>
                <w:rFonts w:hAnsi="宋体"/>
                <w:szCs w:val="21"/>
              </w:rPr>
              <w:t>离子源、反应区</w:t>
            </w:r>
          </w:p>
        </w:tc>
        <w:tc>
          <w:tcPr>
            <w:tcW w:w="6434" w:type="dxa"/>
          </w:tcPr>
          <w:p w:rsidR="00C27139" w:rsidRPr="00C27139" w:rsidRDefault="00C27139" w:rsidP="00C27139">
            <w:pPr>
              <w:spacing w:before="50" w:line="360" w:lineRule="auto"/>
              <w:rPr>
                <w:color w:val="000000" w:themeColor="text1"/>
                <w:szCs w:val="21"/>
              </w:rPr>
            </w:pPr>
            <w:r w:rsidRPr="00BD6851">
              <w:rPr>
                <w:rFonts w:hAnsi="宋体"/>
                <w:szCs w:val="21"/>
              </w:rPr>
              <w:t>离子源，反应区加热温度范围</w:t>
            </w:r>
            <w:r w:rsidR="00BC11C9">
              <w:rPr>
                <w:rFonts w:hAnsi="宋体" w:hint="eastAsia"/>
                <w:szCs w:val="21"/>
              </w:rPr>
              <w:t>大</w:t>
            </w:r>
            <w:r w:rsidR="00BC11C9">
              <w:rPr>
                <w:rFonts w:hAnsi="宋体"/>
                <w:szCs w:val="21"/>
              </w:rPr>
              <w:t>于</w:t>
            </w:r>
            <w:r>
              <w:rPr>
                <w:color w:val="000000" w:themeColor="text1"/>
                <w:szCs w:val="21"/>
              </w:rPr>
              <w:t>50-10</w:t>
            </w:r>
            <w:r w:rsidRPr="00055C7D">
              <w:rPr>
                <w:color w:val="000000" w:themeColor="text1"/>
                <w:szCs w:val="21"/>
              </w:rPr>
              <w:t>0℃</w:t>
            </w:r>
          </w:p>
        </w:tc>
      </w:tr>
      <w:tr w:rsidR="00C27139" w:rsidTr="00C27139">
        <w:tc>
          <w:tcPr>
            <w:tcW w:w="2970" w:type="dxa"/>
          </w:tcPr>
          <w:p w:rsidR="00C27139" w:rsidRDefault="00C27139" w:rsidP="00C27139">
            <w:pPr>
              <w:spacing w:before="50" w:line="360" w:lineRule="auto"/>
              <w:rPr>
                <w:rFonts w:hAnsi="宋体"/>
                <w:szCs w:val="21"/>
              </w:rPr>
            </w:pPr>
            <w:r w:rsidRPr="00BD6851">
              <w:rPr>
                <w:rFonts w:hAnsi="宋体"/>
                <w:szCs w:val="21"/>
              </w:rPr>
              <w:t>质量分析器</w:t>
            </w:r>
            <w:r>
              <w:rPr>
                <w:rFonts w:hAnsi="宋体" w:hint="eastAsia"/>
                <w:szCs w:val="21"/>
              </w:rPr>
              <w:t>的</w:t>
            </w:r>
            <w:r w:rsidRPr="00BD6851">
              <w:rPr>
                <w:rFonts w:hAnsi="宋体"/>
                <w:szCs w:val="21"/>
              </w:rPr>
              <w:t>真空度</w:t>
            </w:r>
          </w:p>
        </w:tc>
        <w:tc>
          <w:tcPr>
            <w:tcW w:w="6434" w:type="dxa"/>
          </w:tcPr>
          <w:p w:rsidR="00C27139" w:rsidRPr="00C27139" w:rsidRDefault="00C27139" w:rsidP="00C27139">
            <w:pPr>
              <w:spacing w:before="50" w:line="360" w:lineRule="auto"/>
              <w:rPr>
                <w:rFonts w:hAnsi="宋体"/>
                <w:szCs w:val="21"/>
              </w:rPr>
            </w:pPr>
            <w:r>
              <w:rPr>
                <w:rFonts w:hint="eastAsia"/>
                <w:color w:val="000000" w:themeColor="text1"/>
                <w:szCs w:val="21"/>
              </w:rPr>
              <w:t>≤</w:t>
            </w:r>
            <w:r w:rsidRPr="0059440B">
              <w:rPr>
                <w:color w:val="000000" w:themeColor="text1"/>
                <w:szCs w:val="21"/>
              </w:rPr>
              <w:t>10</w:t>
            </w:r>
            <w:r w:rsidRPr="0059440B">
              <w:rPr>
                <w:color w:val="000000" w:themeColor="text1"/>
                <w:szCs w:val="21"/>
                <w:vertAlign w:val="superscript"/>
              </w:rPr>
              <w:t>-5</w:t>
            </w:r>
            <w:r w:rsidRPr="0059440B">
              <w:rPr>
                <w:color w:val="000000" w:themeColor="text1"/>
                <w:szCs w:val="21"/>
              </w:rPr>
              <w:t>mbar</w:t>
            </w:r>
          </w:p>
        </w:tc>
      </w:tr>
      <w:tr w:rsidR="00C27139" w:rsidTr="00C27139">
        <w:tc>
          <w:tcPr>
            <w:tcW w:w="2970" w:type="dxa"/>
          </w:tcPr>
          <w:p w:rsidR="00C27139" w:rsidRPr="00BD6851" w:rsidRDefault="00C27139" w:rsidP="00C27139">
            <w:pPr>
              <w:spacing w:before="50" w:line="360" w:lineRule="auto"/>
              <w:rPr>
                <w:rFonts w:hAnsi="宋体"/>
                <w:szCs w:val="21"/>
              </w:rPr>
            </w:pPr>
            <w:r>
              <w:rPr>
                <w:rFonts w:hAnsi="宋体" w:hint="eastAsia"/>
                <w:szCs w:val="21"/>
              </w:rPr>
              <w:t>检测器</w:t>
            </w:r>
          </w:p>
        </w:tc>
        <w:tc>
          <w:tcPr>
            <w:tcW w:w="6434" w:type="dxa"/>
          </w:tcPr>
          <w:p w:rsidR="00C27139" w:rsidRDefault="00C27139" w:rsidP="00C27139">
            <w:pPr>
              <w:spacing w:before="50" w:line="360" w:lineRule="auto"/>
              <w:rPr>
                <w:rFonts w:hAnsi="宋体"/>
                <w:szCs w:val="21"/>
              </w:rPr>
            </w:pPr>
            <w:r w:rsidRPr="00BD6851">
              <w:rPr>
                <w:rFonts w:hAnsi="宋体"/>
                <w:szCs w:val="21"/>
              </w:rPr>
              <w:t>电子倍增检测器</w:t>
            </w:r>
          </w:p>
        </w:tc>
      </w:tr>
      <w:tr w:rsidR="00C27139" w:rsidTr="00C27139">
        <w:tc>
          <w:tcPr>
            <w:tcW w:w="2970" w:type="dxa"/>
          </w:tcPr>
          <w:p w:rsidR="00C27139" w:rsidRPr="00C27139" w:rsidRDefault="00C27139" w:rsidP="00C27139">
            <w:pPr>
              <w:spacing w:before="50" w:line="360" w:lineRule="auto"/>
              <w:rPr>
                <w:szCs w:val="21"/>
              </w:rPr>
            </w:pPr>
            <w:r w:rsidRPr="00BD6851">
              <w:rPr>
                <w:rFonts w:hAnsi="宋体"/>
                <w:szCs w:val="21"/>
              </w:rPr>
              <w:t>真空系统</w:t>
            </w:r>
          </w:p>
        </w:tc>
        <w:tc>
          <w:tcPr>
            <w:tcW w:w="6434" w:type="dxa"/>
          </w:tcPr>
          <w:p w:rsidR="00C27139" w:rsidRPr="00C27139" w:rsidRDefault="00C27139" w:rsidP="00C27139">
            <w:pPr>
              <w:spacing w:before="50" w:line="360" w:lineRule="auto"/>
              <w:rPr>
                <w:szCs w:val="21"/>
              </w:rPr>
            </w:pPr>
            <w:r>
              <w:rPr>
                <w:rFonts w:hint="eastAsia"/>
                <w:szCs w:val="21"/>
              </w:rPr>
              <w:t>前级泵和</w:t>
            </w:r>
            <w:r w:rsidRPr="00BD6851">
              <w:rPr>
                <w:rFonts w:hAnsi="宋体"/>
                <w:szCs w:val="21"/>
              </w:rPr>
              <w:t>超高真空涡轮分子泵</w:t>
            </w:r>
          </w:p>
        </w:tc>
      </w:tr>
      <w:tr w:rsidR="00C27139" w:rsidTr="00C27139">
        <w:tc>
          <w:tcPr>
            <w:tcW w:w="2970" w:type="dxa"/>
          </w:tcPr>
          <w:p w:rsidR="00C27139" w:rsidRPr="00BD6851" w:rsidRDefault="00C27139" w:rsidP="00C27139">
            <w:pPr>
              <w:spacing w:before="50" w:line="360" w:lineRule="auto"/>
              <w:rPr>
                <w:rFonts w:hAnsi="宋体"/>
                <w:szCs w:val="21"/>
              </w:rPr>
            </w:pPr>
            <w:r w:rsidRPr="00BD6851">
              <w:rPr>
                <w:rFonts w:hAnsi="宋体"/>
                <w:szCs w:val="21"/>
              </w:rPr>
              <w:t>状态指示器</w:t>
            </w:r>
          </w:p>
        </w:tc>
        <w:tc>
          <w:tcPr>
            <w:tcW w:w="6434" w:type="dxa"/>
          </w:tcPr>
          <w:p w:rsidR="00C27139" w:rsidRPr="00C27139" w:rsidRDefault="00C27139" w:rsidP="00C27139">
            <w:pPr>
              <w:spacing w:before="50" w:line="360" w:lineRule="auto"/>
              <w:rPr>
                <w:szCs w:val="21"/>
              </w:rPr>
            </w:pPr>
            <w:r w:rsidRPr="00BD6851">
              <w:rPr>
                <w:rFonts w:hAnsi="宋体"/>
                <w:szCs w:val="21"/>
              </w:rPr>
              <w:t>触摸屏显示真空、电压、流量、温度、分子泵等状态，也可显示测量结果</w:t>
            </w:r>
            <w:r>
              <w:rPr>
                <w:rFonts w:hAnsi="宋体" w:hint="eastAsia"/>
                <w:szCs w:val="21"/>
              </w:rPr>
              <w:t>。</w:t>
            </w:r>
          </w:p>
        </w:tc>
      </w:tr>
      <w:tr w:rsidR="00C27139" w:rsidTr="00C27139">
        <w:tc>
          <w:tcPr>
            <w:tcW w:w="2970" w:type="dxa"/>
          </w:tcPr>
          <w:p w:rsidR="00C27139" w:rsidRPr="00BD6851" w:rsidRDefault="00C27139" w:rsidP="00C27139">
            <w:pPr>
              <w:spacing w:before="50" w:line="360" w:lineRule="auto"/>
              <w:rPr>
                <w:rFonts w:hAnsi="宋体"/>
                <w:szCs w:val="21"/>
              </w:rPr>
            </w:pPr>
            <w:r w:rsidRPr="00BD6851">
              <w:rPr>
                <w:rFonts w:hAnsi="宋体"/>
                <w:szCs w:val="21"/>
              </w:rPr>
              <w:t>数据采集系统</w:t>
            </w:r>
          </w:p>
        </w:tc>
        <w:tc>
          <w:tcPr>
            <w:tcW w:w="6434" w:type="dxa"/>
          </w:tcPr>
          <w:p w:rsidR="00C27139" w:rsidRPr="0059440B" w:rsidRDefault="00C27139" w:rsidP="00C27139">
            <w:pPr>
              <w:spacing w:before="50" w:line="360" w:lineRule="auto"/>
              <w:rPr>
                <w:rFonts w:hAnsi="宋体"/>
                <w:szCs w:val="21"/>
              </w:rPr>
            </w:pPr>
            <w:r>
              <w:rPr>
                <w:rFonts w:hAnsi="宋体" w:hint="eastAsia"/>
                <w:szCs w:val="21"/>
              </w:rPr>
              <w:t>可在软件中设置</w:t>
            </w:r>
            <w:r w:rsidRPr="0059440B">
              <w:rPr>
                <w:rFonts w:hAnsi="宋体" w:hint="eastAsia"/>
                <w:szCs w:val="21"/>
              </w:rPr>
              <w:t>参数</w:t>
            </w:r>
            <w:r>
              <w:rPr>
                <w:rFonts w:hAnsi="宋体" w:hint="eastAsia"/>
                <w:szCs w:val="21"/>
              </w:rPr>
              <w:t>，全自动实时记录</w:t>
            </w:r>
            <w:r w:rsidRPr="0059440B">
              <w:rPr>
                <w:rFonts w:hAnsi="宋体" w:hint="eastAsia"/>
                <w:szCs w:val="21"/>
              </w:rPr>
              <w:t>数据</w:t>
            </w:r>
            <w:r>
              <w:rPr>
                <w:rFonts w:hAnsi="宋体" w:hint="eastAsia"/>
                <w:szCs w:val="21"/>
              </w:rPr>
              <w:t>；</w:t>
            </w:r>
          </w:p>
          <w:p w:rsidR="00C27139" w:rsidRDefault="00C27139" w:rsidP="00C27139">
            <w:r>
              <w:rPr>
                <w:rFonts w:hint="eastAsia"/>
              </w:rPr>
              <w:t>基于最新的数据分析算法，可提供快速可靠的分析；</w:t>
            </w:r>
          </w:p>
          <w:p w:rsidR="00C27139" w:rsidRPr="00C27139" w:rsidRDefault="00C27139" w:rsidP="00C27139">
            <w:r>
              <w:rPr>
                <w:rFonts w:hint="eastAsia"/>
              </w:rPr>
              <w:t>自动等压峰解卷积和基于精确质量和同位素分布模式的化学成分分配。</w:t>
            </w:r>
          </w:p>
        </w:tc>
      </w:tr>
    </w:tbl>
    <w:p w:rsidR="0084652E" w:rsidRPr="001B1762" w:rsidRDefault="0084652E" w:rsidP="00BC11C9">
      <w:pPr>
        <w:tabs>
          <w:tab w:val="left" w:pos="900"/>
        </w:tabs>
        <w:spacing w:beforeLines="50" w:line="360" w:lineRule="auto"/>
        <w:rPr>
          <w:b/>
          <w:szCs w:val="21"/>
        </w:rPr>
      </w:pPr>
      <w:r w:rsidRPr="001B1762">
        <w:rPr>
          <w:b/>
          <w:szCs w:val="21"/>
        </w:rPr>
        <w:t>五、采购标的需满足的服务标准、期限、效率等要求</w:t>
      </w:r>
    </w:p>
    <w:p w:rsidR="0084652E" w:rsidRPr="001B1762" w:rsidRDefault="0084652E" w:rsidP="00BC11C9">
      <w:pPr>
        <w:numPr>
          <w:ilvl w:val="0"/>
          <w:numId w:val="10"/>
        </w:numPr>
        <w:tabs>
          <w:tab w:val="left" w:pos="420"/>
          <w:tab w:val="left" w:pos="900"/>
        </w:tabs>
        <w:spacing w:beforeLines="50" w:line="360" w:lineRule="auto"/>
        <w:rPr>
          <w:szCs w:val="21"/>
        </w:rPr>
      </w:pPr>
      <w:r w:rsidRPr="001B1762">
        <w:rPr>
          <w:szCs w:val="21"/>
        </w:rPr>
        <w:t>质保期：</w:t>
      </w:r>
      <w:r w:rsidRPr="001B1762">
        <w:rPr>
          <w:szCs w:val="21"/>
        </w:rPr>
        <w:t xml:space="preserve"> </w:t>
      </w:r>
      <w:r w:rsidRPr="001B1762">
        <w:rPr>
          <w:szCs w:val="21"/>
          <w:u w:val="single"/>
        </w:rPr>
        <w:t xml:space="preserve">   </w:t>
      </w:r>
      <w:r w:rsidR="00B30E52" w:rsidRPr="001B1762">
        <w:rPr>
          <w:szCs w:val="21"/>
          <w:u w:val="single"/>
        </w:rPr>
        <w:t>1</w:t>
      </w:r>
      <w:r w:rsidRPr="001B1762">
        <w:rPr>
          <w:szCs w:val="21"/>
          <w:u w:val="single"/>
        </w:rPr>
        <w:t xml:space="preserve">    </w:t>
      </w:r>
      <w:r w:rsidRPr="001B1762">
        <w:rPr>
          <w:szCs w:val="21"/>
        </w:rPr>
        <w:t>年。质保期满后，仍需提供专业维修服务，投标人在投标文件中需注明维修服务单项报价。</w:t>
      </w:r>
    </w:p>
    <w:p w:rsidR="0084652E" w:rsidRPr="001B1762" w:rsidRDefault="0084652E" w:rsidP="00BC11C9">
      <w:pPr>
        <w:numPr>
          <w:ilvl w:val="0"/>
          <w:numId w:val="10"/>
        </w:numPr>
        <w:tabs>
          <w:tab w:val="left" w:pos="420"/>
          <w:tab w:val="left" w:pos="900"/>
        </w:tabs>
        <w:spacing w:beforeLines="50" w:line="360" w:lineRule="auto"/>
        <w:rPr>
          <w:szCs w:val="21"/>
        </w:rPr>
      </w:pPr>
      <w:r w:rsidRPr="001B1762">
        <w:rPr>
          <w:szCs w:val="21"/>
        </w:rPr>
        <w:t>服务响应时间：接到维修电话后</w:t>
      </w:r>
      <w:r w:rsidRPr="001B1762">
        <w:rPr>
          <w:szCs w:val="21"/>
        </w:rPr>
        <w:t>4</w:t>
      </w:r>
      <w:r w:rsidRPr="001B1762">
        <w:rPr>
          <w:szCs w:val="21"/>
        </w:rPr>
        <w:t>小时内给予明确答复，</w:t>
      </w:r>
      <w:r w:rsidRPr="001B1762">
        <w:rPr>
          <w:szCs w:val="21"/>
        </w:rPr>
        <w:t>8</w:t>
      </w:r>
      <w:r w:rsidRPr="001B1762">
        <w:rPr>
          <w:szCs w:val="21"/>
        </w:rPr>
        <w:t>小时内到达现场维修。维修人员到现场后若问题特殊无法现场修复的，供货方需在</w:t>
      </w:r>
      <w:r w:rsidRPr="001B1762">
        <w:rPr>
          <w:szCs w:val="21"/>
        </w:rPr>
        <w:t>24</w:t>
      </w:r>
      <w:r w:rsidRPr="001B1762">
        <w:rPr>
          <w:szCs w:val="21"/>
        </w:rPr>
        <w:t>小时内给出合理解决方案。</w:t>
      </w:r>
    </w:p>
    <w:p w:rsidR="0084652E" w:rsidRPr="001B1762" w:rsidRDefault="0084652E" w:rsidP="00BC11C9">
      <w:pPr>
        <w:numPr>
          <w:ilvl w:val="0"/>
          <w:numId w:val="10"/>
        </w:numPr>
        <w:tabs>
          <w:tab w:val="left" w:pos="420"/>
          <w:tab w:val="left" w:pos="900"/>
        </w:tabs>
        <w:spacing w:beforeLines="50" w:line="360" w:lineRule="auto"/>
        <w:rPr>
          <w:b/>
          <w:szCs w:val="21"/>
        </w:rPr>
      </w:pPr>
      <w:r w:rsidRPr="001B1762">
        <w:rPr>
          <w:szCs w:val="21"/>
        </w:rPr>
        <w:t>培训要求：</w:t>
      </w:r>
      <w:r w:rsidR="00320B36">
        <w:rPr>
          <w:rFonts w:hint="eastAsia"/>
          <w:szCs w:val="21"/>
        </w:rPr>
        <w:t>中标方</w:t>
      </w:r>
      <w:r w:rsidR="00D81F35" w:rsidRPr="001B1762">
        <w:rPr>
          <w:szCs w:val="21"/>
        </w:rPr>
        <w:t>现场免费培训，安装和培训时间约为</w:t>
      </w:r>
      <w:r w:rsidR="00D81F35" w:rsidRPr="001B1762">
        <w:rPr>
          <w:szCs w:val="21"/>
        </w:rPr>
        <w:t>2</w:t>
      </w:r>
      <w:r w:rsidR="00D81F35" w:rsidRPr="001B1762">
        <w:rPr>
          <w:szCs w:val="21"/>
        </w:rPr>
        <w:t>天。培训内容包括工作原理、</w:t>
      </w:r>
      <w:r w:rsidR="00D81F35" w:rsidRPr="001B1762">
        <w:rPr>
          <w:szCs w:val="21"/>
        </w:rPr>
        <w:lastRenderedPageBreak/>
        <w:t>设备结构、操作步骤（包括控制器操作、面板操作、常见故障原因及排除）、主要部件用途、消耗品更换、日常保养等；培训以买方掌握仪器的操作和日常维护为准，人数</w:t>
      </w:r>
      <w:r w:rsidR="00320B36">
        <w:rPr>
          <w:szCs w:val="21"/>
        </w:rPr>
        <w:t>不少于</w:t>
      </w:r>
      <w:r w:rsidR="00320B36">
        <w:rPr>
          <w:szCs w:val="21"/>
        </w:rPr>
        <w:t>5</w:t>
      </w:r>
      <w:r w:rsidR="00D81F35" w:rsidRPr="001B1762">
        <w:rPr>
          <w:szCs w:val="21"/>
        </w:rPr>
        <w:t>人</w:t>
      </w:r>
      <w:r w:rsidR="00320B36">
        <w:rPr>
          <w:rFonts w:hint="eastAsia"/>
          <w:szCs w:val="21"/>
        </w:rPr>
        <w:t>/</w:t>
      </w:r>
      <w:r w:rsidR="00320B36">
        <w:rPr>
          <w:rFonts w:hint="eastAsia"/>
          <w:szCs w:val="21"/>
        </w:rPr>
        <w:t>次</w:t>
      </w:r>
      <w:r w:rsidR="00D81F35" w:rsidRPr="001B1762">
        <w:rPr>
          <w:szCs w:val="21"/>
        </w:rPr>
        <w:t>。</w:t>
      </w:r>
    </w:p>
    <w:p w:rsidR="0084652E" w:rsidRDefault="0084652E" w:rsidP="00BC11C9">
      <w:pPr>
        <w:tabs>
          <w:tab w:val="left" w:pos="900"/>
        </w:tabs>
        <w:spacing w:beforeLines="50" w:line="360" w:lineRule="auto"/>
        <w:rPr>
          <w:rFonts w:hAnsi="宋体"/>
          <w:b/>
          <w:szCs w:val="21"/>
        </w:rPr>
      </w:pPr>
      <w:r w:rsidRPr="001B1762">
        <w:rPr>
          <w:rFonts w:hAnsi="宋体"/>
          <w:b/>
          <w:szCs w:val="21"/>
        </w:rPr>
        <w:t>六、验收标准</w:t>
      </w:r>
    </w:p>
    <w:p w:rsidR="00BD6851" w:rsidRPr="00BD6851" w:rsidRDefault="00BD6851" w:rsidP="00BC11C9">
      <w:pPr>
        <w:tabs>
          <w:tab w:val="left" w:pos="900"/>
        </w:tabs>
        <w:spacing w:beforeLines="50" w:line="360" w:lineRule="auto"/>
        <w:jc w:val="center"/>
        <w:rPr>
          <w:szCs w:val="21"/>
        </w:rPr>
      </w:pPr>
      <w:r w:rsidRPr="00BD6851">
        <w:rPr>
          <w:rFonts w:hAnsi="宋体" w:hint="eastAsia"/>
          <w:szCs w:val="21"/>
        </w:rPr>
        <w:t>表</w:t>
      </w:r>
      <w:r w:rsidRPr="00BD6851">
        <w:rPr>
          <w:rFonts w:hAnsi="宋体"/>
          <w:szCs w:val="21"/>
        </w:rPr>
        <w:t xml:space="preserve">2 </w:t>
      </w:r>
      <w:r w:rsidRPr="00BD6851">
        <w:rPr>
          <w:rFonts w:hAnsi="宋体" w:hint="eastAsia"/>
          <w:szCs w:val="21"/>
        </w:rPr>
        <w:t>验收指标及方法</w:t>
      </w:r>
    </w:p>
    <w:tbl>
      <w:tblPr>
        <w:tblStyle w:val="a8"/>
        <w:tblW w:w="8601" w:type="dxa"/>
        <w:tblLook w:val="04A0"/>
      </w:tblPr>
      <w:tblGrid>
        <w:gridCol w:w="738"/>
        <w:gridCol w:w="3495"/>
        <w:gridCol w:w="2254"/>
        <w:gridCol w:w="2114"/>
      </w:tblGrid>
      <w:tr w:rsidR="0084652E" w:rsidRPr="00BD6851" w:rsidTr="007F542C">
        <w:tc>
          <w:tcPr>
            <w:tcW w:w="8601" w:type="dxa"/>
            <w:gridSpan w:val="4"/>
          </w:tcPr>
          <w:p w:rsidR="0084652E" w:rsidRPr="00BD6851" w:rsidRDefault="0084652E" w:rsidP="007F542C">
            <w:pPr>
              <w:widowControl/>
              <w:spacing w:line="450" w:lineRule="atLeast"/>
              <w:jc w:val="center"/>
              <w:textAlignment w:val="baseline"/>
              <w:rPr>
                <w:color w:val="000000"/>
                <w:kern w:val="0"/>
                <w:szCs w:val="21"/>
              </w:rPr>
            </w:pPr>
            <w:r w:rsidRPr="00BD6851">
              <w:rPr>
                <w:rFonts w:hAnsi="宋体"/>
                <w:color w:val="000000"/>
                <w:kern w:val="0"/>
                <w:szCs w:val="21"/>
              </w:rPr>
              <w:t>现场的检验指标及方法</w:t>
            </w:r>
          </w:p>
        </w:tc>
      </w:tr>
      <w:tr w:rsidR="0084652E" w:rsidRPr="00BD6851" w:rsidTr="008272B4">
        <w:tc>
          <w:tcPr>
            <w:tcW w:w="738" w:type="dxa"/>
          </w:tcPr>
          <w:p w:rsidR="0084652E" w:rsidRPr="00BD6851" w:rsidRDefault="0084652E" w:rsidP="007F542C">
            <w:pPr>
              <w:widowControl/>
              <w:spacing w:line="450" w:lineRule="atLeast"/>
              <w:jc w:val="left"/>
              <w:textAlignment w:val="baseline"/>
              <w:rPr>
                <w:color w:val="000000"/>
                <w:kern w:val="0"/>
                <w:szCs w:val="21"/>
              </w:rPr>
            </w:pPr>
            <w:r w:rsidRPr="00BD6851">
              <w:rPr>
                <w:rFonts w:hAnsi="宋体"/>
                <w:color w:val="000000"/>
                <w:kern w:val="0"/>
                <w:szCs w:val="21"/>
              </w:rPr>
              <w:t>序号</w:t>
            </w:r>
          </w:p>
        </w:tc>
        <w:tc>
          <w:tcPr>
            <w:tcW w:w="3495" w:type="dxa"/>
          </w:tcPr>
          <w:p w:rsidR="0084652E" w:rsidRPr="00BD6851" w:rsidRDefault="0084652E" w:rsidP="007F542C">
            <w:pPr>
              <w:widowControl/>
              <w:spacing w:line="450" w:lineRule="atLeast"/>
              <w:jc w:val="left"/>
              <w:textAlignment w:val="baseline"/>
              <w:rPr>
                <w:color w:val="000000"/>
                <w:kern w:val="0"/>
                <w:szCs w:val="21"/>
              </w:rPr>
            </w:pPr>
            <w:r w:rsidRPr="00BD6851">
              <w:rPr>
                <w:rFonts w:hAnsi="宋体"/>
                <w:color w:val="000000"/>
                <w:kern w:val="0"/>
                <w:szCs w:val="21"/>
              </w:rPr>
              <w:t>功能或指标</w:t>
            </w:r>
          </w:p>
        </w:tc>
        <w:tc>
          <w:tcPr>
            <w:tcW w:w="4368" w:type="dxa"/>
            <w:gridSpan w:val="2"/>
          </w:tcPr>
          <w:p w:rsidR="0084652E" w:rsidRPr="00BD6851" w:rsidRDefault="0084652E" w:rsidP="007F542C">
            <w:pPr>
              <w:widowControl/>
              <w:spacing w:line="450" w:lineRule="atLeast"/>
              <w:jc w:val="left"/>
              <w:textAlignment w:val="baseline"/>
              <w:rPr>
                <w:color w:val="000000"/>
                <w:kern w:val="0"/>
                <w:szCs w:val="21"/>
              </w:rPr>
            </w:pPr>
            <w:r w:rsidRPr="00BD6851">
              <w:rPr>
                <w:rFonts w:hAnsi="宋体"/>
                <w:color w:val="000000"/>
                <w:kern w:val="0"/>
                <w:szCs w:val="21"/>
              </w:rPr>
              <w:t>验收或测试方法</w:t>
            </w:r>
          </w:p>
        </w:tc>
      </w:tr>
      <w:tr w:rsidR="0084652E" w:rsidRPr="00BD6851" w:rsidTr="008272B4">
        <w:tc>
          <w:tcPr>
            <w:tcW w:w="738" w:type="dxa"/>
          </w:tcPr>
          <w:p w:rsidR="0084652E" w:rsidRPr="00BD6851" w:rsidRDefault="0084652E" w:rsidP="007F542C">
            <w:pPr>
              <w:widowControl/>
              <w:spacing w:line="450" w:lineRule="atLeast"/>
              <w:jc w:val="left"/>
              <w:textAlignment w:val="baseline"/>
              <w:rPr>
                <w:color w:val="000000"/>
                <w:kern w:val="0"/>
                <w:szCs w:val="21"/>
              </w:rPr>
            </w:pPr>
            <w:r w:rsidRPr="00BD6851">
              <w:rPr>
                <w:color w:val="000000"/>
                <w:kern w:val="0"/>
                <w:szCs w:val="21"/>
              </w:rPr>
              <w:t>1</w:t>
            </w:r>
          </w:p>
        </w:tc>
        <w:tc>
          <w:tcPr>
            <w:tcW w:w="3495" w:type="dxa"/>
          </w:tcPr>
          <w:p w:rsidR="0084652E" w:rsidRPr="00BD6851" w:rsidRDefault="00B30E52" w:rsidP="00BC11C9">
            <w:pPr>
              <w:jc w:val="left"/>
              <w:rPr>
                <w:szCs w:val="21"/>
              </w:rPr>
            </w:pPr>
            <w:r w:rsidRPr="00BD6851">
              <w:rPr>
                <w:rFonts w:hAnsi="宋体"/>
                <w:szCs w:val="21"/>
              </w:rPr>
              <w:t>质量数范围</w:t>
            </w:r>
            <w:r w:rsidRPr="00BD6851">
              <w:rPr>
                <w:szCs w:val="21"/>
              </w:rPr>
              <w:t xml:space="preserve">: </w:t>
            </w:r>
            <w:r w:rsidR="00C27139">
              <w:rPr>
                <w:rFonts w:hAnsi="宋体" w:hint="eastAsia"/>
                <w:szCs w:val="21"/>
              </w:rPr>
              <w:t>≥</w:t>
            </w:r>
            <w:r w:rsidR="00C27139">
              <w:rPr>
                <w:rFonts w:hAnsi="宋体" w:hint="eastAsia"/>
                <w:szCs w:val="21"/>
              </w:rPr>
              <w:t xml:space="preserve"> </w:t>
            </w:r>
            <w:r w:rsidR="00BC11C9">
              <w:rPr>
                <w:rFonts w:hAnsi="宋体" w:hint="eastAsia"/>
                <w:szCs w:val="21"/>
              </w:rPr>
              <w:t>260</w:t>
            </w:r>
            <w:r w:rsidR="00C27139" w:rsidRPr="00055C7D">
              <w:rPr>
                <w:rFonts w:hAnsi="宋体"/>
                <w:szCs w:val="21"/>
              </w:rPr>
              <w:t xml:space="preserve"> amu</w:t>
            </w:r>
          </w:p>
        </w:tc>
        <w:tc>
          <w:tcPr>
            <w:tcW w:w="4368" w:type="dxa"/>
            <w:gridSpan w:val="2"/>
          </w:tcPr>
          <w:p w:rsidR="0084652E" w:rsidRPr="00BD6851" w:rsidRDefault="00D3260A" w:rsidP="00D3260A">
            <w:pPr>
              <w:widowControl/>
              <w:spacing w:line="450" w:lineRule="atLeast"/>
              <w:jc w:val="left"/>
              <w:textAlignment w:val="baseline"/>
              <w:rPr>
                <w:color w:val="000000"/>
                <w:kern w:val="0"/>
                <w:szCs w:val="21"/>
              </w:rPr>
            </w:pPr>
            <w:r w:rsidRPr="00BD6851">
              <w:rPr>
                <w:rFonts w:hAnsi="宋体"/>
                <w:color w:val="000000"/>
                <w:kern w:val="0"/>
                <w:szCs w:val="21"/>
              </w:rPr>
              <w:t>现场验收</w:t>
            </w:r>
          </w:p>
        </w:tc>
      </w:tr>
      <w:tr w:rsidR="0084652E" w:rsidRPr="00BD6851" w:rsidTr="008272B4">
        <w:tc>
          <w:tcPr>
            <w:tcW w:w="738" w:type="dxa"/>
          </w:tcPr>
          <w:p w:rsidR="0084652E" w:rsidRPr="00BD6851" w:rsidRDefault="0084652E" w:rsidP="007F542C">
            <w:pPr>
              <w:widowControl/>
              <w:spacing w:line="450" w:lineRule="atLeast"/>
              <w:jc w:val="left"/>
              <w:textAlignment w:val="baseline"/>
              <w:rPr>
                <w:color w:val="000000"/>
                <w:kern w:val="0"/>
                <w:szCs w:val="21"/>
              </w:rPr>
            </w:pPr>
            <w:r w:rsidRPr="00BD6851">
              <w:rPr>
                <w:color w:val="000000"/>
                <w:kern w:val="0"/>
                <w:szCs w:val="21"/>
              </w:rPr>
              <w:t>2</w:t>
            </w:r>
          </w:p>
        </w:tc>
        <w:tc>
          <w:tcPr>
            <w:tcW w:w="3495" w:type="dxa"/>
          </w:tcPr>
          <w:p w:rsidR="0084652E" w:rsidRPr="00BD6851" w:rsidRDefault="00B30E52" w:rsidP="00C27139">
            <w:pPr>
              <w:widowControl/>
              <w:spacing w:line="450" w:lineRule="atLeast"/>
              <w:jc w:val="left"/>
              <w:textAlignment w:val="baseline"/>
              <w:rPr>
                <w:color w:val="000000"/>
                <w:kern w:val="0"/>
                <w:szCs w:val="21"/>
              </w:rPr>
            </w:pPr>
            <w:r w:rsidRPr="00BD6851">
              <w:rPr>
                <w:rFonts w:hAnsi="宋体"/>
                <w:color w:val="000000"/>
                <w:kern w:val="0"/>
                <w:szCs w:val="21"/>
              </w:rPr>
              <w:t>线性范围</w:t>
            </w:r>
            <w:r w:rsidRPr="00BD6851">
              <w:rPr>
                <w:color w:val="000000"/>
                <w:kern w:val="0"/>
                <w:szCs w:val="21"/>
              </w:rPr>
              <w:t>:</w:t>
            </w:r>
            <w:r w:rsidR="00C27139">
              <w:rPr>
                <w:rFonts w:hint="eastAsia"/>
                <w:color w:val="000000" w:themeColor="text1"/>
                <w:szCs w:val="21"/>
              </w:rPr>
              <w:t xml:space="preserve"> </w:t>
            </w:r>
            <w:r w:rsidR="00BC11C9">
              <w:rPr>
                <w:rFonts w:hAnsi="宋体" w:hint="eastAsia"/>
                <w:szCs w:val="21"/>
              </w:rPr>
              <w:t>≥</w:t>
            </w:r>
            <w:r w:rsidR="00C27139" w:rsidRPr="00055C7D">
              <w:rPr>
                <w:rFonts w:hint="eastAsia"/>
                <w:color w:val="000000" w:themeColor="text1"/>
                <w:szCs w:val="21"/>
              </w:rPr>
              <w:t xml:space="preserve"> </w:t>
            </w:r>
            <w:r w:rsidR="00C27139" w:rsidRPr="00055C7D">
              <w:rPr>
                <w:color w:val="000000" w:themeColor="text1"/>
                <w:szCs w:val="21"/>
              </w:rPr>
              <w:t>400 pptv – 5 ppmv</w:t>
            </w:r>
          </w:p>
        </w:tc>
        <w:tc>
          <w:tcPr>
            <w:tcW w:w="4368" w:type="dxa"/>
            <w:gridSpan w:val="2"/>
          </w:tcPr>
          <w:p w:rsidR="0084652E" w:rsidRPr="00BD6851" w:rsidRDefault="00D3260A" w:rsidP="00BC25B1">
            <w:pPr>
              <w:widowControl/>
              <w:spacing w:line="450" w:lineRule="atLeast"/>
              <w:jc w:val="left"/>
              <w:textAlignment w:val="baseline"/>
              <w:rPr>
                <w:color w:val="000000"/>
                <w:kern w:val="0"/>
                <w:szCs w:val="21"/>
              </w:rPr>
            </w:pPr>
            <w:r w:rsidRPr="00BD6851">
              <w:rPr>
                <w:rFonts w:hAnsi="宋体"/>
                <w:color w:val="000000"/>
                <w:kern w:val="0"/>
                <w:szCs w:val="21"/>
              </w:rPr>
              <w:t>现场验收</w:t>
            </w:r>
          </w:p>
        </w:tc>
      </w:tr>
      <w:tr w:rsidR="00D3260A" w:rsidRPr="00BD6851" w:rsidTr="008272B4">
        <w:tc>
          <w:tcPr>
            <w:tcW w:w="738" w:type="dxa"/>
          </w:tcPr>
          <w:p w:rsidR="00D3260A" w:rsidRPr="00BD6851" w:rsidRDefault="00D3260A" w:rsidP="00D3260A">
            <w:pPr>
              <w:widowControl/>
              <w:spacing w:line="450" w:lineRule="atLeast"/>
              <w:jc w:val="left"/>
              <w:textAlignment w:val="baseline"/>
              <w:rPr>
                <w:color w:val="000000"/>
                <w:kern w:val="0"/>
                <w:szCs w:val="21"/>
              </w:rPr>
            </w:pPr>
            <w:r w:rsidRPr="00BD6851">
              <w:rPr>
                <w:color w:val="000000"/>
                <w:kern w:val="0"/>
                <w:szCs w:val="21"/>
              </w:rPr>
              <w:t>3</w:t>
            </w:r>
          </w:p>
        </w:tc>
        <w:tc>
          <w:tcPr>
            <w:tcW w:w="3495" w:type="dxa"/>
          </w:tcPr>
          <w:p w:rsidR="00D3260A" w:rsidRPr="00BD6851" w:rsidRDefault="00D3260A" w:rsidP="00D3260A">
            <w:pPr>
              <w:spacing w:line="400" w:lineRule="exact"/>
              <w:rPr>
                <w:szCs w:val="21"/>
              </w:rPr>
            </w:pPr>
            <w:r w:rsidRPr="00BD6851">
              <w:rPr>
                <w:rFonts w:hAnsi="宋体"/>
                <w:szCs w:val="21"/>
              </w:rPr>
              <w:t>分辨率</w:t>
            </w:r>
            <w:r w:rsidRPr="00BD6851">
              <w:rPr>
                <w:szCs w:val="21"/>
              </w:rPr>
              <w:t>: &lt;</w:t>
            </w:r>
            <w:r w:rsidR="00BC11C9">
              <w:rPr>
                <w:szCs w:val="21"/>
              </w:rPr>
              <w:t>优于</w:t>
            </w:r>
            <w:r w:rsidRPr="00BD6851">
              <w:rPr>
                <w:szCs w:val="21"/>
              </w:rPr>
              <w:t xml:space="preserve"> 1 amu</w:t>
            </w:r>
          </w:p>
        </w:tc>
        <w:tc>
          <w:tcPr>
            <w:tcW w:w="4368" w:type="dxa"/>
            <w:gridSpan w:val="2"/>
          </w:tcPr>
          <w:p w:rsidR="00D3260A" w:rsidRPr="00BD6851" w:rsidRDefault="00D3260A" w:rsidP="00D3260A">
            <w:pPr>
              <w:rPr>
                <w:szCs w:val="21"/>
              </w:rPr>
            </w:pPr>
            <w:r w:rsidRPr="00BD6851">
              <w:rPr>
                <w:rFonts w:hAnsi="宋体"/>
                <w:color w:val="000000"/>
                <w:kern w:val="0"/>
                <w:szCs w:val="21"/>
              </w:rPr>
              <w:t>现场验收</w:t>
            </w:r>
          </w:p>
        </w:tc>
      </w:tr>
      <w:tr w:rsidR="00D3260A" w:rsidRPr="00BD6851" w:rsidTr="008272B4">
        <w:tc>
          <w:tcPr>
            <w:tcW w:w="738" w:type="dxa"/>
          </w:tcPr>
          <w:p w:rsidR="00D3260A" w:rsidRPr="00BD6851" w:rsidRDefault="00D3260A" w:rsidP="00D3260A">
            <w:pPr>
              <w:widowControl/>
              <w:spacing w:line="450" w:lineRule="atLeast"/>
              <w:jc w:val="left"/>
              <w:textAlignment w:val="baseline"/>
              <w:rPr>
                <w:color w:val="000000"/>
                <w:kern w:val="0"/>
                <w:szCs w:val="21"/>
              </w:rPr>
            </w:pPr>
            <w:r w:rsidRPr="00BD6851">
              <w:rPr>
                <w:color w:val="000000"/>
                <w:kern w:val="0"/>
                <w:szCs w:val="21"/>
              </w:rPr>
              <w:t>4</w:t>
            </w:r>
          </w:p>
        </w:tc>
        <w:tc>
          <w:tcPr>
            <w:tcW w:w="3495" w:type="dxa"/>
          </w:tcPr>
          <w:p w:rsidR="00D3260A" w:rsidRPr="00BD6851" w:rsidRDefault="00D3260A" w:rsidP="00D3260A">
            <w:pPr>
              <w:widowControl/>
              <w:spacing w:line="450" w:lineRule="atLeast"/>
              <w:jc w:val="left"/>
              <w:textAlignment w:val="baseline"/>
              <w:rPr>
                <w:color w:val="000000"/>
                <w:kern w:val="0"/>
                <w:szCs w:val="21"/>
              </w:rPr>
            </w:pPr>
            <w:r w:rsidRPr="00BD6851">
              <w:rPr>
                <w:rFonts w:hAnsi="宋体"/>
                <w:szCs w:val="21"/>
              </w:rPr>
              <w:t>响应时间</w:t>
            </w:r>
            <w:r w:rsidRPr="00BD6851">
              <w:rPr>
                <w:szCs w:val="21"/>
              </w:rPr>
              <w:t>: &lt; 100ms</w:t>
            </w:r>
          </w:p>
        </w:tc>
        <w:tc>
          <w:tcPr>
            <w:tcW w:w="4368" w:type="dxa"/>
            <w:gridSpan w:val="2"/>
          </w:tcPr>
          <w:p w:rsidR="00D3260A" w:rsidRPr="00BD6851" w:rsidRDefault="00D3260A" w:rsidP="00D3260A">
            <w:pPr>
              <w:rPr>
                <w:szCs w:val="21"/>
              </w:rPr>
            </w:pPr>
            <w:r w:rsidRPr="00BD6851">
              <w:rPr>
                <w:rFonts w:hAnsi="宋体"/>
                <w:color w:val="000000"/>
                <w:kern w:val="0"/>
                <w:szCs w:val="21"/>
              </w:rPr>
              <w:t>现场验收</w:t>
            </w:r>
          </w:p>
        </w:tc>
      </w:tr>
      <w:tr w:rsidR="00D3260A" w:rsidRPr="00BD6851" w:rsidTr="008272B4">
        <w:tc>
          <w:tcPr>
            <w:tcW w:w="738" w:type="dxa"/>
          </w:tcPr>
          <w:p w:rsidR="00D3260A" w:rsidRPr="00BD6851" w:rsidRDefault="00D3260A" w:rsidP="00D3260A">
            <w:pPr>
              <w:widowControl/>
              <w:spacing w:line="450" w:lineRule="atLeast"/>
              <w:jc w:val="left"/>
              <w:textAlignment w:val="baseline"/>
              <w:rPr>
                <w:color w:val="000000"/>
                <w:kern w:val="0"/>
                <w:szCs w:val="21"/>
              </w:rPr>
            </w:pPr>
            <w:r w:rsidRPr="00BD6851">
              <w:rPr>
                <w:color w:val="000000"/>
                <w:kern w:val="0"/>
                <w:szCs w:val="21"/>
              </w:rPr>
              <w:t>5</w:t>
            </w:r>
          </w:p>
        </w:tc>
        <w:tc>
          <w:tcPr>
            <w:tcW w:w="3495" w:type="dxa"/>
          </w:tcPr>
          <w:p w:rsidR="00D3260A" w:rsidRPr="00BD6851" w:rsidRDefault="00D3260A" w:rsidP="00D3260A">
            <w:pPr>
              <w:spacing w:line="400" w:lineRule="exact"/>
              <w:jc w:val="left"/>
              <w:rPr>
                <w:szCs w:val="21"/>
              </w:rPr>
            </w:pPr>
            <w:r w:rsidRPr="00BD6851">
              <w:rPr>
                <w:rFonts w:hAnsi="宋体"/>
                <w:szCs w:val="21"/>
              </w:rPr>
              <w:t>测量时间</w:t>
            </w:r>
            <w:r w:rsidRPr="00BD6851">
              <w:rPr>
                <w:szCs w:val="21"/>
              </w:rPr>
              <w:t>:</w:t>
            </w:r>
            <w:r w:rsidR="00C27139" w:rsidRPr="00055C7D">
              <w:rPr>
                <w:rFonts w:hAnsi="宋体" w:hint="eastAsia"/>
                <w:szCs w:val="21"/>
              </w:rPr>
              <w:t xml:space="preserve"> </w:t>
            </w:r>
            <w:r w:rsidR="00BC11C9">
              <w:rPr>
                <w:rFonts w:hAnsi="宋体" w:hint="eastAsia"/>
                <w:szCs w:val="21"/>
              </w:rPr>
              <w:t>优于</w:t>
            </w:r>
            <w:r w:rsidR="00C27139" w:rsidRPr="00055C7D">
              <w:rPr>
                <w:rFonts w:hAnsi="宋体"/>
                <w:szCs w:val="21"/>
              </w:rPr>
              <w:t>10 ms/amu</w:t>
            </w:r>
          </w:p>
        </w:tc>
        <w:tc>
          <w:tcPr>
            <w:tcW w:w="4368" w:type="dxa"/>
            <w:gridSpan w:val="2"/>
          </w:tcPr>
          <w:p w:rsidR="00D3260A" w:rsidRPr="00BD6851" w:rsidRDefault="00D3260A" w:rsidP="00D3260A">
            <w:pPr>
              <w:rPr>
                <w:szCs w:val="21"/>
              </w:rPr>
            </w:pPr>
            <w:r w:rsidRPr="00BD6851">
              <w:rPr>
                <w:rFonts w:hAnsi="宋体"/>
                <w:color w:val="000000"/>
                <w:kern w:val="0"/>
                <w:szCs w:val="21"/>
              </w:rPr>
              <w:t>现场验收</w:t>
            </w:r>
          </w:p>
        </w:tc>
      </w:tr>
      <w:tr w:rsidR="00D3260A" w:rsidRPr="00BD6851" w:rsidTr="008272B4">
        <w:tc>
          <w:tcPr>
            <w:tcW w:w="738" w:type="dxa"/>
          </w:tcPr>
          <w:p w:rsidR="00D3260A" w:rsidRPr="00BD6851" w:rsidRDefault="00D3260A" w:rsidP="00D3260A">
            <w:pPr>
              <w:widowControl/>
              <w:spacing w:line="450" w:lineRule="atLeast"/>
              <w:jc w:val="left"/>
              <w:textAlignment w:val="baseline"/>
              <w:rPr>
                <w:color w:val="000000"/>
                <w:kern w:val="0"/>
                <w:szCs w:val="21"/>
              </w:rPr>
            </w:pPr>
            <w:r w:rsidRPr="00BD6851">
              <w:rPr>
                <w:color w:val="000000"/>
                <w:kern w:val="0"/>
                <w:szCs w:val="21"/>
              </w:rPr>
              <w:t>6</w:t>
            </w:r>
          </w:p>
        </w:tc>
        <w:tc>
          <w:tcPr>
            <w:tcW w:w="3495" w:type="dxa"/>
          </w:tcPr>
          <w:p w:rsidR="00D3260A" w:rsidRPr="00BD6851" w:rsidRDefault="00D3260A" w:rsidP="00D3260A">
            <w:pPr>
              <w:spacing w:line="400" w:lineRule="exact"/>
              <w:rPr>
                <w:szCs w:val="21"/>
              </w:rPr>
            </w:pPr>
            <w:r w:rsidRPr="00BD6851">
              <w:rPr>
                <w:rFonts w:hAnsi="宋体"/>
                <w:szCs w:val="21"/>
              </w:rPr>
              <w:t>真空度：</w:t>
            </w:r>
            <w:r w:rsidR="00C27139">
              <w:rPr>
                <w:rFonts w:hint="eastAsia"/>
                <w:szCs w:val="21"/>
              </w:rPr>
              <w:t>≤</w:t>
            </w:r>
            <w:r w:rsidRPr="00BD6851">
              <w:rPr>
                <w:szCs w:val="21"/>
              </w:rPr>
              <w:t>10</w:t>
            </w:r>
            <w:r w:rsidRPr="00BD6851">
              <w:rPr>
                <w:szCs w:val="21"/>
                <w:vertAlign w:val="superscript"/>
              </w:rPr>
              <w:t>-5</w:t>
            </w:r>
            <w:r w:rsidRPr="00BD6851">
              <w:rPr>
                <w:szCs w:val="21"/>
              </w:rPr>
              <w:t>mbar</w:t>
            </w:r>
          </w:p>
        </w:tc>
        <w:tc>
          <w:tcPr>
            <w:tcW w:w="4368" w:type="dxa"/>
            <w:gridSpan w:val="2"/>
          </w:tcPr>
          <w:p w:rsidR="00D3260A" w:rsidRPr="00BD6851" w:rsidRDefault="00D3260A" w:rsidP="00D3260A">
            <w:pPr>
              <w:rPr>
                <w:szCs w:val="21"/>
              </w:rPr>
            </w:pPr>
            <w:r w:rsidRPr="00BD6851">
              <w:rPr>
                <w:rFonts w:hAnsi="宋体"/>
                <w:color w:val="000000"/>
                <w:kern w:val="0"/>
                <w:szCs w:val="21"/>
              </w:rPr>
              <w:t>现场验收</w:t>
            </w:r>
          </w:p>
        </w:tc>
      </w:tr>
      <w:tr w:rsidR="00D3260A" w:rsidRPr="00BD6851" w:rsidTr="008272B4">
        <w:tc>
          <w:tcPr>
            <w:tcW w:w="738" w:type="dxa"/>
          </w:tcPr>
          <w:p w:rsidR="00D3260A" w:rsidRPr="00BD6851" w:rsidRDefault="00D3260A" w:rsidP="00D3260A">
            <w:pPr>
              <w:widowControl/>
              <w:spacing w:line="450" w:lineRule="atLeast"/>
              <w:jc w:val="left"/>
              <w:textAlignment w:val="baseline"/>
              <w:rPr>
                <w:color w:val="000000"/>
                <w:kern w:val="0"/>
                <w:szCs w:val="21"/>
              </w:rPr>
            </w:pPr>
            <w:r w:rsidRPr="00BD6851">
              <w:rPr>
                <w:color w:val="000000"/>
                <w:kern w:val="0"/>
                <w:szCs w:val="21"/>
              </w:rPr>
              <w:t>7</w:t>
            </w:r>
          </w:p>
        </w:tc>
        <w:tc>
          <w:tcPr>
            <w:tcW w:w="3495" w:type="dxa"/>
          </w:tcPr>
          <w:p w:rsidR="00D3260A" w:rsidRPr="00BD6851" w:rsidRDefault="00D3260A" w:rsidP="00BC11C9">
            <w:pPr>
              <w:spacing w:line="400" w:lineRule="exact"/>
              <w:jc w:val="left"/>
              <w:rPr>
                <w:szCs w:val="21"/>
              </w:rPr>
            </w:pPr>
            <w:r w:rsidRPr="00BD6851">
              <w:rPr>
                <w:rFonts w:hAnsi="宋体"/>
                <w:szCs w:val="21"/>
              </w:rPr>
              <w:t>内置</w:t>
            </w:r>
            <w:r w:rsidR="00C27139">
              <w:rPr>
                <w:rFonts w:hAnsi="宋体" w:hint="eastAsia"/>
                <w:szCs w:val="21"/>
              </w:rPr>
              <w:t>大于</w:t>
            </w:r>
            <w:r w:rsidRPr="00BD6851">
              <w:rPr>
                <w:szCs w:val="21"/>
              </w:rPr>
              <w:t>1</w:t>
            </w:r>
            <w:r w:rsidRPr="00BD6851">
              <w:rPr>
                <w:rFonts w:hAnsi="宋体"/>
                <w:szCs w:val="21"/>
              </w:rPr>
              <w:t>米毛细管，</w:t>
            </w:r>
            <w:r w:rsidR="00BC11C9">
              <w:rPr>
                <w:rFonts w:hAnsi="宋体" w:hint="eastAsia"/>
                <w:szCs w:val="21"/>
              </w:rPr>
              <w:t>加热温度</w:t>
            </w:r>
            <w:r w:rsidR="00BC11C9" w:rsidRPr="00055C7D">
              <w:rPr>
                <w:rFonts w:hAnsi="宋体" w:hint="eastAsia"/>
                <w:color w:val="000000" w:themeColor="text1"/>
                <w:szCs w:val="21"/>
              </w:rPr>
              <w:t>≥</w:t>
            </w:r>
            <w:r w:rsidR="00BC11C9">
              <w:rPr>
                <w:rFonts w:hAnsi="宋体" w:hint="eastAsia"/>
                <w:szCs w:val="21"/>
              </w:rPr>
              <w:t>180</w:t>
            </w:r>
            <w:r w:rsidR="00BC11C9">
              <w:rPr>
                <w:rFonts w:hAnsi="宋体" w:hint="eastAsia"/>
                <w:szCs w:val="21"/>
              </w:rPr>
              <w:t>°</w:t>
            </w:r>
            <w:r w:rsidR="00BC11C9">
              <w:rPr>
                <w:rFonts w:hAnsi="宋体" w:hint="eastAsia"/>
                <w:szCs w:val="21"/>
              </w:rPr>
              <w:t>C</w:t>
            </w:r>
            <w:r w:rsidR="00C27139">
              <w:rPr>
                <w:rFonts w:hAnsi="宋体"/>
                <w:szCs w:val="21"/>
              </w:rPr>
              <w:t>，可调流速</w:t>
            </w:r>
            <w:r w:rsidR="00BC11C9">
              <w:rPr>
                <w:rFonts w:hAnsi="宋体" w:hint="eastAsia"/>
                <w:szCs w:val="21"/>
              </w:rPr>
              <w:t>范围大于</w:t>
            </w:r>
            <w:r w:rsidR="00C27139">
              <w:rPr>
                <w:rFonts w:hAnsi="宋体" w:hint="eastAsia"/>
                <w:szCs w:val="21"/>
              </w:rPr>
              <w:t>10</w:t>
            </w:r>
            <w:r w:rsidRPr="00BD6851">
              <w:rPr>
                <w:szCs w:val="21"/>
              </w:rPr>
              <w:t>0-</w:t>
            </w:r>
            <w:r w:rsidR="00C27139">
              <w:rPr>
                <w:szCs w:val="21"/>
              </w:rPr>
              <w:t>4</w:t>
            </w:r>
            <w:r w:rsidRPr="00BD6851">
              <w:rPr>
                <w:szCs w:val="21"/>
              </w:rPr>
              <w:t>00sccm</w:t>
            </w:r>
          </w:p>
        </w:tc>
        <w:tc>
          <w:tcPr>
            <w:tcW w:w="4368" w:type="dxa"/>
            <w:gridSpan w:val="2"/>
          </w:tcPr>
          <w:p w:rsidR="00D3260A" w:rsidRPr="00BD6851" w:rsidRDefault="00D3260A" w:rsidP="00D3260A">
            <w:pPr>
              <w:rPr>
                <w:szCs w:val="21"/>
              </w:rPr>
            </w:pPr>
            <w:r w:rsidRPr="00BD6851">
              <w:rPr>
                <w:rFonts w:hAnsi="宋体"/>
                <w:color w:val="000000"/>
                <w:kern w:val="0"/>
                <w:szCs w:val="21"/>
              </w:rPr>
              <w:t>现场验收</w:t>
            </w:r>
          </w:p>
        </w:tc>
      </w:tr>
      <w:tr w:rsidR="00D3260A" w:rsidRPr="00BD6851" w:rsidTr="008272B4">
        <w:tc>
          <w:tcPr>
            <w:tcW w:w="738" w:type="dxa"/>
          </w:tcPr>
          <w:p w:rsidR="00D3260A" w:rsidRPr="00BD6851" w:rsidRDefault="00D3260A" w:rsidP="00D3260A">
            <w:pPr>
              <w:widowControl/>
              <w:spacing w:line="450" w:lineRule="atLeast"/>
              <w:jc w:val="left"/>
              <w:textAlignment w:val="baseline"/>
              <w:rPr>
                <w:color w:val="000000"/>
                <w:kern w:val="0"/>
                <w:szCs w:val="21"/>
              </w:rPr>
            </w:pPr>
            <w:r w:rsidRPr="00BD6851">
              <w:rPr>
                <w:color w:val="000000"/>
                <w:kern w:val="0"/>
                <w:szCs w:val="21"/>
              </w:rPr>
              <w:t>8</w:t>
            </w:r>
          </w:p>
        </w:tc>
        <w:tc>
          <w:tcPr>
            <w:tcW w:w="3495" w:type="dxa"/>
          </w:tcPr>
          <w:p w:rsidR="00D3260A" w:rsidRPr="00BD6851" w:rsidRDefault="00C27139" w:rsidP="00C27139">
            <w:pPr>
              <w:spacing w:line="400" w:lineRule="exact"/>
              <w:rPr>
                <w:szCs w:val="21"/>
              </w:rPr>
            </w:pPr>
            <w:r>
              <w:rPr>
                <w:rFonts w:hAnsi="宋体"/>
                <w:szCs w:val="21"/>
              </w:rPr>
              <w:t>离子源，反应区加热温度范围</w:t>
            </w:r>
            <w:r>
              <w:rPr>
                <w:rFonts w:hAnsi="宋体" w:hint="eastAsia"/>
                <w:szCs w:val="21"/>
              </w:rPr>
              <w:t>大于</w:t>
            </w:r>
            <w:r>
              <w:rPr>
                <w:rFonts w:hAnsi="宋体" w:hint="eastAsia"/>
                <w:szCs w:val="21"/>
              </w:rPr>
              <w:t>5</w:t>
            </w:r>
            <w:r w:rsidR="00D3260A" w:rsidRPr="00BD6851">
              <w:rPr>
                <w:szCs w:val="21"/>
              </w:rPr>
              <w:t>0-1</w:t>
            </w:r>
            <w:r>
              <w:rPr>
                <w:szCs w:val="21"/>
              </w:rPr>
              <w:t>0</w:t>
            </w:r>
            <w:r w:rsidR="00D3260A" w:rsidRPr="00BD6851">
              <w:rPr>
                <w:szCs w:val="21"/>
              </w:rPr>
              <w:t>0℃</w:t>
            </w:r>
          </w:p>
        </w:tc>
        <w:tc>
          <w:tcPr>
            <w:tcW w:w="4368" w:type="dxa"/>
            <w:gridSpan w:val="2"/>
          </w:tcPr>
          <w:p w:rsidR="00D3260A" w:rsidRPr="00BD6851" w:rsidRDefault="00D3260A" w:rsidP="00D3260A">
            <w:pPr>
              <w:rPr>
                <w:szCs w:val="21"/>
              </w:rPr>
            </w:pPr>
            <w:r w:rsidRPr="00BD6851">
              <w:rPr>
                <w:rFonts w:hAnsi="宋体"/>
                <w:color w:val="000000"/>
                <w:kern w:val="0"/>
                <w:szCs w:val="21"/>
              </w:rPr>
              <w:t>现场验收</w:t>
            </w:r>
          </w:p>
        </w:tc>
      </w:tr>
      <w:tr w:rsidR="00D3260A" w:rsidRPr="00BD6851" w:rsidTr="008272B4">
        <w:tc>
          <w:tcPr>
            <w:tcW w:w="738" w:type="dxa"/>
          </w:tcPr>
          <w:p w:rsidR="00D3260A" w:rsidRPr="00BD6851" w:rsidRDefault="00D3260A" w:rsidP="00D3260A">
            <w:pPr>
              <w:widowControl/>
              <w:spacing w:line="450" w:lineRule="atLeast"/>
              <w:jc w:val="left"/>
              <w:textAlignment w:val="baseline"/>
              <w:rPr>
                <w:color w:val="000000"/>
                <w:kern w:val="0"/>
                <w:szCs w:val="21"/>
              </w:rPr>
            </w:pPr>
            <w:r w:rsidRPr="00BD6851">
              <w:rPr>
                <w:color w:val="000000"/>
                <w:kern w:val="0"/>
                <w:szCs w:val="21"/>
              </w:rPr>
              <w:t>9</w:t>
            </w:r>
          </w:p>
        </w:tc>
        <w:tc>
          <w:tcPr>
            <w:tcW w:w="3495" w:type="dxa"/>
          </w:tcPr>
          <w:p w:rsidR="00D3260A" w:rsidRPr="00BD6851" w:rsidRDefault="00D3260A" w:rsidP="00D3260A">
            <w:pPr>
              <w:spacing w:line="400" w:lineRule="exact"/>
              <w:rPr>
                <w:szCs w:val="21"/>
              </w:rPr>
            </w:pPr>
            <w:r w:rsidRPr="00BD6851">
              <w:rPr>
                <w:rFonts w:hAnsi="宋体"/>
                <w:szCs w:val="21"/>
              </w:rPr>
              <w:t>真空系统：</w:t>
            </w:r>
            <w:r w:rsidR="00C27139">
              <w:rPr>
                <w:rFonts w:hAnsi="宋体" w:hint="eastAsia"/>
                <w:szCs w:val="21"/>
              </w:rPr>
              <w:t>前级泵</w:t>
            </w:r>
            <w:r w:rsidRPr="00BD6851">
              <w:rPr>
                <w:rFonts w:hAnsi="宋体"/>
                <w:szCs w:val="21"/>
              </w:rPr>
              <w:t>和超高真空涡轮分子泵</w:t>
            </w:r>
          </w:p>
        </w:tc>
        <w:tc>
          <w:tcPr>
            <w:tcW w:w="4368" w:type="dxa"/>
            <w:gridSpan w:val="2"/>
          </w:tcPr>
          <w:p w:rsidR="00D3260A" w:rsidRPr="00BD6851" w:rsidRDefault="00D3260A" w:rsidP="00D3260A">
            <w:pPr>
              <w:rPr>
                <w:szCs w:val="21"/>
              </w:rPr>
            </w:pPr>
            <w:r w:rsidRPr="00BD6851">
              <w:rPr>
                <w:rFonts w:hAnsi="宋体"/>
                <w:color w:val="000000"/>
                <w:kern w:val="0"/>
                <w:szCs w:val="21"/>
              </w:rPr>
              <w:t>现场验收</w:t>
            </w:r>
          </w:p>
        </w:tc>
      </w:tr>
      <w:tr w:rsidR="00D3260A" w:rsidRPr="00BD6851" w:rsidTr="008272B4">
        <w:tc>
          <w:tcPr>
            <w:tcW w:w="738" w:type="dxa"/>
          </w:tcPr>
          <w:p w:rsidR="00D3260A" w:rsidRPr="00BD6851" w:rsidRDefault="00D3260A" w:rsidP="00D3260A">
            <w:pPr>
              <w:widowControl/>
              <w:spacing w:line="450" w:lineRule="atLeast"/>
              <w:jc w:val="left"/>
              <w:textAlignment w:val="baseline"/>
              <w:rPr>
                <w:color w:val="000000"/>
                <w:kern w:val="0"/>
                <w:szCs w:val="21"/>
              </w:rPr>
            </w:pPr>
            <w:r w:rsidRPr="00BD6851">
              <w:rPr>
                <w:color w:val="000000"/>
                <w:kern w:val="0"/>
                <w:szCs w:val="21"/>
              </w:rPr>
              <w:t>10</w:t>
            </w:r>
          </w:p>
        </w:tc>
        <w:tc>
          <w:tcPr>
            <w:tcW w:w="3495" w:type="dxa"/>
          </w:tcPr>
          <w:p w:rsidR="00D3260A" w:rsidRPr="00BD6851" w:rsidRDefault="00D3260A" w:rsidP="00D3260A">
            <w:pPr>
              <w:spacing w:line="400" w:lineRule="exact"/>
              <w:rPr>
                <w:szCs w:val="21"/>
              </w:rPr>
            </w:pPr>
            <w:r w:rsidRPr="00BD6851">
              <w:rPr>
                <w:rFonts w:hAnsi="宋体"/>
                <w:szCs w:val="21"/>
              </w:rPr>
              <w:t>状态指示器：触摸屏显示真空、电压、流量、温度、分子泵等状态，也可显示测量结果</w:t>
            </w:r>
          </w:p>
        </w:tc>
        <w:tc>
          <w:tcPr>
            <w:tcW w:w="4368" w:type="dxa"/>
            <w:gridSpan w:val="2"/>
          </w:tcPr>
          <w:p w:rsidR="00D3260A" w:rsidRPr="00BD6851" w:rsidRDefault="00D3260A" w:rsidP="00D3260A">
            <w:pPr>
              <w:rPr>
                <w:szCs w:val="21"/>
              </w:rPr>
            </w:pPr>
            <w:r w:rsidRPr="00BD6851">
              <w:rPr>
                <w:rFonts w:hAnsi="宋体"/>
                <w:color w:val="000000"/>
                <w:kern w:val="0"/>
                <w:szCs w:val="21"/>
              </w:rPr>
              <w:t>现场验收</w:t>
            </w:r>
          </w:p>
        </w:tc>
      </w:tr>
      <w:tr w:rsidR="0084652E" w:rsidRPr="00BD6851" w:rsidTr="007F542C">
        <w:tc>
          <w:tcPr>
            <w:tcW w:w="4233" w:type="dxa"/>
            <w:gridSpan w:val="2"/>
          </w:tcPr>
          <w:p w:rsidR="0084652E" w:rsidRPr="00BD6851" w:rsidRDefault="0084652E" w:rsidP="007F542C">
            <w:pPr>
              <w:widowControl/>
              <w:spacing w:line="450" w:lineRule="atLeast"/>
              <w:jc w:val="left"/>
              <w:textAlignment w:val="baseline"/>
              <w:rPr>
                <w:color w:val="000000"/>
                <w:kern w:val="0"/>
                <w:szCs w:val="21"/>
              </w:rPr>
            </w:pPr>
            <w:r w:rsidRPr="00BD6851">
              <w:rPr>
                <w:rFonts w:hAnsi="宋体"/>
                <w:color w:val="000000"/>
                <w:kern w:val="0"/>
                <w:szCs w:val="21"/>
              </w:rPr>
              <w:t>验收时是否需要供应商提供样品</w:t>
            </w:r>
          </w:p>
        </w:tc>
        <w:tc>
          <w:tcPr>
            <w:tcW w:w="2254" w:type="dxa"/>
          </w:tcPr>
          <w:p w:rsidR="0084652E" w:rsidRPr="00BD6851" w:rsidRDefault="0084652E" w:rsidP="007F542C">
            <w:pPr>
              <w:widowControl/>
              <w:spacing w:line="450" w:lineRule="atLeast"/>
              <w:jc w:val="left"/>
              <w:textAlignment w:val="baseline"/>
              <w:rPr>
                <w:color w:val="000000"/>
                <w:kern w:val="0"/>
                <w:szCs w:val="21"/>
              </w:rPr>
            </w:pPr>
            <w:r w:rsidRPr="00BD6851">
              <w:rPr>
                <w:rFonts w:hAnsi="宋体"/>
                <w:color w:val="000000"/>
                <w:kern w:val="0"/>
                <w:szCs w:val="21"/>
              </w:rPr>
              <w:t>是</w:t>
            </w:r>
            <w:r w:rsidRPr="00BD6851">
              <w:rPr>
                <w:color w:val="000000"/>
                <w:kern w:val="0"/>
                <w:szCs w:val="21"/>
              </w:rPr>
              <w:t>□</w:t>
            </w:r>
          </w:p>
        </w:tc>
        <w:tc>
          <w:tcPr>
            <w:tcW w:w="2114" w:type="dxa"/>
          </w:tcPr>
          <w:p w:rsidR="0084652E" w:rsidRPr="00BD6851" w:rsidRDefault="00B30E52" w:rsidP="007F542C">
            <w:pPr>
              <w:widowControl/>
              <w:spacing w:line="450" w:lineRule="atLeast"/>
              <w:jc w:val="left"/>
              <w:textAlignment w:val="baseline"/>
              <w:rPr>
                <w:color w:val="000000"/>
                <w:kern w:val="0"/>
                <w:szCs w:val="21"/>
              </w:rPr>
            </w:pPr>
            <w:r w:rsidRPr="00BD6851">
              <w:rPr>
                <w:rFonts w:hAnsi="宋体"/>
                <w:color w:val="000000"/>
                <w:kern w:val="0"/>
                <w:szCs w:val="21"/>
              </w:rPr>
              <w:t>否</w:t>
            </w:r>
            <w:r w:rsidRPr="00BD6851">
              <w:rPr>
                <w:color w:val="000000"/>
                <w:kern w:val="0"/>
                <w:szCs w:val="21"/>
              </w:rPr>
              <w:sym w:font="Wingdings 2" w:char="F052"/>
            </w:r>
          </w:p>
        </w:tc>
      </w:tr>
      <w:tr w:rsidR="0084652E" w:rsidRPr="00BD6851" w:rsidTr="007F542C">
        <w:tc>
          <w:tcPr>
            <w:tcW w:w="4233" w:type="dxa"/>
            <w:gridSpan w:val="2"/>
          </w:tcPr>
          <w:p w:rsidR="0084652E" w:rsidRPr="00BD6851" w:rsidRDefault="0084652E" w:rsidP="007F542C">
            <w:pPr>
              <w:widowControl/>
              <w:spacing w:line="450" w:lineRule="atLeast"/>
              <w:jc w:val="left"/>
              <w:textAlignment w:val="baseline"/>
              <w:rPr>
                <w:color w:val="000000"/>
                <w:kern w:val="0"/>
                <w:szCs w:val="21"/>
              </w:rPr>
            </w:pPr>
            <w:r w:rsidRPr="00BD6851">
              <w:rPr>
                <w:rFonts w:hAnsi="宋体"/>
                <w:color w:val="000000"/>
                <w:kern w:val="0"/>
                <w:szCs w:val="21"/>
              </w:rPr>
              <w:t>验收时是否需供应商提供必要的其他设备</w:t>
            </w:r>
          </w:p>
        </w:tc>
        <w:tc>
          <w:tcPr>
            <w:tcW w:w="2254" w:type="dxa"/>
          </w:tcPr>
          <w:p w:rsidR="0084652E" w:rsidRPr="00BD6851" w:rsidRDefault="0084652E" w:rsidP="007F542C">
            <w:pPr>
              <w:widowControl/>
              <w:spacing w:line="450" w:lineRule="atLeast"/>
              <w:jc w:val="left"/>
              <w:textAlignment w:val="baseline"/>
              <w:rPr>
                <w:color w:val="000000"/>
                <w:kern w:val="0"/>
                <w:szCs w:val="21"/>
              </w:rPr>
            </w:pPr>
            <w:r w:rsidRPr="00BD6851">
              <w:rPr>
                <w:rFonts w:hAnsi="宋体"/>
                <w:color w:val="000000"/>
                <w:kern w:val="0"/>
                <w:szCs w:val="21"/>
              </w:rPr>
              <w:t>是</w:t>
            </w:r>
            <w:r w:rsidRPr="00BD6851">
              <w:rPr>
                <w:color w:val="000000"/>
                <w:kern w:val="0"/>
                <w:szCs w:val="21"/>
              </w:rPr>
              <w:t>□</w:t>
            </w:r>
          </w:p>
        </w:tc>
        <w:tc>
          <w:tcPr>
            <w:tcW w:w="2114" w:type="dxa"/>
          </w:tcPr>
          <w:p w:rsidR="0084652E" w:rsidRPr="00BD6851" w:rsidRDefault="0084652E" w:rsidP="007F542C">
            <w:pPr>
              <w:widowControl/>
              <w:spacing w:line="450" w:lineRule="atLeast"/>
              <w:jc w:val="left"/>
              <w:textAlignment w:val="baseline"/>
              <w:rPr>
                <w:color w:val="000000"/>
                <w:kern w:val="0"/>
                <w:szCs w:val="21"/>
              </w:rPr>
            </w:pPr>
            <w:r w:rsidRPr="00BD6851">
              <w:rPr>
                <w:rFonts w:hAnsi="宋体"/>
                <w:color w:val="000000"/>
                <w:kern w:val="0"/>
                <w:szCs w:val="21"/>
              </w:rPr>
              <w:t>否</w:t>
            </w:r>
            <w:r w:rsidR="00B30E52" w:rsidRPr="00BD6851">
              <w:rPr>
                <w:color w:val="000000"/>
                <w:kern w:val="0"/>
                <w:szCs w:val="21"/>
              </w:rPr>
              <w:sym w:font="Wingdings 2" w:char="F052"/>
            </w:r>
          </w:p>
        </w:tc>
      </w:tr>
      <w:bookmarkEnd w:id="1"/>
      <w:bookmarkEnd w:id="2"/>
      <w:bookmarkEnd w:id="3"/>
    </w:tbl>
    <w:p w:rsidR="007839AE" w:rsidRPr="001B1762" w:rsidRDefault="007839AE">
      <w:pPr>
        <w:rPr>
          <w:sz w:val="24"/>
          <w:szCs w:val="24"/>
        </w:rPr>
      </w:pPr>
    </w:p>
    <w:sectPr w:rsidR="007839AE" w:rsidRPr="001B1762" w:rsidSect="009F6CAB">
      <w:footerReference w:type="default" r:id="rId7"/>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3FA50B" w15:done="0"/>
  <w15:commentEx w15:paraId="52AB4CCB" w15:done="0"/>
  <w15:commentEx w15:paraId="10ADF19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C59" w:rsidRDefault="00334C59">
      <w:r>
        <w:separator/>
      </w:r>
    </w:p>
  </w:endnote>
  <w:endnote w:type="continuationSeparator" w:id="1">
    <w:p w:rsidR="00334C59" w:rsidRDefault="00334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828" w:rsidRDefault="007010C2">
    <w:pPr>
      <w:pStyle w:val="a4"/>
      <w:jc w:val="center"/>
    </w:pPr>
    <w:r>
      <w:fldChar w:fldCharType="begin"/>
    </w:r>
    <w:r w:rsidR="00A161FC">
      <w:instrText>PAGE   \* MERGEFORMAT</w:instrText>
    </w:r>
    <w:r>
      <w:fldChar w:fldCharType="separate"/>
    </w:r>
    <w:r w:rsidR="00BC11C9" w:rsidRPr="00BC11C9">
      <w:rPr>
        <w:noProof/>
        <w:lang w:val="zh-CN"/>
      </w:rPr>
      <w:t>3</w:t>
    </w:r>
    <w:r>
      <w:fldChar w:fldCharType="end"/>
    </w:r>
  </w:p>
  <w:p w:rsidR="00C64828" w:rsidRDefault="00334C5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C59" w:rsidRDefault="00334C59">
      <w:r>
        <w:separator/>
      </w:r>
    </w:p>
  </w:footnote>
  <w:footnote w:type="continuationSeparator" w:id="1">
    <w:p w:rsidR="00334C59" w:rsidRDefault="00334C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AD475B4"/>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CBC180C"/>
    <w:multiLevelType w:val="hybridMultilevel"/>
    <w:tmpl w:val="447E1C8C"/>
    <w:lvl w:ilvl="0" w:tplc="D88AB52E">
      <w:start w:val="2"/>
      <w:numFmt w:val="japaneseCounting"/>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3A0D48F8"/>
    <w:multiLevelType w:val="hybridMultilevel"/>
    <w:tmpl w:val="54D626F2"/>
    <w:lvl w:ilvl="0" w:tplc="705253B2">
      <w:start w:val="1"/>
      <w:numFmt w:val="japaneseCounting"/>
      <w:lvlText w:val="（%1）"/>
      <w:lvlJc w:val="left"/>
      <w:pPr>
        <w:ind w:left="720" w:hanging="720"/>
      </w:pPr>
      <w:rPr>
        <w:rFonts w:asci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814758A"/>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53202B97"/>
    <w:multiLevelType w:val="hybridMultilevel"/>
    <w:tmpl w:val="0F1866F0"/>
    <w:lvl w:ilvl="0" w:tplc="CF1E35E6">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B447BBF"/>
    <w:multiLevelType w:val="hybridMultilevel"/>
    <w:tmpl w:val="A3184572"/>
    <w:lvl w:ilvl="0" w:tplc="665C5AEC">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4"/>
  </w:num>
  <w:num w:numId="3">
    <w:abstractNumId w:val="0"/>
  </w:num>
  <w:num w:numId="4">
    <w:abstractNumId w:val="7"/>
  </w:num>
  <w:num w:numId="5">
    <w:abstractNumId w:val="10"/>
  </w:num>
  <w:num w:numId="6">
    <w:abstractNumId w:val="6"/>
  </w:num>
  <w:num w:numId="7">
    <w:abstractNumId w:val="3"/>
  </w:num>
  <w:num w:numId="8">
    <w:abstractNumId w:val="5"/>
  </w:num>
  <w:num w:numId="9">
    <w:abstractNumId w:val="8"/>
  </w:num>
  <w:num w:numId="10">
    <w:abstractNumId w:val="1"/>
  </w:num>
  <w:num w:numId="11">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李 璐">
    <w15:presenceInfo w15:providerId="Windows Live" w15:userId="ff880124151d546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61FC"/>
    <w:rsid w:val="00055C7D"/>
    <w:rsid w:val="000B26A3"/>
    <w:rsid w:val="00105428"/>
    <w:rsid w:val="0012130C"/>
    <w:rsid w:val="00140AF0"/>
    <w:rsid w:val="001507CE"/>
    <w:rsid w:val="00157667"/>
    <w:rsid w:val="001609FC"/>
    <w:rsid w:val="0018461B"/>
    <w:rsid w:val="001B1762"/>
    <w:rsid w:val="001B712C"/>
    <w:rsid w:val="001C248F"/>
    <w:rsid w:val="001C41C3"/>
    <w:rsid w:val="00203141"/>
    <w:rsid w:val="00237253"/>
    <w:rsid w:val="002B3A1B"/>
    <w:rsid w:val="002E76A3"/>
    <w:rsid w:val="003113D4"/>
    <w:rsid w:val="00320B36"/>
    <w:rsid w:val="00334C59"/>
    <w:rsid w:val="00345D8D"/>
    <w:rsid w:val="0036352F"/>
    <w:rsid w:val="003649AF"/>
    <w:rsid w:val="003B1321"/>
    <w:rsid w:val="00445EC3"/>
    <w:rsid w:val="00453832"/>
    <w:rsid w:val="004935F5"/>
    <w:rsid w:val="004951D7"/>
    <w:rsid w:val="004A43F0"/>
    <w:rsid w:val="004E4B14"/>
    <w:rsid w:val="00501176"/>
    <w:rsid w:val="00510891"/>
    <w:rsid w:val="005205A9"/>
    <w:rsid w:val="0053111A"/>
    <w:rsid w:val="00562C62"/>
    <w:rsid w:val="005633CE"/>
    <w:rsid w:val="00571ADE"/>
    <w:rsid w:val="0059440B"/>
    <w:rsid w:val="005951EF"/>
    <w:rsid w:val="005D65B0"/>
    <w:rsid w:val="005F1571"/>
    <w:rsid w:val="005F401F"/>
    <w:rsid w:val="00601AC9"/>
    <w:rsid w:val="00611202"/>
    <w:rsid w:val="00674BB8"/>
    <w:rsid w:val="006C2918"/>
    <w:rsid w:val="006C782C"/>
    <w:rsid w:val="006F60FB"/>
    <w:rsid w:val="007010C2"/>
    <w:rsid w:val="00710EAD"/>
    <w:rsid w:val="007554BB"/>
    <w:rsid w:val="007839AE"/>
    <w:rsid w:val="007F4BD9"/>
    <w:rsid w:val="00800E12"/>
    <w:rsid w:val="008153D5"/>
    <w:rsid w:val="00823CA9"/>
    <w:rsid w:val="008272B4"/>
    <w:rsid w:val="008403A0"/>
    <w:rsid w:val="0084652E"/>
    <w:rsid w:val="0089621F"/>
    <w:rsid w:val="00925E61"/>
    <w:rsid w:val="0098019F"/>
    <w:rsid w:val="0099177F"/>
    <w:rsid w:val="00995789"/>
    <w:rsid w:val="009970FF"/>
    <w:rsid w:val="009F6CAB"/>
    <w:rsid w:val="009F7A2C"/>
    <w:rsid w:val="00A047F0"/>
    <w:rsid w:val="00A12DED"/>
    <w:rsid w:val="00A161FC"/>
    <w:rsid w:val="00A25C7E"/>
    <w:rsid w:val="00A765E9"/>
    <w:rsid w:val="00AC005D"/>
    <w:rsid w:val="00AF7468"/>
    <w:rsid w:val="00B30E52"/>
    <w:rsid w:val="00B37893"/>
    <w:rsid w:val="00B4481B"/>
    <w:rsid w:val="00B72BD6"/>
    <w:rsid w:val="00B91989"/>
    <w:rsid w:val="00BA2E13"/>
    <w:rsid w:val="00BC11C9"/>
    <w:rsid w:val="00BC25B1"/>
    <w:rsid w:val="00BC3D86"/>
    <w:rsid w:val="00BD6851"/>
    <w:rsid w:val="00BE0857"/>
    <w:rsid w:val="00BE5444"/>
    <w:rsid w:val="00C15054"/>
    <w:rsid w:val="00C27139"/>
    <w:rsid w:val="00C315AB"/>
    <w:rsid w:val="00C63818"/>
    <w:rsid w:val="00C82348"/>
    <w:rsid w:val="00CD153F"/>
    <w:rsid w:val="00CD2230"/>
    <w:rsid w:val="00D3260A"/>
    <w:rsid w:val="00D81F35"/>
    <w:rsid w:val="00DC1928"/>
    <w:rsid w:val="00DC5BD0"/>
    <w:rsid w:val="00DF5062"/>
    <w:rsid w:val="00E0581E"/>
    <w:rsid w:val="00E1130A"/>
    <w:rsid w:val="00E3606B"/>
    <w:rsid w:val="00E4264C"/>
    <w:rsid w:val="00E73399"/>
    <w:rsid w:val="00E7573D"/>
    <w:rsid w:val="00E821CF"/>
    <w:rsid w:val="00E91637"/>
    <w:rsid w:val="00E931F1"/>
    <w:rsid w:val="00EA3275"/>
    <w:rsid w:val="00F9789E"/>
    <w:rsid w:val="00FA5BA6"/>
    <w:rsid w:val="00FB00E1"/>
    <w:rsid w:val="00FC1111"/>
    <w:rsid w:val="00FC3BB8"/>
    <w:rsid w:val="00FE1B41"/>
    <w:rsid w:val="00FF21F2"/>
    <w:rsid w:val="00FF47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9F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纯文本 Char1"/>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3"/>
    <w:rsid w:val="00A161FC"/>
    <w:rPr>
      <w:rFonts w:ascii="宋体" w:eastAsia="宋体" w:hAnsi="Courier New"/>
    </w:rPr>
  </w:style>
  <w:style w:type="character" w:customStyle="1" w:styleId="Char10">
    <w:name w:val="页脚 Char1"/>
    <w:link w:val="a4"/>
    <w:rsid w:val="00A161FC"/>
    <w:rPr>
      <w:sz w:val="18"/>
    </w:rPr>
  </w:style>
  <w:style w:type="character" w:customStyle="1" w:styleId="Char11">
    <w:name w:val="标题 Char1"/>
    <w:link w:val="a5"/>
    <w:rsid w:val="00A161FC"/>
    <w:rPr>
      <w:rFonts w:ascii="Arial" w:eastAsia="宋体" w:hAnsi="Arial" w:cs="Arial"/>
      <w:b/>
      <w:bCs/>
      <w:sz w:val="32"/>
      <w:szCs w:val="32"/>
    </w:rPr>
  </w:style>
  <w:style w:type="paragraph" w:styleId="a4">
    <w:name w:val="footer"/>
    <w:basedOn w:val="a"/>
    <w:link w:val="Char10"/>
    <w:rsid w:val="00A161FC"/>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Char">
    <w:name w:val="页脚 Char"/>
    <w:basedOn w:val="a0"/>
    <w:uiPriority w:val="99"/>
    <w:semiHidden/>
    <w:rsid w:val="00A161FC"/>
    <w:rPr>
      <w:rFonts w:ascii="Times New Roman" w:eastAsia="宋体" w:hAnsi="Times New Roman" w:cs="Times New Roman"/>
      <w:sz w:val="18"/>
      <w:szCs w:val="18"/>
    </w:rPr>
  </w:style>
  <w:style w:type="paragraph" w:styleId="a5">
    <w:name w:val="Title"/>
    <w:basedOn w:val="a"/>
    <w:link w:val="Char11"/>
    <w:qFormat/>
    <w:rsid w:val="00A161FC"/>
    <w:pPr>
      <w:spacing w:before="240" w:after="60"/>
      <w:jc w:val="center"/>
      <w:outlineLvl w:val="0"/>
    </w:pPr>
    <w:rPr>
      <w:rFonts w:ascii="Arial" w:hAnsi="Arial" w:cs="Arial"/>
      <w:b/>
      <w:bCs/>
      <w:sz w:val="32"/>
      <w:szCs w:val="32"/>
    </w:rPr>
  </w:style>
  <w:style w:type="character" w:customStyle="1" w:styleId="Char0">
    <w:name w:val="标题 Char"/>
    <w:basedOn w:val="a0"/>
    <w:uiPriority w:val="10"/>
    <w:rsid w:val="00A161FC"/>
    <w:rPr>
      <w:rFonts w:asciiTheme="majorHAnsi" w:eastAsia="宋体" w:hAnsiTheme="majorHAnsi" w:cstheme="majorBidi"/>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A161FC"/>
    <w:rPr>
      <w:rFonts w:ascii="宋体" w:hAnsi="Courier New" w:cstheme="minorBidi"/>
      <w:szCs w:val="22"/>
    </w:rPr>
  </w:style>
  <w:style w:type="character" w:customStyle="1" w:styleId="Char2">
    <w:name w:val="纯文本 Char"/>
    <w:basedOn w:val="a0"/>
    <w:uiPriority w:val="99"/>
    <w:semiHidden/>
    <w:rsid w:val="00A161FC"/>
    <w:rPr>
      <w:rFonts w:ascii="宋体" w:eastAsia="宋体" w:hAnsi="Courier New" w:cs="Courier New"/>
      <w:szCs w:val="21"/>
    </w:rPr>
  </w:style>
  <w:style w:type="paragraph" w:styleId="a6">
    <w:name w:val="header"/>
    <w:basedOn w:val="a"/>
    <w:link w:val="Char3"/>
    <w:uiPriority w:val="99"/>
    <w:unhideWhenUsed/>
    <w:rsid w:val="00FC3BB8"/>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6"/>
    <w:uiPriority w:val="99"/>
    <w:rsid w:val="00FC3BB8"/>
    <w:rPr>
      <w:rFonts w:ascii="Times New Roman" w:eastAsia="宋体" w:hAnsi="Times New Roman" w:cs="Times New Roman"/>
      <w:sz w:val="18"/>
      <w:szCs w:val="18"/>
    </w:rPr>
  </w:style>
  <w:style w:type="paragraph" w:styleId="a7">
    <w:name w:val="List Paragraph"/>
    <w:basedOn w:val="a"/>
    <w:uiPriority w:val="34"/>
    <w:qFormat/>
    <w:rsid w:val="00501176"/>
    <w:pPr>
      <w:ind w:firstLineChars="200" w:firstLine="420"/>
    </w:pPr>
  </w:style>
  <w:style w:type="table" w:styleId="a8">
    <w:name w:val="Table Grid"/>
    <w:basedOn w:val="a1"/>
    <w:uiPriority w:val="39"/>
    <w:rsid w:val="00F978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4"/>
    <w:uiPriority w:val="99"/>
    <w:semiHidden/>
    <w:unhideWhenUsed/>
    <w:rsid w:val="00BE5444"/>
    <w:rPr>
      <w:sz w:val="18"/>
      <w:szCs w:val="18"/>
    </w:rPr>
  </w:style>
  <w:style w:type="character" w:customStyle="1" w:styleId="Char4">
    <w:name w:val="批注框文本 Char"/>
    <w:basedOn w:val="a0"/>
    <w:link w:val="a9"/>
    <w:uiPriority w:val="99"/>
    <w:semiHidden/>
    <w:rsid w:val="00BE5444"/>
    <w:rPr>
      <w:rFonts w:ascii="Times New Roman" w:eastAsia="宋体" w:hAnsi="Times New Roman" w:cs="Times New Roman"/>
      <w:sz w:val="18"/>
      <w:szCs w:val="18"/>
    </w:rPr>
  </w:style>
  <w:style w:type="character" w:styleId="aa">
    <w:name w:val="annotation reference"/>
    <w:basedOn w:val="a0"/>
    <w:uiPriority w:val="99"/>
    <w:semiHidden/>
    <w:unhideWhenUsed/>
    <w:rsid w:val="00BD6851"/>
    <w:rPr>
      <w:sz w:val="21"/>
      <w:szCs w:val="21"/>
    </w:rPr>
  </w:style>
  <w:style w:type="paragraph" w:styleId="ab">
    <w:name w:val="annotation text"/>
    <w:basedOn w:val="a"/>
    <w:link w:val="Char5"/>
    <w:uiPriority w:val="99"/>
    <w:semiHidden/>
    <w:unhideWhenUsed/>
    <w:rsid w:val="00BD6851"/>
    <w:pPr>
      <w:jc w:val="left"/>
    </w:pPr>
  </w:style>
  <w:style w:type="character" w:customStyle="1" w:styleId="Char5">
    <w:name w:val="批注文字 Char"/>
    <w:basedOn w:val="a0"/>
    <w:link w:val="ab"/>
    <w:uiPriority w:val="99"/>
    <w:semiHidden/>
    <w:rsid w:val="00BD6851"/>
    <w:rPr>
      <w:rFonts w:ascii="Times New Roman" w:eastAsia="宋体" w:hAnsi="Times New Roman" w:cs="Times New Roman"/>
      <w:szCs w:val="20"/>
    </w:rPr>
  </w:style>
  <w:style w:type="paragraph" w:styleId="ac">
    <w:name w:val="annotation subject"/>
    <w:basedOn w:val="ab"/>
    <w:next w:val="ab"/>
    <w:link w:val="Char6"/>
    <w:uiPriority w:val="99"/>
    <w:semiHidden/>
    <w:unhideWhenUsed/>
    <w:rsid w:val="00BD6851"/>
    <w:rPr>
      <w:b/>
      <w:bCs/>
    </w:rPr>
  </w:style>
  <w:style w:type="character" w:customStyle="1" w:styleId="Char6">
    <w:name w:val="批注主题 Char"/>
    <w:basedOn w:val="Char5"/>
    <w:link w:val="ac"/>
    <w:uiPriority w:val="99"/>
    <w:semiHidden/>
    <w:rsid w:val="00BD6851"/>
    <w:rPr>
      <w:rFonts w:ascii="Times New Roman" w:eastAsia="宋体" w:hAnsi="Times New Roman" w:cs="Times New Roman"/>
      <w:b/>
      <w:bCs/>
      <w:szCs w:val="20"/>
    </w:rPr>
  </w:style>
</w:styles>
</file>

<file path=word/webSettings.xml><?xml version="1.0" encoding="utf-8"?>
<w:webSettings xmlns:r="http://schemas.openxmlformats.org/officeDocument/2006/relationships" xmlns:w="http://schemas.openxmlformats.org/wordprocessingml/2006/main">
  <w:divs>
    <w:div w:id="1053889421">
      <w:bodyDiv w:val="1"/>
      <w:marLeft w:val="0"/>
      <w:marRight w:val="0"/>
      <w:marTop w:val="0"/>
      <w:marBottom w:val="0"/>
      <w:divBdr>
        <w:top w:val="none" w:sz="0" w:space="0" w:color="auto"/>
        <w:left w:val="none" w:sz="0" w:space="0" w:color="auto"/>
        <w:bottom w:val="none" w:sz="0" w:space="0" w:color="auto"/>
        <w:right w:val="none" w:sz="0" w:space="0" w:color="auto"/>
      </w:divBdr>
    </w:div>
    <w:div w:id="21227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3</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75</cp:revision>
  <dcterms:created xsi:type="dcterms:W3CDTF">2021-03-17T07:37:00Z</dcterms:created>
  <dcterms:modified xsi:type="dcterms:W3CDTF">2021-04-27T06:32:00Z</dcterms:modified>
</cp:coreProperties>
</file>