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0" w:lineRule="atLeast"/>
        <w:jc w:val="center"/>
        <w:textAlignment w:val="baseline"/>
        <w:rPr>
          <w:rFonts w:cs="宋体" w:asciiTheme="majorEastAsia" w:hAnsiTheme="majorEastAsia" w:eastAsiaTheme="majorEastAsia"/>
          <w:b/>
          <w:color w:val="000000"/>
          <w:kern w:val="0"/>
          <w:sz w:val="36"/>
          <w:szCs w:val="36"/>
        </w:rPr>
      </w:pPr>
      <w:r>
        <w:rPr>
          <w:rFonts w:hint="eastAsia" w:cs="宋体" w:asciiTheme="majorEastAsia" w:hAnsiTheme="majorEastAsia" w:eastAsiaTheme="majorEastAsia"/>
          <w:b/>
          <w:color w:val="000000"/>
          <w:kern w:val="0"/>
          <w:sz w:val="36"/>
          <w:szCs w:val="36"/>
        </w:rPr>
        <w:t>创新港2021年三菱电梯维保采购</w:t>
      </w:r>
      <w:r>
        <w:rPr>
          <w:rFonts w:cs="宋体" w:asciiTheme="majorEastAsia" w:hAnsiTheme="majorEastAsia" w:eastAsiaTheme="majorEastAsia"/>
          <w:b/>
          <w:color w:val="000000"/>
          <w:kern w:val="0"/>
          <w:sz w:val="36"/>
          <w:szCs w:val="36"/>
        </w:rPr>
        <w:t>需求</w:t>
      </w:r>
    </w:p>
    <w:p>
      <w:pPr>
        <w:widowControl/>
        <w:spacing w:line="450" w:lineRule="atLeast"/>
        <w:jc w:val="left"/>
        <w:textAlignment w:val="baseline"/>
        <w:rPr>
          <w:rFonts w:hint="eastAsia" w:ascii="inherit" w:hAnsi="inherit" w:eastAsia="仿宋" w:cs="宋体"/>
          <w:b/>
          <w:bCs/>
          <w:color w:val="000000"/>
          <w:kern w:val="0"/>
          <w:sz w:val="32"/>
          <w:szCs w:val="32"/>
        </w:rPr>
      </w:pPr>
      <w:r>
        <w:rPr>
          <w:rFonts w:hint="eastAsia" w:ascii="inherit" w:hAnsi="inherit" w:eastAsia="仿宋" w:cs="宋体"/>
          <w:b/>
          <w:bCs/>
          <w:color w:val="000000"/>
          <w:kern w:val="0"/>
          <w:sz w:val="32"/>
          <w:szCs w:val="32"/>
        </w:rPr>
        <w:t>一、该项目最高限价为人民币105万元。</w:t>
      </w:r>
    </w:p>
    <w:p>
      <w:pPr>
        <w:widowControl/>
        <w:spacing w:line="450" w:lineRule="atLeast"/>
        <w:jc w:val="left"/>
        <w:textAlignment w:val="baseline"/>
        <w:rPr>
          <w:rFonts w:hint="eastAsia" w:ascii="inherit" w:hAnsi="inherit" w:eastAsia="仿宋" w:cs="宋体"/>
          <w:b/>
          <w:bCs/>
          <w:color w:val="000000"/>
          <w:kern w:val="0"/>
          <w:sz w:val="32"/>
          <w:szCs w:val="32"/>
        </w:rPr>
      </w:pPr>
      <w:r>
        <w:rPr>
          <w:rFonts w:hint="eastAsia" w:ascii="inherit" w:hAnsi="inherit" w:eastAsia="仿宋" w:cs="宋体"/>
          <w:b/>
          <w:bCs/>
          <w:color w:val="000000"/>
          <w:kern w:val="0"/>
          <w:sz w:val="32"/>
          <w:szCs w:val="32"/>
        </w:rPr>
        <w:t>二、采购需求：</w:t>
      </w:r>
    </w:p>
    <w:p>
      <w:pPr>
        <w:spacing w:line="360" w:lineRule="auto"/>
        <w:ind w:firstLine="600" w:firstLineChars="200"/>
        <w:rPr>
          <w:rFonts w:ascii="仿宋" w:hAnsi="仿宋" w:eastAsia="仿宋"/>
          <w:sz w:val="28"/>
          <w:szCs w:val="28"/>
        </w:rPr>
      </w:pPr>
      <w:r>
        <w:rPr>
          <w:rFonts w:hint="eastAsia" w:ascii="inherit" w:hAnsi="inherit" w:eastAsia="仿宋" w:cs="宋体"/>
          <w:color w:val="000000"/>
          <w:kern w:val="0"/>
          <w:sz w:val="30"/>
          <w:szCs w:val="30"/>
        </w:rPr>
        <w:t>本采购项目为2021年0</w:t>
      </w:r>
      <w:r>
        <w:rPr>
          <w:rFonts w:hint="eastAsia" w:ascii="inherit" w:hAnsi="inherit" w:eastAsia="仿宋" w:cs="宋体"/>
          <w:color w:val="000000"/>
          <w:kern w:val="0"/>
          <w:sz w:val="30"/>
          <w:szCs w:val="30"/>
          <w:lang w:val="en-US" w:eastAsia="zh-CN"/>
        </w:rPr>
        <w:t>7</w:t>
      </w:r>
      <w:r>
        <w:rPr>
          <w:rFonts w:hint="eastAsia" w:ascii="inherit" w:hAnsi="inherit" w:eastAsia="仿宋" w:cs="宋体"/>
          <w:color w:val="000000"/>
          <w:kern w:val="0"/>
          <w:sz w:val="30"/>
          <w:szCs w:val="30"/>
        </w:rPr>
        <w:t>月01日—2022年0</w:t>
      </w:r>
      <w:r>
        <w:rPr>
          <w:rFonts w:hint="eastAsia" w:ascii="inherit" w:hAnsi="inherit" w:eastAsia="仿宋" w:cs="宋体"/>
          <w:color w:val="000000"/>
          <w:kern w:val="0"/>
          <w:sz w:val="30"/>
          <w:szCs w:val="30"/>
          <w:lang w:val="en-US" w:eastAsia="zh-CN"/>
        </w:rPr>
        <w:t>6</w:t>
      </w:r>
      <w:r>
        <w:rPr>
          <w:rFonts w:hint="eastAsia" w:ascii="inherit" w:hAnsi="inherit" w:eastAsia="仿宋" w:cs="宋体"/>
          <w:color w:val="000000"/>
          <w:kern w:val="0"/>
          <w:sz w:val="30"/>
          <w:szCs w:val="30"/>
        </w:rPr>
        <w:t>月3</w:t>
      </w:r>
      <w:r>
        <w:rPr>
          <w:rFonts w:hint="eastAsia" w:ascii="inherit" w:hAnsi="inherit" w:eastAsia="仿宋" w:cs="宋体"/>
          <w:color w:val="000000"/>
          <w:kern w:val="0"/>
          <w:sz w:val="30"/>
          <w:szCs w:val="30"/>
          <w:lang w:val="en-US" w:eastAsia="zh-CN"/>
        </w:rPr>
        <w:t>0</w:t>
      </w:r>
      <w:r>
        <w:rPr>
          <w:rFonts w:hint="eastAsia" w:ascii="inherit" w:hAnsi="inherit" w:eastAsia="仿宋" w:cs="宋体"/>
          <w:color w:val="000000"/>
          <w:kern w:val="0"/>
          <w:sz w:val="30"/>
          <w:szCs w:val="30"/>
        </w:rPr>
        <w:t>日创新港科教板块巨构内173部三菱电梯维保服务，主要包括电梯日常保养、电梯自检、电梯年检、运行分析、电梯维修、紧急救援等</w:t>
      </w:r>
      <w:r>
        <w:rPr>
          <w:rFonts w:hint="eastAsia" w:ascii="仿宋" w:hAnsi="仿宋" w:eastAsia="仿宋"/>
          <w:sz w:val="28"/>
          <w:szCs w:val="28"/>
        </w:rPr>
        <w:t>(详细要求见后)。该项目定位主要是运用运行监测、运行分析，使用专业技术方法有计划地对电梯进行保养和维修，从而保障创新港电梯安全可靠、有序、舒适运行。</w:t>
      </w:r>
    </w:p>
    <w:p>
      <w:pPr>
        <w:numPr>
          <w:ilvl w:val="0"/>
          <w:numId w:val="2"/>
        </w:numPr>
        <w:spacing w:line="360" w:lineRule="auto"/>
        <w:rPr>
          <w:rFonts w:ascii="仿宋" w:hAnsi="仿宋" w:eastAsia="仿宋"/>
          <w:b/>
          <w:sz w:val="32"/>
          <w:szCs w:val="32"/>
        </w:rPr>
      </w:pPr>
      <w:r>
        <w:rPr>
          <w:rFonts w:hint="eastAsia" w:ascii="仿宋" w:hAnsi="仿宋" w:eastAsia="仿宋"/>
          <w:b/>
          <w:sz w:val="32"/>
          <w:szCs w:val="32"/>
        </w:rPr>
        <w:t>采购标的需满足的质量、安全、技术规格、物理特性等要求；</w:t>
      </w:r>
    </w:p>
    <w:p>
      <w:pPr>
        <w:spacing w:line="360" w:lineRule="auto"/>
        <w:ind w:firstLine="562" w:firstLineChars="200"/>
        <w:rPr>
          <w:rFonts w:ascii="仿宋" w:hAnsi="仿宋" w:eastAsia="仿宋"/>
          <w:b/>
          <w:bCs/>
          <w:sz w:val="28"/>
          <w:szCs w:val="28"/>
        </w:rPr>
      </w:pPr>
      <w:r>
        <w:rPr>
          <w:rFonts w:hint="eastAsia" w:ascii="仿宋" w:hAnsi="仿宋" w:eastAsia="仿宋"/>
          <w:b/>
          <w:bCs/>
          <w:sz w:val="28"/>
          <w:szCs w:val="28"/>
        </w:rPr>
        <w:t>（一）服务内容及范围：</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负责</w:t>
      </w:r>
      <w:r>
        <w:rPr>
          <w:rFonts w:hint="eastAsia" w:ascii="inherit" w:hAnsi="inherit" w:eastAsia="仿宋" w:cs="宋体"/>
          <w:kern w:val="0"/>
          <w:sz w:val="30"/>
          <w:szCs w:val="30"/>
        </w:rPr>
        <w:t>2021年0</w:t>
      </w:r>
      <w:r>
        <w:rPr>
          <w:rFonts w:hint="eastAsia" w:ascii="inherit" w:hAnsi="inherit" w:eastAsia="仿宋" w:cs="宋体"/>
          <w:kern w:val="0"/>
          <w:sz w:val="30"/>
          <w:szCs w:val="30"/>
          <w:lang w:val="en-US" w:eastAsia="zh-CN"/>
        </w:rPr>
        <w:t>7</w:t>
      </w:r>
      <w:r>
        <w:rPr>
          <w:rFonts w:hint="eastAsia" w:ascii="inherit" w:hAnsi="inherit" w:eastAsia="仿宋" w:cs="宋体"/>
          <w:kern w:val="0"/>
          <w:sz w:val="30"/>
          <w:szCs w:val="30"/>
        </w:rPr>
        <w:t>月01日—2022年0</w:t>
      </w:r>
      <w:r>
        <w:rPr>
          <w:rFonts w:hint="eastAsia" w:ascii="inherit" w:hAnsi="inherit" w:eastAsia="仿宋" w:cs="宋体"/>
          <w:kern w:val="0"/>
          <w:sz w:val="30"/>
          <w:szCs w:val="30"/>
          <w:lang w:val="en-US" w:eastAsia="zh-CN"/>
        </w:rPr>
        <w:t>6</w:t>
      </w:r>
      <w:r>
        <w:rPr>
          <w:rFonts w:hint="eastAsia" w:ascii="inherit" w:hAnsi="inherit" w:eastAsia="仿宋" w:cs="宋体"/>
          <w:kern w:val="0"/>
          <w:sz w:val="30"/>
          <w:szCs w:val="30"/>
        </w:rPr>
        <w:t>月3</w:t>
      </w:r>
      <w:r>
        <w:rPr>
          <w:rFonts w:hint="eastAsia" w:ascii="inherit" w:hAnsi="inherit" w:eastAsia="仿宋" w:cs="宋体"/>
          <w:kern w:val="0"/>
          <w:sz w:val="30"/>
          <w:szCs w:val="30"/>
          <w:lang w:val="en-US" w:eastAsia="zh-CN"/>
        </w:rPr>
        <w:t>0</w:t>
      </w:r>
      <w:r>
        <w:rPr>
          <w:rFonts w:hint="eastAsia" w:ascii="inherit" w:hAnsi="inherit" w:eastAsia="仿宋" w:cs="宋体"/>
          <w:kern w:val="0"/>
          <w:sz w:val="30"/>
          <w:szCs w:val="30"/>
        </w:rPr>
        <w:t>日</w:t>
      </w:r>
      <w:r>
        <w:rPr>
          <w:rFonts w:hint="eastAsia" w:ascii="仿宋" w:hAnsi="仿宋" w:eastAsia="仿宋"/>
          <w:sz w:val="28"/>
          <w:szCs w:val="28"/>
        </w:rPr>
        <w:t>创新港173部三菱电梯维保工作。</w:t>
      </w:r>
    </w:p>
    <w:p>
      <w:pPr>
        <w:spacing w:line="360" w:lineRule="auto"/>
        <w:ind w:firstLine="562" w:firstLineChars="200"/>
        <w:rPr>
          <w:rFonts w:ascii="仿宋" w:hAnsi="仿宋" w:eastAsia="仿宋"/>
          <w:b/>
          <w:bCs/>
          <w:sz w:val="28"/>
          <w:szCs w:val="28"/>
        </w:rPr>
      </w:pPr>
      <w:r>
        <w:rPr>
          <w:rFonts w:hint="eastAsia" w:ascii="仿宋" w:hAnsi="仿宋" w:eastAsia="仿宋"/>
          <w:b/>
          <w:bCs/>
          <w:sz w:val="28"/>
          <w:szCs w:val="28"/>
        </w:rPr>
        <w:t>注：投标人运行维护服务必须符合国家相应标准；</w:t>
      </w:r>
    </w:p>
    <w:p>
      <w:pPr>
        <w:numPr>
          <w:ilvl w:val="0"/>
          <w:numId w:val="3"/>
        </w:numPr>
        <w:tabs>
          <w:tab w:val="left" w:pos="516"/>
        </w:tabs>
        <w:spacing w:line="360" w:lineRule="auto"/>
        <w:ind w:firstLine="562" w:firstLineChars="200"/>
        <w:rPr>
          <w:rFonts w:ascii="仿宋" w:hAnsi="仿宋" w:eastAsia="仿宋"/>
          <w:b/>
          <w:bCs/>
          <w:sz w:val="28"/>
          <w:szCs w:val="28"/>
        </w:rPr>
      </w:pPr>
      <w:r>
        <w:rPr>
          <w:rFonts w:hint="eastAsia" w:ascii="仿宋" w:hAnsi="仿宋" w:eastAsia="仿宋"/>
          <w:b/>
          <w:bCs/>
          <w:sz w:val="28"/>
          <w:szCs w:val="28"/>
        </w:rPr>
        <w:t>技术性需求</w:t>
      </w:r>
    </w:p>
    <w:p>
      <w:pPr>
        <w:spacing w:line="360" w:lineRule="auto"/>
        <w:ind w:firstLine="562" w:firstLineChars="200"/>
        <w:rPr>
          <w:rFonts w:ascii="仿宋" w:hAnsi="仿宋" w:eastAsia="仿宋"/>
          <w:b/>
          <w:bCs/>
          <w:color w:val="FF0000"/>
          <w:sz w:val="28"/>
          <w:szCs w:val="28"/>
        </w:rPr>
      </w:pPr>
      <w:r>
        <w:rPr>
          <w:rFonts w:hint="eastAsia" w:ascii="仿宋" w:hAnsi="仿宋" w:eastAsia="仿宋"/>
          <w:b/>
          <w:bCs/>
          <w:sz w:val="28"/>
          <w:szCs w:val="28"/>
        </w:rPr>
        <w:t>1、国家和地方相关规范</w:t>
      </w:r>
    </w:p>
    <w:p>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（1）TSG-T5002-2017(电梯使用管理与维护保养规则)；</w:t>
      </w:r>
    </w:p>
    <w:p>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（2）TSG-T7001-2009(电梯监督检验和定期检验规则)；</w:t>
      </w:r>
    </w:p>
    <w:p>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（3）GB/T 10058-2009（电梯技术条件）；</w:t>
      </w:r>
    </w:p>
    <w:p>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（4）GB/T-24474-2009（电梯乘运质量检测）；</w:t>
      </w:r>
    </w:p>
    <w:p>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（5）GB 24804-2009（提高再用电梯安全性规范）；</w:t>
      </w:r>
    </w:p>
    <w:p>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（6）GB/T 18775-2009 （电梯自动扶梯和人行道维修规范）；</w:t>
      </w:r>
    </w:p>
    <w:p>
      <w:pPr>
        <w:numPr>
          <w:ilvl w:val="0"/>
          <w:numId w:val="4"/>
        </w:numPr>
        <w:spacing w:line="360" w:lineRule="auto"/>
        <w:ind w:firstLine="562" w:firstLineChars="200"/>
        <w:rPr>
          <w:rFonts w:hint="eastAsia" w:ascii="inherit" w:hAnsi="inherit" w:eastAsia="仿宋" w:cs="宋体"/>
          <w:b/>
          <w:bCs/>
          <w:kern w:val="0"/>
          <w:sz w:val="28"/>
          <w:szCs w:val="28"/>
        </w:rPr>
      </w:pPr>
      <w:r>
        <w:rPr>
          <w:rFonts w:hint="eastAsia" w:ascii="inherit" w:hAnsi="inherit" w:eastAsia="仿宋" w:cs="宋体"/>
          <w:b/>
          <w:bCs/>
          <w:kern w:val="0"/>
          <w:sz w:val="28"/>
          <w:szCs w:val="28"/>
        </w:rPr>
        <w:t>设备清单</w:t>
      </w:r>
    </w:p>
    <w:tbl>
      <w:tblPr>
        <w:tblStyle w:val="7"/>
        <w:tblW w:w="7662" w:type="dxa"/>
        <w:jc w:val="center"/>
        <w:tblLayout w:type="fixed"/>
        <w:tblCellMar>
          <w:top w:w="15" w:type="dxa"/>
          <w:left w:w="15" w:type="dxa"/>
          <w:bottom w:w="15" w:type="dxa"/>
          <w:right w:w="15" w:type="dxa"/>
        </w:tblCellMar>
      </w:tblPr>
      <w:tblGrid>
        <w:gridCol w:w="905"/>
        <w:gridCol w:w="1791"/>
        <w:gridCol w:w="1139"/>
        <w:gridCol w:w="1134"/>
        <w:gridCol w:w="1134"/>
        <w:gridCol w:w="850"/>
        <w:gridCol w:w="709"/>
      </w:tblGrid>
      <w:tr>
        <w:tblPrEx>
          <w:tblCellMar>
            <w:top w:w="15" w:type="dxa"/>
            <w:left w:w="15" w:type="dxa"/>
            <w:bottom w:w="15" w:type="dxa"/>
            <w:right w:w="15" w:type="dxa"/>
          </w:tblCellMar>
        </w:tblPrEx>
        <w:trPr>
          <w:trHeight w:val="615"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产品编号</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电梯型号</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Style w:val="18"/>
                <w:rFonts w:hint="default" w:ascii="仿宋" w:hAnsi="仿宋" w:eastAsia="仿宋" w:cs="仿宋"/>
                <w:color w:val="000000" w:themeColor="text1"/>
                <w14:textFill>
                  <w14:solidFill>
                    <w14:schemeClr w14:val="tx1"/>
                  </w14:solidFill>
                </w14:textFill>
              </w:rPr>
              <w:t>载重量</w:t>
            </w:r>
            <w:r>
              <w:rPr>
                <w:rStyle w:val="19"/>
                <w:rFonts w:hint="eastAsia" w:ascii="仿宋" w:hAnsi="仿宋" w:eastAsia="仿宋" w:cs="仿宋"/>
                <w:color w:val="000000" w:themeColor="text1"/>
                <w14:textFill>
                  <w14:solidFill>
                    <w14:schemeClr w14:val="tx1"/>
                  </w14:solidFill>
                </w14:textFill>
              </w:rPr>
              <w:t>(kg)</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Style w:val="19"/>
                <w:rFonts w:ascii="仿宋" w:hAnsi="仿宋" w:eastAsia="仿宋" w:cs="仿宋"/>
                <w:color w:val="000000" w:themeColor="text1"/>
                <w14:textFill>
                  <w14:solidFill>
                    <w14:schemeClr w14:val="tx1"/>
                  </w14:solidFill>
                </w14:textFill>
              </w:rPr>
            </w:pPr>
            <w:r>
              <w:rPr>
                <w:rStyle w:val="18"/>
                <w:rFonts w:hint="default" w:ascii="仿宋" w:hAnsi="仿宋" w:eastAsia="仿宋" w:cs="仿宋"/>
                <w:color w:val="000000" w:themeColor="text1"/>
                <w14:textFill>
                  <w14:solidFill>
                    <w14:schemeClr w14:val="tx1"/>
                  </w14:solidFill>
                </w14:textFill>
              </w:rPr>
              <w:t>速度</w:t>
            </w:r>
            <w:r>
              <w:rPr>
                <w:rStyle w:val="19"/>
                <w:rFonts w:hint="eastAsia" w:ascii="仿宋" w:hAnsi="仿宋" w:eastAsia="仿宋" w:cs="仿宋"/>
                <w:color w:val="000000" w:themeColor="text1"/>
                <w14:textFill>
                  <w14:solidFill>
                    <w14:schemeClr w14:val="tx1"/>
                  </w14:solidFill>
                </w14:textFill>
              </w:rPr>
              <w:t>(m/s)</w:t>
            </w:r>
          </w:p>
          <w:p>
            <w:pPr>
              <w:widowControl/>
              <w:jc w:val="center"/>
              <w:textAlignment w:val="center"/>
              <w:rPr>
                <w:rFonts w:ascii="仿宋" w:hAnsi="仿宋" w:eastAsia="仿宋" w:cs="仿宋"/>
                <w:color w:val="000000" w:themeColor="text1"/>
                <w:sz w:val="24"/>
                <w:szCs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层站</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数量</w:t>
            </w:r>
          </w:p>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（台）</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18MAX13-353-61/62</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82"/>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12/12</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18MAX13-351-54/56</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82"/>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8/8</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18MAX13-345-39/40</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82"/>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18MAX13-340-23/22</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18NEW20-116-47</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NEXWAY-S</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18NEW20-113-35</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NEXWAY-S</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18NEW20-103-18</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NEXWAY-S</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18NEW20-102-5</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NEXWAY-S</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18NEW20-105-38</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NEXWAY-S</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18NEW20-106-44</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NEXWAY-S</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18MAX13-347-42</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8/8</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18MAX13-347-44</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9/9</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18MAX13-347-46</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10/10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18MAX13-330-62/63</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18NEW20-120-11</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NEXWAY-S</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18MAX13-316-22/23/24/25</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18NEW20-131-48</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NEXWAY-S</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18MAX08-252-86</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18MAX13-361-81/82</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18MAL10-650-79/80</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MAXIEZ-LZ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18MAX13-359-72/73/75</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18MAX13-358-70/71/74</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14/14</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18MAX13-357-69/78</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18MAX13-356-67/68</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18MAX13-355-65/66</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18MAX13-354-63/64</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12/12</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18MAX13-352-57/60</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10/10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18MAX13-348-49/51/41</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8/8</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18MAX13-346-43</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8/8</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18MAX13-346-45</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10/10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18MAX13-344-30/31/6/7</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28</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18MAL06-212-83/84/85/86</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MAXIEZ-LZ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29</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18MAX13-332-66/67/68/69</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30</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18MAX13-329-60/61</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18MAX13-328-56/57</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18MAX13-320-35/36/37</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18MAX13-317-26/27</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33</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18MAX13-313-14</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34</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18MAX13-313-15</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18MAX13-312-13</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35</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18MAX13-312-12</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36</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18MAX13-309-6/16</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18NEW20-130-36</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18NEW20-129-33</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18NEW20-123-45</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NEXWAY-S</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38</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18MAX13-342-26/27</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18MAX13-338-14/15</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18MAX13-337-12/13</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18MAX13-336-10/11</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39</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18MAL13-652-87</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MAXIEZ-LZ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40</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18MAL10-651-83</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MAXIEZ-LZ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18MAL10-651-84</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MAXIEZ-LZ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42</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18MAX13-360-76/77</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15/15</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43</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18MAX13-350-55/53</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18MAX13-349-50/52</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8/8</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44</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18MAX13-343-28</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/29</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18MAX13-339-16/17</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18MAX13-335-8/9</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r>
      <w:tr>
        <w:tblPrEx>
          <w:tblCellMar>
            <w:top w:w="15" w:type="dxa"/>
            <w:left w:w="15" w:type="dxa"/>
            <w:bottom w:w="15" w:type="dxa"/>
            <w:right w:w="15" w:type="dxa"/>
          </w:tblCellMar>
        </w:tblPrEx>
        <w:trPr>
          <w:trHeight w:val="1328"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45</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18MAX13-325-51/52/53</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18MAX13-324-48/49/50</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46</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18MAL06-211-78/79/80/81</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18MAL06-210-77/82</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MAXIEZ-LZ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47</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18MAX13-323-46/47</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18MAX13-322-41/43</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18MAX13-321-40-42</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48</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18MAX13-318-30/31</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49</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18MAX13-333-4/5</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18MAX13-327-58/59</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18MAX13-326-54/55</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50</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18MAX13-314-17/19</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18MAX13-311-9</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52</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18MAX13-311-10</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19MAX13-331-64/65</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53</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18MAL06-208-72/73/76</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MAXIEZ-LZ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18MAX13-315-21</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18MAX13-310-8</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18MAX13-310-7</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56</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18NEW20-132-59</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18NEW20-117-58</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NEXWAY-S</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9/9</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57</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18NEW20-128-21</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18NEW20-108-1</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18NEW20-110-20</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18NEW20-114-37</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18ENW20-115-38</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18NEW20-126-3</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18NEW20-125-2</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NEXWAY-S</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58</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18NEW20-118-88</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18NEW20-133-39</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18NEW20-124-71</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NEXWAY-S</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59</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18NEW20-122-29</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18NEW20-121-20</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18NEW20-119-2</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18NEW20-111-32</w:t>
            </w:r>
          </w:p>
          <w:p>
            <w:pPr>
              <w:jc w:val="center"/>
              <w:rPr>
                <w:rFonts w:ascii="仿宋" w:hAnsi="仿宋" w:eastAsia="仿宋" w:cs="仿宋"/>
                <w:color w:val="000000" w:themeColor="text1"/>
                <w:sz w:val="24"/>
                <w:szCs w:val="24"/>
                <w14:textFill>
                  <w14:solidFill>
                    <w14:schemeClr w14:val="tx1"/>
                  </w14:solidFill>
                </w14:textFill>
              </w:rPr>
            </w:pP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NEXWAY-S</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60</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18NEW20-107-70</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NEXWAY-S</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61</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18MAX13-341-24/25</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62</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18NEW20-109-18</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18NEW20-111-32</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NEXWAY-S</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63</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18MAX13-319-32/33/34</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64</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18MAL06-209-74/75</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MAXIEZ-LZ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65</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18MAX13-308-3/4</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MAXIZE-CZ</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18NEW20-101-1</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18NEW20-104-28</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18NEW20-112-34</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NEXWAY-S</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33"/>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r>
      <w:tr>
        <w:tblPrEx>
          <w:tblCellMar>
            <w:top w:w="15" w:type="dxa"/>
            <w:left w:w="15" w:type="dxa"/>
            <w:bottom w:w="15" w:type="dxa"/>
            <w:right w:w="15" w:type="dxa"/>
          </w:tblCellMar>
        </w:tblPrEx>
        <w:trPr>
          <w:trHeight w:val="315" w:hRule="atLeast"/>
          <w:jc w:val="center"/>
        </w:trPr>
        <w:tc>
          <w:tcPr>
            <w:tcW w:w="6953"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0" w:firstLineChars="500"/>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合计（台）：</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173</w:t>
            </w:r>
          </w:p>
        </w:tc>
      </w:tr>
    </w:tbl>
    <w:p>
      <w:pPr>
        <w:spacing w:line="360" w:lineRule="auto"/>
        <w:ind w:firstLine="562" w:firstLineChars="200"/>
        <w:rPr>
          <w:rFonts w:hint="eastAsia" w:ascii="inherit" w:hAnsi="inherit" w:eastAsia="仿宋" w:cs="宋体"/>
          <w:color w:val="000000"/>
          <w:kern w:val="0"/>
          <w:sz w:val="30"/>
          <w:szCs w:val="30"/>
        </w:rPr>
      </w:pPr>
      <w:r>
        <w:rPr>
          <w:rFonts w:hint="eastAsia" w:ascii="仿宋" w:hAnsi="仿宋" w:eastAsia="仿宋"/>
          <w:b/>
          <w:sz w:val="28"/>
          <w:szCs w:val="28"/>
        </w:rPr>
        <w:t>（三）</w:t>
      </w:r>
      <w:r>
        <w:rPr>
          <w:rFonts w:ascii="仿宋" w:hAnsi="仿宋" w:eastAsia="仿宋"/>
          <w:b/>
          <w:sz w:val="28"/>
          <w:szCs w:val="28"/>
        </w:rPr>
        <w:t>采购标的数量、采购项目实施的时间和地点；</w:t>
      </w:r>
    </w:p>
    <w:p>
      <w:pPr>
        <w:spacing w:line="360" w:lineRule="auto"/>
        <w:ind w:firstLine="600" w:firstLineChars="200"/>
        <w:rPr>
          <w:rFonts w:hint="eastAsia" w:ascii="inherit" w:hAnsi="inherit" w:eastAsia="仿宋" w:cs="宋体"/>
          <w:color w:val="000000"/>
          <w:kern w:val="0"/>
          <w:sz w:val="30"/>
          <w:szCs w:val="30"/>
        </w:rPr>
      </w:pPr>
      <w:r>
        <w:rPr>
          <w:rFonts w:hint="eastAsia" w:ascii="inherit" w:hAnsi="inherit" w:eastAsia="仿宋" w:cs="宋体"/>
          <w:color w:val="000000"/>
          <w:kern w:val="0"/>
          <w:sz w:val="30"/>
          <w:szCs w:val="30"/>
        </w:rPr>
        <w:t>服务地点：</w:t>
      </w:r>
      <w:r>
        <w:rPr>
          <w:rFonts w:hint="eastAsia" w:ascii="仿宋" w:hAnsi="仿宋" w:eastAsia="仿宋"/>
          <w:sz w:val="28"/>
          <w:szCs w:val="28"/>
        </w:rPr>
        <w:t>创新港科教板块。</w:t>
      </w:r>
    </w:p>
    <w:p>
      <w:pPr>
        <w:spacing w:line="360" w:lineRule="auto"/>
        <w:ind w:firstLine="600" w:firstLineChars="200"/>
        <w:rPr>
          <w:rFonts w:hint="eastAsia" w:ascii="inherit" w:hAnsi="inherit" w:eastAsia="仿宋" w:cs="宋体"/>
          <w:color w:val="000000"/>
          <w:kern w:val="0"/>
          <w:sz w:val="30"/>
          <w:szCs w:val="30"/>
          <w:lang w:eastAsia="zh-CN"/>
        </w:rPr>
      </w:pPr>
      <w:r>
        <w:rPr>
          <w:rFonts w:hint="eastAsia" w:ascii="inherit" w:hAnsi="inherit" w:eastAsia="仿宋" w:cs="宋体"/>
          <w:color w:val="000000"/>
          <w:kern w:val="0"/>
          <w:sz w:val="30"/>
          <w:szCs w:val="30"/>
        </w:rPr>
        <w:t>服务时间：2021年0</w:t>
      </w:r>
      <w:r>
        <w:rPr>
          <w:rFonts w:hint="eastAsia" w:ascii="inherit" w:hAnsi="inherit" w:eastAsia="仿宋" w:cs="宋体"/>
          <w:color w:val="000000"/>
          <w:kern w:val="0"/>
          <w:sz w:val="30"/>
          <w:szCs w:val="30"/>
          <w:lang w:val="en-US" w:eastAsia="zh-CN"/>
        </w:rPr>
        <w:t>7</w:t>
      </w:r>
      <w:r>
        <w:rPr>
          <w:rFonts w:hint="eastAsia" w:ascii="inherit" w:hAnsi="inherit" w:eastAsia="仿宋" w:cs="宋体"/>
          <w:color w:val="000000"/>
          <w:kern w:val="0"/>
          <w:sz w:val="30"/>
          <w:szCs w:val="30"/>
        </w:rPr>
        <w:t>月01日—2022年0</w:t>
      </w:r>
      <w:r>
        <w:rPr>
          <w:rFonts w:hint="eastAsia" w:ascii="inherit" w:hAnsi="inherit" w:eastAsia="仿宋" w:cs="宋体"/>
          <w:color w:val="000000"/>
          <w:kern w:val="0"/>
          <w:sz w:val="30"/>
          <w:szCs w:val="30"/>
          <w:lang w:val="en-US" w:eastAsia="zh-CN"/>
        </w:rPr>
        <w:t>6</w:t>
      </w:r>
      <w:r>
        <w:rPr>
          <w:rFonts w:hint="eastAsia" w:ascii="inherit" w:hAnsi="inherit" w:eastAsia="仿宋" w:cs="宋体"/>
          <w:color w:val="000000"/>
          <w:kern w:val="0"/>
          <w:sz w:val="30"/>
          <w:szCs w:val="30"/>
        </w:rPr>
        <w:t>月3</w:t>
      </w:r>
      <w:r>
        <w:rPr>
          <w:rFonts w:hint="eastAsia" w:ascii="inherit" w:hAnsi="inherit" w:eastAsia="仿宋" w:cs="宋体"/>
          <w:color w:val="000000"/>
          <w:kern w:val="0"/>
          <w:sz w:val="30"/>
          <w:szCs w:val="30"/>
          <w:lang w:val="en-US" w:eastAsia="zh-CN"/>
        </w:rPr>
        <w:t>0</w:t>
      </w:r>
      <w:r>
        <w:rPr>
          <w:rFonts w:hint="eastAsia" w:ascii="inherit" w:hAnsi="inherit" w:eastAsia="仿宋" w:cs="宋体"/>
          <w:color w:val="000000"/>
          <w:kern w:val="0"/>
          <w:sz w:val="30"/>
          <w:szCs w:val="30"/>
        </w:rPr>
        <w:t>日</w:t>
      </w:r>
      <w:r>
        <w:rPr>
          <w:rFonts w:hint="eastAsia" w:ascii="inherit" w:hAnsi="inherit" w:eastAsia="仿宋" w:cs="宋体"/>
          <w:color w:val="000000"/>
          <w:kern w:val="0"/>
          <w:sz w:val="30"/>
          <w:szCs w:val="30"/>
          <w:lang w:eastAsia="zh-CN"/>
        </w:rPr>
        <w:t>。</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采购标的需满足的服务标准、</w:t>
      </w:r>
      <w:r>
        <w:rPr>
          <w:rFonts w:hint="eastAsia" w:ascii="仿宋" w:hAnsi="仿宋" w:eastAsia="仿宋"/>
          <w:b/>
          <w:sz w:val="28"/>
          <w:szCs w:val="28"/>
        </w:rPr>
        <w:t>响应时间及</w:t>
      </w:r>
      <w:r>
        <w:rPr>
          <w:rFonts w:ascii="仿宋" w:hAnsi="仿宋" w:eastAsia="仿宋"/>
          <w:b/>
          <w:sz w:val="28"/>
          <w:szCs w:val="28"/>
        </w:rPr>
        <w:t>效率等</w:t>
      </w:r>
      <w:r>
        <w:rPr>
          <w:rFonts w:hint="eastAsia" w:ascii="仿宋" w:hAnsi="仿宋" w:eastAsia="仿宋"/>
          <w:b/>
          <w:sz w:val="28"/>
          <w:szCs w:val="28"/>
        </w:rPr>
        <w:t>。</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 xml:space="preserve">投标人需保证电梯安全可靠、有序、舒适的运行。  </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每台电梯每月至少维保2次，每年至少维保25次，维保周期严格按照维保计划实行。</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投标人维保范围特别指出包括电梯的监控设备、井道照明机房照明及轿箱照明、设备及机房卫生、轿箱内贴纸。</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 xml:space="preserve">投标人负责办理年检相关手续，保证采购人电梯年检通过，年检费用由招标方负责，复检费用由投标人负责。 </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 xml:space="preserve">投标人负责监视电梯状态（运行异响、运行平稳度、运行次数、电梯所有部件外观及标签、安全贴纸、元器件老化程度等），如果发现任何异常应及时告知采购人，对影响电梯安全运行的问题应及时拿出可行性方案。 </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因电梯使用不当引发的电梯故障停梯，投标人应尽维修责任，尽快恢复电梯正常运行。</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电梯故障停梯时间不得超过24小时，如有特殊情况（电梯配件损坏需更换、发生事故需安全评估）停梯不得超过3天。</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 xml:space="preserve">由于投标人维保不当或失误造成的电梯损坏及由此产生的人身伤害赔偿、电梯维修费用等由投标人承担。 </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电梯被更换的所有零配件属采购人所有，能修复的机械配件由投标人负责维修，电子器件只更换不维修。</w:t>
      </w:r>
      <w:r>
        <w:rPr>
          <w:rFonts w:hint="eastAsia" w:ascii="仿宋" w:hAnsi="仿宋" w:eastAsia="仿宋" w:cs="仿宋"/>
          <w:sz w:val="30"/>
          <w:szCs w:val="30"/>
          <w:lang w:val="en-US" w:eastAsia="zh-CN"/>
        </w:rPr>
        <w:t>5</w:t>
      </w:r>
      <w:r>
        <w:rPr>
          <w:rFonts w:hint="eastAsia" w:ascii="仿宋" w:hAnsi="仿宋" w:eastAsia="仿宋" w:cs="仿宋"/>
          <w:sz w:val="30"/>
          <w:szCs w:val="30"/>
        </w:rPr>
        <w:t>00元以下（含</w:t>
      </w:r>
      <w:r>
        <w:rPr>
          <w:rFonts w:hint="eastAsia" w:ascii="仿宋" w:hAnsi="仿宋" w:eastAsia="仿宋" w:cs="仿宋"/>
          <w:sz w:val="30"/>
          <w:szCs w:val="30"/>
          <w:lang w:val="en-US" w:eastAsia="zh-CN"/>
        </w:rPr>
        <w:t>5</w:t>
      </w:r>
      <w:r>
        <w:rPr>
          <w:rFonts w:hint="eastAsia" w:ascii="仿宋" w:hAnsi="仿宋" w:eastAsia="仿宋" w:cs="仿宋"/>
          <w:sz w:val="30"/>
          <w:szCs w:val="30"/>
        </w:rPr>
        <w:t>00元）的配件更换由投标人负责相关费用，</w:t>
      </w:r>
      <w:r>
        <w:rPr>
          <w:rFonts w:hint="eastAsia" w:ascii="仿宋" w:hAnsi="仿宋" w:eastAsia="仿宋" w:cs="仿宋"/>
          <w:sz w:val="30"/>
          <w:szCs w:val="30"/>
          <w:lang w:val="en-US" w:eastAsia="zh-CN"/>
        </w:rPr>
        <w:t>5</w:t>
      </w:r>
      <w:r>
        <w:rPr>
          <w:rFonts w:hint="eastAsia" w:ascii="仿宋" w:hAnsi="仿宋" w:eastAsia="仿宋" w:cs="仿宋"/>
          <w:sz w:val="30"/>
          <w:szCs w:val="30"/>
        </w:rPr>
        <w:t>00元以上配件由投标人向采购人提出纸质申请，采购人同意后方可实施。</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投标人维保人员应在每月提供给采购人一份电梯运行及维保情况报告和维保计划（内容包含维保时间、维保项目、维保目的、维保达到效果、参加人员名单）。</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 xml:space="preserve">投标人维保人员在采购人区域内受到任何财产与人身伤害由投标人负责。 </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电梯保养人员要固定，有2年以上本现场相关型号电梯的维保工作经验，遵守职业道德。采购人有权要求调整不适合的维保人员。</w:t>
      </w:r>
    </w:p>
    <w:p>
      <w:pPr>
        <w:numPr>
          <w:ilvl w:val="0"/>
          <w:numId w:val="5"/>
        </w:numPr>
        <w:ind w:firstLine="600" w:firstLineChars="200"/>
        <w:rPr>
          <w:rFonts w:ascii="仿宋" w:hAnsi="仿宋" w:eastAsia="仿宋"/>
          <w:color w:val="FF0000"/>
          <w:sz w:val="28"/>
          <w:szCs w:val="28"/>
        </w:rPr>
      </w:pPr>
      <w:r>
        <w:rPr>
          <w:rFonts w:hint="eastAsia" w:ascii="仿宋" w:hAnsi="仿宋" w:eastAsia="仿宋" w:cs="仿宋"/>
          <w:sz w:val="30"/>
          <w:szCs w:val="30"/>
        </w:rPr>
        <w:t>投标人维保人员在采购人现场工作的，必须遵守采购人针对施工单位制定的所有制度，投标人应配合采购人组织的一切与电梯相关的工作，并提供技术支持。</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投标人在维护保养过程中，免费调换因保养不当而损坏的零部件；如因采购人管理、使用不当、人为损坏、不可抗力或非保养范围内的原因，而导致电梯设备零部件需要修理、更换的，投标人应进行报价，待采购人同意后，投标人应严格按照国家有关法规、规章、规定实施更换。</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投标人需提供24小时应急救援服务，且能在接到故障或事故报警后20分钟内到达现场，并能提供正常连续的服务直至故障或事故排除。对电梯困人事故要求在到达现场后第一时间内把乘客从轿厢中救出、除曳引机、控制柜、曳引钢丝绳部件损坏外，其他故障修复时间不超过3小时。</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投标人应提供详细的配件清单（含价格）。</w:t>
      </w:r>
    </w:p>
    <w:p>
      <w:pPr>
        <w:ind w:firstLine="602" w:firstLineChars="200"/>
        <w:rPr>
          <w:rFonts w:ascii="仿宋" w:hAnsi="仿宋" w:eastAsia="仿宋"/>
          <w:b/>
          <w:sz w:val="30"/>
          <w:szCs w:val="30"/>
        </w:rPr>
      </w:pPr>
      <w:r>
        <w:rPr>
          <w:rFonts w:hint="eastAsia" w:ascii="仿宋" w:hAnsi="仿宋" w:eastAsia="仿宋"/>
          <w:b/>
          <w:sz w:val="30"/>
          <w:szCs w:val="30"/>
        </w:rPr>
        <w:t>（五）</w:t>
      </w:r>
      <w:r>
        <w:rPr>
          <w:rFonts w:ascii="仿宋" w:hAnsi="仿宋" w:eastAsia="仿宋"/>
          <w:b/>
          <w:sz w:val="30"/>
          <w:szCs w:val="30"/>
        </w:rPr>
        <w:t>采购标的验收标准；</w:t>
      </w:r>
      <w:r>
        <w:rPr>
          <w:rFonts w:hint="eastAsia" w:ascii="仿宋" w:hAnsi="仿宋" w:eastAsia="仿宋"/>
          <w:b/>
          <w:sz w:val="30"/>
          <w:szCs w:val="30"/>
        </w:rPr>
        <w:t>（可</w:t>
      </w:r>
      <w:r>
        <w:rPr>
          <w:rFonts w:ascii="仿宋" w:hAnsi="仿宋" w:eastAsia="仿宋"/>
          <w:b/>
          <w:sz w:val="30"/>
          <w:szCs w:val="30"/>
        </w:rPr>
        <w:t>续</w:t>
      </w:r>
      <w:r>
        <w:rPr>
          <w:rFonts w:hint="eastAsia" w:ascii="仿宋" w:hAnsi="仿宋" w:eastAsia="仿宋"/>
          <w:b/>
          <w:sz w:val="30"/>
          <w:szCs w:val="30"/>
        </w:rPr>
        <w:t>行）</w:t>
      </w:r>
    </w:p>
    <w:p>
      <w:pPr>
        <w:ind w:firstLine="600" w:firstLineChars="200"/>
        <w:rPr>
          <w:rFonts w:ascii="仿宋" w:hAnsi="仿宋" w:eastAsia="仿宋"/>
          <w:sz w:val="30"/>
          <w:szCs w:val="30"/>
        </w:rPr>
      </w:pPr>
      <w:r>
        <w:rPr>
          <w:rFonts w:hint="eastAsia" w:ascii="仿宋" w:hAnsi="仿宋" w:eastAsia="仿宋"/>
          <w:sz w:val="30"/>
          <w:szCs w:val="30"/>
        </w:rPr>
        <w:t>考核办法见附件一。</w:t>
      </w:r>
    </w:p>
    <w:p>
      <w:pPr>
        <w:numPr>
          <w:ilvl w:val="0"/>
          <w:numId w:val="6"/>
        </w:numPr>
        <w:ind w:firstLine="602" w:firstLineChars="200"/>
        <w:rPr>
          <w:rFonts w:ascii="仿宋" w:hAnsi="仿宋" w:eastAsia="仿宋"/>
          <w:b/>
          <w:sz w:val="30"/>
          <w:szCs w:val="30"/>
        </w:rPr>
      </w:pPr>
      <w:r>
        <w:rPr>
          <w:rFonts w:ascii="仿宋" w:hAnsi="仿宋" w:eastAsia="仿宋"/>
          <w:b/>
          <w:sz w:val="30"/>
          <w:szCs w:val="30"/>
        </w:rPr>
        <w:t>采购标的其他技术、服务等要求。</w:t>
      </w:r>
    </w:p>
    <w:p>
      <w:pPr>
        <w:ind w:firstLine="602" w:firstLineChars="200"/>
        <w:rPr>
          <w:rFonts w:ascii="仿宋" w:hAnsi="仿宋" w:eastAsia="仿宋"/>
          <w:b/>
          <w:sz w:val="30"/>
          <w:szCs w:val="30"/>
        </w:rPr>
      </w:pPr>
      <w:r>
        <w:rPr>
          <w:rFonts w:hint="eastAsia" w:ascii="仿宋" w:hAnsi="仿宋" w:eastAsia="仿宋"/>
          <w:b/>
          <w:sz w:val="30"/>
          <w:szCs w:val="30"/>
        </w:rPr>
        <w:t>投标人资格：</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提供</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中华人民共和国特种设备安装改造修理许可证</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许可级别等于或高于B级。或提供</w:t>
      </w:r>
      <w:r>
        <w:rPr>
          <w:rFonts w:hint="eastAsia" w:ascii="仿宋" w:hAnsi="仿宋" w:eastAsia="仿宋" w:cs="仿宋"/>
          <w:sz w:val="30"/>
          <w:szCs w:val="30"/>
        </w:rPr>
        <w:t>《中华人民共和国特种设备生产许可证》</w:t>
      </w:r>
      <w:r>
        <w:rPr>
          <w:rFonts w:hint="eastAsia" w:ascii="仿宋" w:hAnsi="仿宋" w:eastAsia="仿宋" w:cs="仿宋"/>
          <w:sz w:val="30"/>
          <w:szCs w:val="30"/>
          <w:lang w:val="en-US" w:eastAsia="zh-CN"/>
        </w:rPr>
        <w:t>许可项目为</w:t>
      </w:r>
      <w:r>
        <w:rPr>
          <w:rFonts w:hint="eastAsia" w:ascii="仿宋" w:hAnsi="仿宋" w:eastAsia="仿宋" w:cs="仿宋"/>
          <w:sz w:val="30"/>
          <w:szCs w:val="30"/>
        </w:rPr>
        <w:t>电梯安装（含修理）</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许可参数级别等于或高于“≤2.5m/s”或许可参数级别为“—”</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参考TSG 07—2019特种设备生产和充装单位许可规则</w:t>
      </w:r>
      <w:r>
        <w:rPr>
          <w:rFonts w:hint="eastAsia" w:ascii="仿宋" w:hAnsi="仿宋" w:eastAsia="仿宋" w:cs="仿宋"/>
          <w:sz w:val="30"/>
          <w:szCs w:val="30"/>
          <w:lang w:eastAsia="zh-CN"/>
        </w:rPr>
        <w:t>）</w:t>
      </w:r>
      <w:bookmarkStart w:id="0" w:name="_GoBack"/>
      <w:bookmarkEnd w:id="0"/>
      <w:r>
        <w:rPr>
          <w:rFonts w:hint="eastAsia" w:ascii="仿宋" w:hAnsi="仿宋" w:eastAsia="仿宋" w:cs="仿宋"/>
          <w:sz w:val="30"/>
          <w:szCs w:val="30"/>
        </w:rPr>
        <w:t xml:space="preserve">                        </w:t>
      </w:r>
    </w:p>
    <w:p>
      <w:pPr>
        <w:ind w:firstLine="602" w:firstLineChars="200"/>
        <w:rPr>
          <w:rFonts w:hint="eastAsia" w:ascii="仿宋" w:hAnsi="仿宋" w:eastAsia="仿宋"/>
          <w:b/>
          <w:sz w:val="30"/>
          <w:szCs w:val="30"/>
          <w:lang w:eastAsia="zh-CN"/>
        </w:rPr>
      </w:pPr>
      <w:r>
        <w:rPr>
          <w:rFonts w:hint="eastAsia" w:ascii="仿宋" w:hAnsi="仿宋" w:eastAsia="仿宋"/>
          <w:b/>
          <w:sz w:val="30"/>
          <w:szCs w:val="30"/>
          <w:lang w:val="en-US" w:eastAsia="zh-CN"/>
        </w:rPr>
        <w:t>服务承诺：</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投标人须具有完备的售后服务保障体系,</w:t>
      </w:r>
      <w:r>
        <w:rPr>
          <w:rFonts w:hint="eastAsia" w:ascii="仿宋" w:hAnsi="仿宋" w:eastAsia="仿宋" w:cs="仿宋"/>
          <w:sz w:val="30"/>
          <w:szCs w:val="30"/>
          <w:lang w:eastAsia="zh-CN"/>
        </w:rPr>
        <w:t>中标单位需</w:t>
      </w:r>
      <w:r>
        <w:rPr>
          <w:rFonts w:hint="eastAsia" w:ascii="仿宋" w:hAnsi="仿宋" w:eastAsia="仿宋" w:cs="仿宋"/>
          <w:sz w:val="30"/>
          <w:szCs w:val="30"/>
        </w:rPr>
        <w:t>在校区或附近设立维保站驻点（应提供相应证明材料，不限于房屋租赁合同、办公场所照片以及常驻维修作业人员的操作证复印件等）；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textAlignment w:val="auto"/>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提供本公司24小时急修服务电话，并承诺接到电梯故障报修后派员20分钟内到达现场，除曳引机、控制柜、曳引钢丝绳部件损坏外，其他故障修复时间不超过3小时。</w:t>
      </w:r>
    </w:p>
    <w:p>
      <w:pPr>
        <w:numPr>
          <w:ilvl w:val="0"/>
          <w:numId w:val="6"/>
        </w:numPr>
        <w:ind w:firstLine="602" w:firstLineChars="200"/>
        <w:rPr>
          <w:rFonts w:ascii="仿宋" w:hAnsi="仿宋" w:eastAsia="仿宋"/>
          <w:b/>
          <w:sz w:val="30"/>
          <w:szCs w:val="30"/>
        </w:rPr>
      </w:pPr>
      <w:r>
        <w:rPr>
          <w:rFonts w:hint="eastAsia" w:ascii="仿宋" w:hAnsi="仿宋" w:eastAsia="仿宋"/>
          <w:b/>
          <w:sz w:val="30"/>
          <w:szCs w:val="30"/>
        </w:rPr>
        <w:t>付款方式</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w:t>
      </w:r>
      <w:r>
        <w:rPr>
          <w:rFonts w:hint="eastAsia" w:ascii="仿宋" w:hAnsi="仿宋" w:eastAsia="仿宋"/>
          <w:sz w:val="30"/>
          <w:szCs w:val="30"/>
        </w:rPr>
        <w:t>合同签订以后，中标人须交纳中标价款的5%作为履约保证金，合同期满采购人不计息退付。若由于中标人服务造成合同不满一年终止的，采购人将扣除全部履约保证金。</w:t>
      </w:r>
    </w:p>
    <w:p>
      <w:pPr>
        <w:adjustRightInd w:val="0"/>
        <w:snapToGrid w:val="0"/>
        <w:spacing w:line="360" w:lineRule="auto"/>
        <w:ind w:firstLine="600" w:firstLineChars="200"/>
        <w:rPr>
          <w:rFonts w:hint="eastAsia" w:ascii="inherit" w:hAnsi="inherit" w:eastAsia="仿宋" w:cs="宋体"/>
          <w:color w:val="000000"/>
          <w:kern w:val="0"/>
          <w:sz w:val="30"/>
          <w:szCs w:val="30"/>
        </w:rPr>
        <w:sectPr>
          <w:pgSz w:w="11906" w:h="16838"/>
          <w:pgMar w:top="1440" w:right="1800" w:bottom="1440" w:left="1800" w:header="851" w:footer="992" w:gutter="0"/>
          <w:cols w:space="425" w:num="1"/>
          <w:docGrid w:type="lines" w:linePitch="312" w:charSpace="0"/>
        </w:sectPr>
      </w:pPr>
      <w:r>
        <w:rPr>
          <w:rFonts w:hint="eastAsia" w:ascii="仿宋" w:hAnsi="仿宋" w:eastAsia="仿宋"/>
          <w:sz w:val="30"/>
          <w:szCs w:val="30"/>
        </w:rPr>
        <w:t>2</w:t>
      </w:r>
      <w:r>
        <w:rPr>
          <w:rFonts w:hint="eastAsia" w:ascii="仿宋" w:hAnsi="仿宋" w:eastAsia="仿宋"/>
          <w:sz w:val="30"/>
          <w:szCs w:val="30"/>
          <w:lang w:val="en-US" w:eastAsia="zh-CN"/>
        </w:rPr>
        <w:t>.</w:t>
      </w:r>
      <w:r>
        <w:rPr>
          <w:rFonts w:hint="eastAsia" w:ascii="仿宋" w:hAnsi="仿宋" w:eastAsia="仿宋"/>
          <w:sz w:val="30"/>
          <w:szCs w:val="30"/>
        </w:rPr>
        <w:t>根据季度考核的分数，考核分数在90分以上，按照季度全额拨付服务经费，如果分数在90到80之间扣除季度承包经费的5%，如果分数在80到70之间扣除季度承包经费的10%，如果分数在70到60之间扣除季度承包经费的20%，如果考核分数在60分以下解除承包合同。</w:t>
      </w:r>
      <w:r>
        <w:rPr>
          <w:rFonts w:hint="eastAsia" w:ascii="仿宋" w:hAnsi="仿宋" w:eastAsia="仿宋" w:cs="仿宋"/>
          <w:sz w:val="30"/>
          <w:szCs w:val="30"/>
        </w:rPr>
        <w:br w:type="page"/>
      </w:r>
    </w:p>
    <w:p>
      <w:pPr>
        <w:spacing w:line="440" w:lineRule="exact"/>
        <w:ind w:left="-899" w:leftChars="-428" w:right="-981" w:rightChars="-467" w:firstLine="562" w:firstLineChars="200"/>
        <w:rPr>
          <w:rFonts w:ascii="仿宋" w:hAnsi="仿宋" w:eastAsia="仿宋" w:cs="仿宋"/>
          <w:b/>
          <w:sz w:val="28"/>
          <w:szCs w:val="28"/>
        </w:rPr>
      </w:pPr>
      <w:r>
        <w:rPr>
          <w:rFonts w:hint="eastAsia" w:ascii="仿宋" w:hAnsi="仿宋" w:eastAsia="仿宋" w:cs="仿宋"/>
          <w:b/>
          <w:sz w:val="28"/>
          <w:szCs w:val="28"/>
        </w:rPr>
        <w:t>（八）附件：</w:t>
      </w:r>
    </w:p>
    <w:p>
      <w:pPr>
        <w:spacing w:line="440" w:lineRule="exact"/>
        <w:ind w:left="-899" w:leftChars="-428" w:right="-981" w:rightChars="-467" w:firstLine="880" w:firstLineChars="200"/>
        <w:jc w:val="center"/>
        <w:rPr>
          <w:rFonts w:ascii="黑体" w:hAnsi="黑体" w:eastAsia="黑体" w:cs="仿宋"/>
          <w:sz w:val="44"/>
          <w:szCs w:val="44"/>
        </w:rPr>
      </w:pPr>
      <w:r>
        <w:rPr>
          <w:rFonts w:hint="eastAsia" w:ascii="黑体" w:hAnsi="黑体" w:eastAsia="黑体" w:cs="仿宋"/>
          <w:sz w:val="44"/>
          <w:szCs w:val="44"/>
        </w:rPr>
        <w:t>电梯维护保养单位</w:t>
      </w:r>
      <w:r>
        <w:rPr>
          <w:rFonts w:hint="eastAsia" w:ascii="黑体" w:hAnsi="黑体" w:eastAsia="黑体" w:cs="仿宋"/>
          <w:sz w:val="44"/>
          <w:szCs w:val="44"/>
          <w:lang w:val="en-US" w:eastAsia="zh-CN"/>
        </w:rPr>
        <w:t>月</w:t>
      </w:r>
      <w:r>
        <w:rPr>
          <w:rFonts w:hint="eastAsia" w:ascii="黑体" w:hAnsi="黑体" w:eastAsia="黑体" w:cs="仿宋"/>
          <w:sz w:val="44"/>
          <w:szCs w:val="44"/>
        </w:rPr>
        <w:t>考评表</w:t>
      </w:r>
    </w:p>
    <w:tbl>
      <w:tblPr>
        <w:tblStyle w:val="7"/>
        <w:tblpPr w:leftFromText="180" w:rightFromText="180" w:vertAnchor="text" w:horzAnchor="page" w:tblpX="510" w:tblpY="541"/>
        <w:tblOverlap w:val="never"/>
        <w:tblW w:w="11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958"/>
        <w:gridCol w:w="295"/>
        <w:gridCol w:w="842"/>
        <w:gridCol w:w="1312"/>
        <w:gridCol w:w="1260"/>
        <w:gridCol w:w="2197"/>
        <w:gridCol w:w="761"/>
        <w:gridCol w:w="1378"/>
        <w:gridCol w:w="758"/>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6"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1253" w:type="dxa"/>
            <w:gridSpan w:val="2"/>
            <w:vAlign w:val="center"/>
          </w:tcPr>
          <w:p>
            <w:pPr>
              <w:jc w:val="center"/>
              <w:rPr>
                <w:rFonts w:ascii="仿宋" w:hAnsi="仿宋" w:eastAsia="仿宋" w:cs="仿宋"/>
                <w:sz w:val="28"/>
                <w:szCs w:val="28"/>
              </w:rPr>
            </w:pPr>
            <w:r>
              <w:rPr>
                <w:rFonts w:hint="eastAsia" w:ascii="仿宋" w:hAnsi="仿宋" w:eastAsia="仿宋" w:cs="仿宋"/>
                <w:sz w:val="28"/>
                <w:szCs w:val="28"/>
              </w:rPr>
              <w:t>考评项目</w:t>
            </w:r>
          </w:p>
        </w:tc>
        <w:tc>
          <w:tcPr>
            <w:tcW w:w="842" w:type="dxa"/>
            <w:vAlign w:val="center"/>
          </w:tcPr>
          <w:p>
            <w:pPr>
              <w:jc w:val="center"/>
              <w:rPr>
                <w:rFonts w:ascii="仿宋" w:hAnsi="仿宋" w:eastAsia="仿宋" w:cs="仿宋"/>
                <w:sz w:val="28"/>
                <w:szCs w:val="28"/>
              </w:rPr>
            </w:pPr>
            <w:r>
              <w:rPr>
                <w:rFonts w:hint="eastAsia" w:ascii="仿宋" w:hAnsi="仿宋" w:eastAsia="仿宋" w:cs="仿宋"/>
                <w:sz w:val="28"/>
                <w:szCs w:val="28"/>
              </w:rPr>
              <w:t>总分值</w:t>
            </w:r>
          </w:p>
        </w:tc>
        <w:tc>
          <w:tcPr>
            <w:tcW w:w="4769" w:type="dxa"/>
            <w:gridSpan w:val="3"/>
            <w:vAlign w:val="center"/>
          </w:tcPr>
          <w:p>
            <w:pPr>
              <w:jc w:val="center"/>
              <w:rPr>
                <w:rFonts w:ascii="仿宋" w:hAnsi="仿宋" w:eastAsia="仿宋" w:cs="仿宋"/>
                <w:sz w:val="28"/>
                <w:szCs w:val="28"/>
              </w:rPr>
            </w:pPr>
            <w:r>
              <w:rPr>
                <w:rFonts w:hint="eastAsia" w:ascii="仿宋" w:hAnsi="仿宋" w:eastAsia="仿宋" w:cs="仿宋"/>
                <w:sz w:val="28"/>
                <w:szCs w:val="28"/>
              </w:rPr>
              <w:t>项目内容</w:t>
            </w:r>
          </w:p>
        </w:tc>
        <w:tc>
          <w:tcPr>
            <w:tcW w:w="2139" w:type="dxa"/>
            <w:gridSpan w:val="2"/>
            <w:vAlign w:val="center"/>
          </w:tcPr>
          <w:p>
            <w:pPr>
              <w:jc w:val="center"/>
              <w:rPr>
                <w:rFonts w:ascii="仿宋" w:hAnsi="仿宋" w:eastAsia="仿宋" w:cs="仿宋"/>
                <w:sz w:val="28"/>
                <w:szCs w:val="28"/>
              </w:rPr>
            </w:pPr>
            <w:r>
              <w:rPr>
                <w:rFonts w:hint="eastAsia" w:ascii="仿宋" w:hAnsi="仿宋" w:eastAsia="仿宋" w:cs="仿宋"/>
                <w:sz w:val="28"/>
                <w:szCs w:val="28"/>
              </w:rPr>
              <w:t>考评情况</w:t>
            </w:r>
          </w:p>
        </w:tc>
        <w:tc>
          <w:tcPr>
            <w:tcW w:w="758" w:type="dxa"/>
            <w:vAlign w:val="center"/>
          </w:tcPr>
          <w:p>
            <w:pPr>
              <w:jc w:val="center"/>
              <w:rPr>
                <w:rFonts w:ascii="仿宋" w:hAnsi="仿宋" w:eastAsia="仿宋" w:cs="仿宋"/>
                <w:sz w:val="28"/>
                <w:szCs w:val="28"/>
              </w:rPr>
            </w:pPr>
            <w:r>
              <w:rPr>
                <w:rFonts w:hint="eastAsia" w:ascii="仿宋" w:hAnsi="仿宋" w:eastAsia="仿宋" w:cs="仿宋"/>
                <w:sz w:val="28"/>
                <w:szCs w:val="28"/>
              </w:rPr>
              <w:t>评分</w:t>
            </w:r>
          </w:p>
        </w:tc>
        <w:tc>
          <w:tcPr>
            <w:tcW w:w="855" w:type="dxa"/>
            <w:vAlign w:val="center"/>
          </w:tcPr>
          <w:p>
            <w:pPr>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496" w:type="dxa"/>
            <w:vAlign w:val="center"/>
          </w:tcPr>
          <w:p>
            <w:pPr>
              <w:jc w:val="center"/>
              <w:rPr>
                <w:rFonts w:ascii="仿宋" w:hAnsi="仿宋" w:eastAsia="仿宋" w:cs="仿宋"/>
                <w:sz w:val="24"/>
              </w:rPr>
            </w:pPr>
            <w:r>
              <w:rPr>
                <w:rFonts w:hint="eastAsia" w:ascii="仿宋" w:hAnsi="仿宋" w:eastAsia="仿宋" w:cs="仿宋"/>
                <w:sz w:val="24"/>
              </w:rPr>
              <w:t>1</w:t>
            </w:r>
          </w:p>
        </w:tc>
        <w:tc>
          <w:tcPr>
            <w:tcW w:w="1253" w:type="dxa"/>
            <w:gridSpan w:val="2"/>
            <w:vAlign w:val="center"/>
          </w:tcPr>
          <w:p>
            <w:pPr>
              <w:jc w:val="center"/>
              <w:rPr>
                <w:rFonts w:ascii="仿宋" w:hAnsi="仿宋" w:eastAsia="仿宋" w:cs="仿宋"/>
                <w:sz w:val="24"/>
              </w:rPr>
            </w:pPr>
            <w:r>
              <w:rPr>
                <w:rFonts w:hint="eastAsia" w:ascii="仿宋" w:hAnsi="仿宋" w:eastAsia="仿宋" w:cs="仿宋"/>
                <w:sz w:val="24"/>
              </w:rPr>
              <w:t>保养计划</w:t>
            </w:r>
          </w:p>
          <w:p>
            <w:pPr>
              <w:jc w:val="center"/>
              <w:rPr>
                <w:rFonts w:ascii="仿宋" w:hAnsi="仿宋" w:eastAsia="仿宋" w:cs="仿宋"/>
                <w:sz w:val="24"/>
              </w:rPr>
            </w:pPr>
            <w:r>
              <w:rPr>
                <w:rFonts w:hint="eastAsia" w:ascii="仿宋" w:hAnsi="仿宋" w:eastAsia="仿宋" w:cs="仿宋"/>
                <w:sz w:val="24"/>
              </w:rPr>
              <w:t>完成情况</w:t>
            </w:r>
          </w:p>
        </w:tc>
        <w:tc>
          <w:tcPr>
            <w:tcW w:w="842" w:type="dxa"/>
            <w:vAlign w:val="center"/>
          </w:tcPr>
          <w:p>
            <w:pPr>
              <w:jc w:val="center"/>
              <w:rPr>
                <w:rFonts w:ascii="仿宋" w:hAnsi="仿宋" w:eastAsia="仿宋" w:cs="仿宋"/>
                <w:sz w:val="24"/>
              </w:rPr>
            </w:pPr>
            <w:r>
              <w:rPr>
                <w:rFonts w:hint="eastAsia" w:ascii="仿宋" w:hAnsi="仿宋" w:eastAsia="仿宋" w:cs="仿宋"/>
                <w:sz w:val="24"/>
              </w:rPr>
              <w:t>15分</w:t>
            </w:r>
          </w:p>
        </w:tc>
        <w:tc>
          <w:tcPr>
            <w:tcW w:w="4769" w:type="dxa"/>
            <w:gridSpan w:val="3"/>
            <w:vAlign w:val="center"/>
          </w:tcPr>
          <w:p>
            <w:pPr>
              <w:ind w:left="360" w:hanging="360" w:hangingChars="150"/>
              <w:jc w:val="left"/>
              <w:rPr>
                <w:rFonts w:ascii="仿宋" w:hAnsi="仿宋" w:eastAsia="仿宋" w:cs="仿宋"/>
                <w:sz w:val="24"/>
              </w:rPr>
            </w:pPr>
            <w:r>
              <w:rPr>
                <w:rFonts w:hint="eastAsia" w:ascii="仿宋" w:hAnsi="仿宋" w:eastAsia="仿宋" w:cs="仿宋"/>
                <w:sz w:val="24"/>
              </w:rPr>
              <w:t>1、当月保养计划定期保养、整改、更换、改造、漏做一项扣5分</w:t>
            </w:r>
          </w:p>
          <w:p>
            <w:pPr>
              <w:jc w:val="left"/>
              <w:rPr>
                <w:rFonts w:ascii="仿宋" w:hAnsi="仿宋" w:eastAsia="仿宋" w:cs="仿宋"/>
                <w:sz w:val="24"/>
              </w:rPr>
            </w:pPr>
            <w:r>
              <w:rPr>
                <w:rFonts w:hint="eastAsia" w:ascii="仿宋" w:hAnsi="仿宋" w:eastAsia="仿宋" w:cs="仿宋"/>
                <w:sz w:val="24"/>
              </w:rPr>
              <w:t>2、每月25号前提供下月保养计划，不按时提供扣5分</w:t>
            </w:r>
          </w:p>
        </w:tc>
        <w:tc>
          <w:tcPr>
            <w:tcW w:w="2139" w:type="dxa"/>
            <w:gridSpan w:val="2"/>
            <w:vAlign w:val="center"/>
          </w:tcPr>
          <w:p>
            <w:pPr>
              <w:jc w:val="center"/>
              <w:rPr>
                <w:rFonts w:ascii="仿宋" w:hAnsi="仿宋" w:eastAsia="仿宋" w:cs="仿宋"/>
                <w:sz w:val="24"/>
              </w:rPr>
            </w:pPr>
          </w:p>
        </w:tc>
        <w:tc>
          <w:tcPr>
            <w:tcW w:w="758" w:type="dxa"/>
            <w:vAlign w:val="center"/>
          </w:tcPr>
          <w:p>
            <w:pPr>
              <w:jc w:val="center"/>
              <w:rPr>
                <w:rFonts w:ascii="仿宋" w:hAnsi="仿宋" w:eastAsia="仿宋" w:cs="仿宋"/>
                <w:sz w:val="24"/>
              </w:rPr>
            </w:pPr>
          </w:p>
        </w:tc>
        <w:tc>
          <w:tcPr>
            <w:tcW w:w="855"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96" w:type="dxa"/>
            <w:vAlign w:val="center"/>
          </w:tcPr>
          <w:p>
            <w:pPr>
              <w:jc w:val="center"/>
              <w:rPr>
                <w:rFonts w:ascii="仿宋" w:hAnsi="仿宋" w:eastAsia="仿宋" w:cs="仿宋"/>
                <w:sz w:val="24"/>
              </w:rPr>
            </w:pPr>
            <w:r>
              <w:rPr>
                <w:rFonts w:hint="eastAsia" w:ascii="仿宋" w:hAnsi="仿宋" w:eastAsia="仿宋" w:cs="仿宋"/>
                <w:sz w:val="24"/>
              </w:rPr>
              <w:t>2</w:t>
            </w:r>
          </w:p>
        </w:tc>
        <w:tc>
          <w:tcPr>
            <w:tcW w:w="1253" w:type="dxa"/>
            <w:gridSpan w:val="2"/>
            <w:vAlign w:val="center"/>
          </w:tcPr>
          <w:p>
            <w:pPr>
              <w:jc w:val="center"/>
              <w:rPr>
                <w:rFonts w:ascii="仿宋" w:hAnsi="仿宋" w:eastAsia="仿宋" w:cs="仿宋"/>
                <w:sz w:val="24"/>
              </w:rPr>
            </w:pPr>
            <w:r>
              <w:rPr>
                <w:rFonts w:hint="eastAsia" w:ascii="仿宋" w:hAnsi="仿宋" w:eastAsia="仿宋" w:cs="仿宋"/>
                <w:sz w:val="24"/>
              </w:rPr>
              <w:t>工作质量符合维保标准</w:t>
            </w:r>
          </w:p>
        </w:tc>
        <w:tc>
          <w:tcPr>
            <w:tcW w:w="842" w:type="dxa"/>
            <w:vAlign w:val="center"/>
          </w:tcPr>
          <w:p>
            <w:pPr>
              <w:jc w:val="center"/>
              <w:rPr>
                <w:rFonts w:ascii="仿宋" w:hAnsi="仿宋" w:eastAsia="仿宋" w:cs="仿宋"/>
                <w:sz w:val="24"/>
              </w:rPr>
            </w:pPr>
            <w:r>
              <w:rPr>
                <w:rFonts w:hint="eastAsia" w:ascii="仿宋" w:hAnsi="仿宋" w:eastAsia="仿宋" w:cs="仿宋"/>
                <w:sz w:val="24"/>
              </w:rPr>
              <w:t>25分</w:t>
            </w:r>
          </w:p>
        </w:tc>
        <w:tc>
          <w:tcPr>
            <w:tcW w:w="4769" w:type="dxa"/>
            <w:gridSpan w:val="3"/>
            <w:vAlign w:val="center"/>
          </w:tcPr>
          <w:p>
            <w:pPr>
              <w:jc w:val="left"/>
              <w:rPr>
                <w:rFonts w:ascii="仿宋" w:hAnsi="仿宋" w:eastAsia="仿宋" w:cs="仿宋"/>
                <w:sz w:val="24"/>
              </w:rPr>
            </w:pPr>
            <w:r>
              <w:rPr>
                <w:rFonts w:hint="eastAsia" w:ascii="仿宋" w:hAnsi="仿宋" w:eastAsia="仿宋" w:cs="仿宋"/>
                <w:sz w:val="24"/>
              </w:rPr>
              <w:t>电梯定期保养项目内容（清洁、检查、润滑、调整），发现一处不合格扣5分</w:t>
            </w:r>
          </w:p>
        </w:tc>
        <w:tc>
          <w:tcPr>
            <w:tcW w:w="2139" w:type="dxa"/>
            <w:gridSpan w:val="2"/>
            <w:vAlign w:val="center"/>
          </w:tcPr>
          <w:p>
            <w:pPr>
              <w:jc w:val="center"/>
              <w:rPr>
                <w:rFonts w:ascii="仿宋" w:hAnsi="仿宋" w:eastAsia="仿宋" w:cs="仿宋"/>
                <w:sz w:val="24"/>
              </w:rPr>
            </w:pPr>
          </w:p>
        </w:tc>
        <w:tc>
          <w:tcPr>
            <w:tcW w:w="758" w:type="dxa"/>
            <w:vAlign w:val="center"/>
          </w:tcPr>
          <w:p>
            <w:pPr>
              <w:jc w:val="center"/>
              <w:rPr>
                <w:rFonts w:ascii="仿宋" w:hAnsi="仿宋" w:eastAsia="仿宋" w:cs="仿宋"/>
                <w:sz w:val="24"/>
              </w:rPr>
            </w:pPr>
          </w:p>
        </w:tc>
        <w:tc>
          <w:tcPr>
            <w:tcW w:w="855"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496" w:type="dxa"/>
            <w:vAlign w:val="center"/>
          </w:tcPr>
          <w:p>
            <w:pPr>
              <w:jc w:val="center"/>
              <w:rPr>
                <w:rFonts w:ascii="仿宋" w:hAnsi="仿宋" w:eastAsia="仿宋" w:cs="仿宋"/>
                <w:sz w:val="24"/>
              </w:rPr>
            </w:pPr>
            <w:r>
              <w:rPr>
                <w:rFonts w:hint="eastAsia" w:ascii="仿宋" w:hAnsi="仿宋" w:eastAsia="仿宋" w:cs="仿宋"/>
                <w:sz w:val="24"/>
              </w:rPr>
              <w:t>3</w:t>
            </w:r>
          </w:p>
        </w:tc>
        <w:tc>
          <w:tcPr>
            <w:tcW w:w="1253" w:type="dxa"/>
            <w:gridSpan w:val="2"/>
            <w:vAlign w:val="center"/>
          </w:tcPr>
          <w:p>
            <w:pPr>
              <w:jc w:val="center"/>
              <w:rPr>
                <w:rFonts w:ascii="仿宋" w:hAnsi="仿宋" w:eastAsia="仿宋" w:cs="仿宋"/>
                <w:sz w:val="24"/>
              </w:rPr>
            </w:pPr>
            <w:r>
              <w:rPr>
                <w:rFonts w:hint="eastAsia" w:ascii="仿宋" w:hAnsi="仿宋" w:eastAsia="仿宋" w:cs="仿宋"/>
                <w:sz w:val="24"/>
              </w:rPr>
              <w:t>故障处理</w:t>
            </w:r>
          </w:p>
          <w:p>
            <w:pPr>
              <w:jc w:val="center"/>
              <w:rPr>
                <w:rFonts w:ascii="仿宋" w:hAnsi="仿宋" w:eastAsia="仿宋" w:cs="仿宋"/>
                <w:sz w:val="24"/>
              </w:rPr>
            </w:pPr>
            <w:r>
              <w:rPr>
                <w:rFonts w:hint="eastAsia" w:ascii="仿宋" w:hAnsi="仿宋" w:eastAsia="仿宋" w:cs="仿宋"/>
                <w:sz w:val="24"/>
              </w:rPr>
              <w:t>及时</w:t>
            </w:r>
          </w:p>
        </w:tc>
        <w:tc>
          <w:tcPr>
            <w:tcW w:w="842" w:type="dxa"/>
            <w:vAlign w:val="center"/>
          </w:tcPr>
          <w:p>
            <w:pPr>
              <w:jc w:val="center"/>
              <w:rPr>
                <w:rFonts w:ascii="仿宋" w:hAnsi="仿宋" w:eastAsia="仿宋" w:cs="仿宋"/>
                <w:sz w:val="24"/>
              </w:rPr>
            </w:pPr>
            <w:r>
              <w:rPr>
                <w:rFonts w:hint="eastAsia" w:ascii="仿宋" w:hAnsi="仿宋" w:eastAsia="仿宋" w:cs="仿宋"/>
                <w:sz w:val="24"/>
              </w:rPr>
              <w:t>20分</w:t>
            </w:r>
          </w:p>
        </w:tc>
        <w:tc>
          <w:tcPr>
            <w:tcW w:w="4769" w:type="dxa"/>
            <w:gridSpan w:val="3"/>
            <w:vAlign w:val="center"/>
          </w:tcPr>
          <w:p>
            <w:pPr>
              <w:jc w:val="left"/>
              <w:rPr>
                <w:rFonts w:ascii="仿宋" w:hAnsi="仿宋" w:eastAsia="仿宋" w:cs="仿宋"/>
                <w:sz w:val="24"/>
              </w:rPr>
            </w:pPr>
            <w:r>
              <w:rPr>
                <w:rFonts w:hint="eastAsia" w:ascii="仿宋" w:hAnsi="仿宋" w:eastAsia="仿宋" w:cs="仿宋"/>
                <w:sz w:val="24"/>
              </w:rPr>
              <w:t>及时到达现场处理故障，20分钟内到达现场，每次超过二分钟扣5分，维保责任人事故按合同考核</w:t>
            </w:r>
          </w:p>
        </w:tc>
        <w:tc>
          <w:tcPr>
            <w:tcW w:w="2139" w:type="dxa"/>
            <w:gridSpan w:val="2"/>
            <w:vAlign w:val="center"/>
          </w:tcPr>
          <w:p>
            <w:pPr>
              <w:jc w:val="center"/>
              <w:rPr>
                <w:rFonts w:ascii="仿宋" w:hAnsi="仿宋" w:eastAsia="仿宋" w:cs="仿宋"/>
                <w:sz w:val="24"/>
              </w:rPr>
            </w:pPr>
          </w:p>
        </w:tc>
        <w:tc>
          <w:tcPr>
            <w:tcW w:w="758" w:type="dxa"/>
            <w:vAlign w:val="center"/>
          </w:tcPr>
          <w:p>
            <w:pPr>
              <w:jc w:val="center"/>
              <w:rPr>
                <w:rFonts w:ascii="仿宋" w:hAnsi="仿宋" w:eastAsia="仿宋" w:cs="仿宋"/>
                <w:sz w:val="24"/>
              </w:rPr>
            </w:pPr>
          </w:p>
        </w:tc>
        <w:tc>
          <w:tcPr>
            <w:tcW w:w="855"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96" w:type="dxa"/>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4</w:t>
            </w:r>
          </w:p>
        </w:tc>
        <w:tc>
          <w:tcPr>
            <w:tcW w:w="1253" w:type="dxa"/>
            <w:gridSpan w:val="2"/>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安全运行</w:t>
            </w:r>
          </w:p>
        </w:tc>
        <w:tc>
          <w:tcPr>
            <w:tcW w:w="842" w:type="dxa"/>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25分</w:t>
            </w:r>
          </w:p>
        </w:tc>
        <w:tc>
          <w:tcPr>
            <w:tcW w:w="4769" w:type="dxa"/>
            <w:gridSpan w:val="3"/>
            <w:tcBorders>
              <w:bottom w:val="single" w:color="auto" w:sz="4" w:space="0"/>
            </w:tcBorders>
            <w:vAlign w:val="center"/>
          </w:tcPr>
          <w:p>
            <w:pPr>
              <w:jc w:val="left"/>
              <w:rPr>
                <w:rFonts w:ascii="仿宋" w:hAnsi="仿宋" w:eastAsia="仿宋" w:cs="仿宋"/>
                <w:sz w:val="24"/>
              </w:rPr>
            </w:pPr>
            <w:r>
              <w:rPr>
                <w:rFonts w:hint="eastAsia" w:ascii="仿宋" w:hAnsi="仿宋" w:eastAsia="仿宋" w:cs="仿宋"/>
                <w:sz w:val="24"/>
              </w:rPr>
              <w:t>1、维保时违反安全规程、发生安全事故一次扣25分</w:t>
            </w:r>
          </w:p>
          <w:p>
            <w:pPr>
              <w:jc w:val="left"/>
              <w:rPr>
                <w:rFonts w:ascii="仿宋" w:hAnsi="仿宋" w:eastAsia="仿宋" w:cs="仿宋"/>
                <w:sz w:val="24"/>
              </w:rPr>
            </w:pPr>
            <w:r>
              <w:rPr>
                <w:rFonts w:hint="eastAsia" w:ascii="仿宋" w:hAnsi="仿宋" w:eastAsia="仿宋" w:cs="仿宋"/>
                <w:sz w:val="24"/>
              </w:rPr>
              <w:t>2、存在安全隐患不及时整改一次扣10分</w:t>
            </w:r>
          </w:p>
          <w:p>
            <w:pPr>
              <w:ind w:left="-67" w:leftChars="-32" w:firstLine="120" w:firstLineChars="50"/>
              <w:jc w:val="left"/>
              <w:rPr>
                <w:rFonts w:ascii="仿宋" w:hAnsi="仿宋" w:eastAsia="仿宋" w:cs="仿宋"/>
                <w:sz w:val="24"/>
              </w:rPr>
            </w:pPr>
            <w:r>
              <w:rPr>
                <w:rFonts w:hint="eastAsia" w:ascii="仿宋" w:hAnsi="仿宋" w:eastAsia="仿宋" w:cs="仿宋"/>
                <w:sz w:val="24"/>
              </w:rPr>
              <w:t>3、当月同一部电梯运行发生2次及以上非外因困人事件，每次扣10分，并根据事故情况按合同条款执行。</w:t>
            </w:r>
          </w:p>
        </w:tc>
        <w:tc>
          <w:tcPr>
            <w:tcW w:w="2139" w:type="dxa"/>
            <w:gridSpan w:val="2"/>
            <w:tcBorders>
              <w:bottom w:val="single" w:color="auto" w:sz="4" w:space="0"/>
            </w:tcBorders>
            <w:vAlign w:val="center"/>
          </w:tcPr>
          <w:p>
            <w:pPr>
              <w:jc w:val="center"/>
              <w:rPr>
                <w:rFonts w:ascii="仿宋" w:hAnsi="仿宋" w:eastAsia="仿宋" w:cs="仿宋"/>
                <w:sz w:val="24"/>
              </w:rPr>
            </w:pPr>
          </w:p>
        </w:tc>
        <w:tc>
          <w:tcPr>
            <w:tcW w:w="758" w:type="dxa"/>
            <w:tcBorders>
              <w:bottom w:val="single" w:color="auto" w:sz="4" w:space="0"/>
            </w:tcBorders>
            <w:vAlign w:val="center"/>
          </w:tcPr>
          <w:p>
            <w:pPr>
              <w:jc w:val="center"/>
              <w:rPr>
                <w:rFonts w:ascii="仿宋" w:hAnsi="仿宋" w:eastAsia="仿宋" w:cs="仿宋"/>
                <w:sz w:val="24"/>
              </w:rPr>
            </w:pPr>
          </w:p>
        </w:tc>
        <w:tc>
          <w:tcPr>
            <w:tcW w:w="855" w:type="dxa"/>
            <w:tcBorders>
              <w:bottom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496" w:type="dxa"/>
            <w:vAlign w:val="center"/>
          </w:tcPr>
          <w:p>
            <w:pPr>
              <w:jc w:val="center"/>
              <w:rPr>
                <w:rFonts w:ascii="仿宋" w:hAnsi="仿宋" w:eastAsia="仿宋" w:cs="仿宋"/>
                <w:sz w:val="24"/>
              </w:rPr>
            </w:pPr>
            <w:r>
              <w:rPr>
                <w:rFonts w:hint="eastAsia" w:ascii="仿宋" w:hAnsi="仿宋" w:eastAsia="仿宋" w:cs="仿宋"/>
                <w:sz w:val="24"/>
              </w:rPr>
              <w:t>5</w:t>
            </w:r>
          </w:p>
        </w:tc>
        <w:tc>
          <w:tcPr>
            <w:tcW w:w="1253" w:type="dxa"/>
            <w:gridSpan w:val="2"/>
            <w:vAlign w:val="center"/>
          </w:tcPr>
          <w:p>
            <w:pPr>
              <w:jc w:val="center"/>
              <w:rPr>
                <w:rFonts w:ascii="仿宋" w:hAnsi="仿宋" w:eastAsia="仿宋" w:cs="仿宋"/>
                <w:sz w:val="24"/>
              </w:rPr>
            </w:pPr>
            <w:r>
              <w:rPr>
                <w:rFonts w:hint="eastAsia" w:ascii="仿宋" w:hAnsi="仿宋" w:eastAsia="仿宋" w:cs="仿宋"/>
                <w:sz w:val="24"/>
              </w:rPr>
              <w:t>原始记录真实有效、齐全</w:t>
            </w:r>
          </w:p>
        </w:tc>
        <w:tc>
          <w:tcPr>
            <w:tcW w:w="842" w:type="dxa"/>
            <w:vAlign w:val="center"/>
          </w:tcPr>
          <w:p>
            <w:pPr>
              <w:jc w:val="center"/>
              <w:rPr>
                <w:rFonts w:ascii="仿宋" w:hAnsi="仿宋" w:eastAsia="仿宋" w:cs="仿宋"/>
                <w:sz w:val="24"/>
              </w:rPr>
            </w:pPr>
            <w:r>
              <w:rPr>
                <w:rFonts w:hint="eastAsia" w:ascii="仿宋" w:hAnsi="仿宋" w:eastAsia="仿宋" w:cs="仿宋"/>
                <w:sz w:val="24"/>
              </w:rPr>
              <w:t>5分</w:t>
            </w:r>
          </w:p>
        </w:tc>
        <w:tc>
          <w:tcPr>
            <w:tcW w:w="4769" w:type="dxa"/>
            <w:gridSpan w:val="3"/>
            <w:vAlign w:val="center"/>
          </w:tcPr>
          <w:p>
            <w:pPr>
              <w:jc w:val="left"/>
              <w:rPr>
                <w:rFonts w:ascii="仿宋" w:hAnsi="仿宋" w:eastAsia="仿宋" w:cs="仿宋"/>
                <w:sz w:val="24"/>
              </w:rPr>
            </w:pPr>
            <w:r>
              <w:rPr>
                <w:rFonts w:hint="eastAsia" w:ascii="仿宋" w:hAnsi="仿宋" w:eastAsia="仿宋" w:cs="仿宋"/>
                <w:sz w:val="24"/>
              </w:rPr>
              <w:t>1、维保记录按规定填写，且与实际工作相符，每次维保结束及时向管理处提供，缺少一项记录扣5分</w:t>
            </w:r>
          </w:p>
          <w:p>
            <w:pPr>
              <w:jc w:val="left"/>
              <w:rPr>
                <w:rFonts w:ascii="仿宋" w:hAnsi="仿宋" w:eastAsia="仿宋" w:cs="仿宋"/>
                <w:sz w:val="24"/>
              </w:rPr>
            </w:pPr>
            <w:r>
              <w:rPr>
                <w:rFonts w:hint="eastAsia" w:ascii="仿宋" w:hAnsi="仿宋" w:eastAsia="仿宋" w:cs="仿宋"/>
                <w:sz w:val="24"/>
              </w:rPr>
              <w:t>2、记录不真实发现一次扣2分</w:t>
            </w:r>
          </w:p>
        </w:tc>
        <w:tc>
          <w:tcPr>
            <w:tcW w:w="2139" w:type="dxa"/>
            <w:gridSpan w:val="2"/>
            <w:vAlign w:val="center"/>
          </w:tcPr>
          <w:p>
            <w:pPr>
              <w:jc w:val="center"/>
              <w:rPr>
                <w:rFonts w:ascii="仿宋" w:hAnsi="仿宋" w:eastAsia="仿宋" w:cs="仿宋"/>
                <w:sz w:val="24"/>
              </w:rPr>
            </w:pPr>
          </w:p>
        </w:tc>
        <w:tc>
          <w:tcPr>
            <w:tcW w:w="758" w:type="dxa"/>
            <w:vAlign w:val="center"/>
          </w:tcPr>
          <w:p>
            <w:pPr>
              <w:jc w:val="center"/>
              <w:rPr>
                <w:rFonts w:ascii="仿宋" w:hAnsi="仿宋" w:eastAsia="仿宋" w:cs="仿宋"/>
                <w:sz w:val="24"/>
              </w:rPr>
            </w:pPr>
          </w:p>
        </w:tc>
        <w:tc>
          <w:tcPr>
            <w:tcW w:w="855"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496" w:type="dxa"/>
            <w:vAlign w:val="center"/>
          </w:tcPr>
          <w:p>
            <w:pPr>
              <w:jc w:val="center"/>
              <w:rPr>
                <w:rFonts w:ascii="仿宋" w:hAnsi="仿宋" w:eastAsia="仿宋" w:cs="仿宋"/>
                <w:sz w:val="24"/>
              </w:rPr>
            </w:pPr>
            <w:r>
              <w:rPr>
                <w:rFonts w:hint="eastAsia" w:ascii="仿宋" w:hAnsi="仿宋" w:eastAsia="仿宋" w:cs="仿宋"/>
                <w:sz w:val="24"/>
              </w:rPr>
              <w:t>6</w:t>
            </w:r>
          </w:p>
        </w:tc>
        <w:tc>
          <w:tcPr>
            <w:tcW w:w="1253" w:type="dxa"/>
            <w:gridSpan w:val="2"/>
            <w:vAlign w:val="center"/>
          </w:tcPr>
          <w:p>
            <w:pPr>
              <w:jc w:val="center"/>
              <w:rPr>
                <w:rFonts w:ascii="仿宋" w:hAnsi="仿宋" w:eastAsia="仿宋" w:cs="仿宋"/>
                <w:sz w:val="24"/>
              </w:rPr>
            </w:pPr>
            <w:r>
              <w:rPr>
                <w:rFonts w:hint="eastAsia" w:ascii="仿宋" w:hAnsi="仿宋" w:eastAsia="仿宋" w:cs="仿宋"/>
                <w:sz w:val="24"/>
              </w:rPr>
              <w:t>照明、清洁</w:t>
            </w:r>
          </w:p>
        </w:tc>
        <w:tc>
          <w:tcPr>
            <w:tcW w:w="842" w:type="dxa"/>
            <w:vAlign w:val="center"/>
          </w:tcPr>
          <w:p>
            <w:pPr>
              <w:jc w:val="center"/>
              <w:rPr>
                <w:rFonts w:ascii="仿宋" w:hAnsi="仿宋" w:eastAsia="仿宋" w:cs="仿宋"/>
                <w:sz w:val="24"/>
              </w:rPr>
            </w:pPr>
            <w:r>
              <w:rPr>
                <w:rFonts w:hint="eastAsia" w:ascii="仿宋" w:hAnsi="仿宋" w:eastAsia="仿宋" w:cs="仿宋"/>
                <w:sz w:val="24"/>
              </w:rPr>
              <w:t>5分</w:t>
            </w:r>
          </w:p>
        </w:tc>
        <w:tc>
          <w:tcPr>
            <w:tcW w:w="4769" w:type="dxa"/>
            <w:gridSpan w:val="3"/>
            <w:vAlign w:val="center"/>
          </w:tcPr>
          <w:p>
            <w:pPr>
              <w:ind w:left="360" w:hanging="360" w:hangingChars="150"/>
              <w:jc w:val="left"/>
              <w:rPr>
                <w:rFonts w:ascii="仿宋" w:hAnsi="仿宋" w:eastAsia="仿宋" w:cs="仿宋"/>
                <w:sz w:val="24"/>
              </w:rPr>
            </w:pPr>
            <w:r>
              <w:rPr>
                <w:rFonts w:hint="eastAsia" w:ascii="仿宋" w:hAnsi="仿宋" w:eastAsia="仿宋" w:cs="仿宋"/>
                <w:sz w:val="24"/>
              </w:rPr>
              <w:t>1、轿厢、底坑井道照明及轿箱内、厅门处信号灯，发现一处不合格扣5分</w:t>
            </w:r>
          </w:p>
          <w:p>
            <w:pPr>
              <w:jc w:val="left"/>
              <w:rPr>
                <w:rFonts w:ascii="仿宋" w:hAnsi="仿宋" w:eastAsia="仿宋" w:cs="仿宋"/>
                <w:sz w:val="24"/>
              </w:rPr>
            </w:pPr>
            <w:r>
              <w:rPr>
                <w:rFonts w:hint="eastAsia" w:ascii="仿宋" w:hAnsi="仿宋" w:eastAsia="仿宋" w:cs="仿宋"/>
                <w:sz w:val="24"/>
              </w:rPr>
              <w:t>2、机房设备、轿厢顶棚、清洁卫生不合格一处扣5分</w:t>
            </w:r>
          </w:p>
        </w:tc>
        <w:tc>
          <w:tcPr>
            <w:tcW w:w="2139" w:type="dxa"/>
            <w:gridSpan w:val="2"/>
            <w:vAlign w:val="center"/>
          </w:tcPr>
          <w:p>
            <w:pPr>
              <w:jc w:val="center"/>
              <w:rPr>
                <w:rFonts w:ascii="仿宋" w:hAnsi="仿宋" w:eastAsia="仿宋" w:cs="仿宋"/>
                <w:sz w:val="24"/>
              </w:rPr>
            </w:pPr>
          </w:p>
        </w:tc>
        <w:tc>
          <w:tcPr>
            <w:tcW w:w="758" w:type="dxa"/>
            <w:vAlign w:val="center"/>
          </w:tcPr>
          <w:p>
            <w:pPr>
              <w:jc w:val="center"/>
              <w:rPr>
                <w:rFonts w:ascii="仿宋" w:hAnsi="仿宋" w:eastAsia="仿宋" w:cs="仿宋"/>
                <w:sz w:val="24"/>
              </w:rPr>
            </w:pPr>
          </w:p>
        </w:tc>
        <w:tc>
          <w:tcPr>
            <w:tcW w:w="855"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496" w:type="dxa"/>
            <w:vAlign w:val="center"/>
          </w:tcPr>
          <w:p>
            <w:pPr>
              <w:jc w:val="center"/>
              <w:rPr>
                <w:rFonts w:ascii="仿宋" w:hAnsi="仿宋" w:eastAsia="仿宋" w:cs="仿宋"/>
                <w:sz w:val="24"/>
              </w:rPr>
            </w:pPr>
            <w:r>
              <w:rPr>
                <w:rFonts w:hint="eastAsia" w:ascii="仿宋" w:hAnsi="仿宋" w:eastAsia="仿宋" w:cs="仿宋"/>
                <w:sz w:val="24"/>
              </w:rPr>
              <w:t>7</w:t>
            </w:r>
          </w:p>
        </w:tc>
        <w:tc>
          <w:tcPr>
            <w:tcW w:w="1253" w:type="dxa"/>
            <w:gridSpan w:val="2"/>
            <w:vAlign w:val="center"/>
          </w:tcPr>
          <w:p>
            <w:pPr>
              <w:jc w:val="center"/>
              <w:rPr>
                <w:rFonts w:ascii="仿宋" w:hAnsi="仿宋" w:eastAsia="仿宋" w:cs="仿宋"/>
                <w:sz w:val="24"/>
              </w:rPr>
            </w:pPr>
            <w:r>
              <w:rPr>
                <w:rFonts w:hint="eastAsia" w:ascii="仿宋" w:hAnsi="仿宋" w:eastAsia="仿宋" w:cs="仿宋"/>
                <w:sz w:val="24"/>
              </w:rPr>
              <w:t>服务态度</w:t>
            </w:r>
          </w:p>
        </w:tc>
        <w:tc>
          <w:tcPr>
            <w:tcW w:w="842" w:type="dxa"/>
            <w:vAlign w:val="center"/>
          </w:tcPr>
          <w:p>
            <w:pPr>
              <w:jc w:val="center"/>
              <w:rPr>
                <w:rFonts w:ascii="仿宋" w:hAnsi="仿宋" w:eastAsia="仿宋" w:cs="仿宋"/>
                <w:sz w:val="24"/>
              </w:rPr>
            </w:pPr>
            <w:r>
              <w:rPr>
                <w:rFonts w:hint="eastAsia" w:ascii="仿宋" w:hAnsi="仿宋" w:eastAsia="仿宋" w:cs="仿宋"/>
                <w:sz w:val="24"/>
              </w:rPr>
              <w:t>5分</w:t>
            </w:r>
          </w:p>
        </w:tc>
        <w:tc>
          <w:tcPr>
            <w:tcW w:w="4769" w:type="dxa"/>
            <w:gridSpan w:val="3"/>
            <w:vAlign w:val="center"/>
          </w:tcPr>
          <w:p>
            <w:pPr>
              <w:numPr>
                <w:ilvl w:val="0"/>
                <w:numId w:val="7"/>
              </w:numPr>
              <w:jc w:val="left"/>
              <w:rPr>
                <w:rFonts w:ascii="仿宋" w:hAnsi="仿宋" w:eastAsia="仿宋" w:cs="仿宋"/>
                <w:sz w:val="24"/>
              </w:rPr>
            </w:pPr>
            <w:r>
              <w:rPr>
                <w:rFonts w:hint="eastAsia" w:ascii="仿宋" w:hAnsi="仿宋" w:eastAsia="仿宋" w:cs="仿宋"/>
                <w:sz w:val="24"/>
              </w:rPr>
              <w:t>积极配合、服从管理、服从安排、未做到每次扣5分</w:t>
            </w:r>
          </w:p>
          <w:p>
            <w:pPr>
              <w:numPr>
                <w:ilvl w:val="0"/>
                <w:numId w:val="7"/>
              </w:numPr>
              <w:jc w:val="left"/>
              <w:rPr>
                <w:rFonts w:ascii="仿宋" w:hAnsi="仿宋" w:eastAsia="仿宋" w:cs="仿宋"/>
                <w:sz w:val="24"/>
              </w:rPr>
            </w:pPr>
            <w:r>
              <w:rPr>
                <w:rFonts w:hint="eastAsia" w:ascii="仿宋" w:hAnsi="仿宋" w:eastAsia="仿宋" w:cs="仿宋"/>
                <w:sz w:val="24"/>
              </w:rPr>
              <w:t>维保、维修期间发现一次不穿工装扣5分</w:t>
            </w:r>
          </w:p>
          <w:p>
            <w:pPr>
              <w:numPr>
                <w:ilvl w:val="0"/>
                <w:numId w:val="7"/>
              </w:numPr>
              <w:jc w:val="left"/>
              <w:rPr>
                <w:rFonts w:ascii="仿宋" w:hAnsi="仿宋" w:eastAsia="仿宋" w:cs="仿宋"/>
                <w:sz w:val="24"/>
              </w:rPr>
            </w:pPr>
            <w:r>
              <w:rPr>
                <w:rFonts w:hint="eastAsia" w:ascii="仿宋" w:hAnsi="仿宋" w:eastAsia="仿宋" w:cs="仿宋"/>
                <w:sz w:val="24"/>
              </w:rPr>
              <w:t>未持证上岗或者上岗证过期一次扣5分</w:t>
            </w:r>
          </w:p>
        </w:tc>
        <w:tc>
          <w:tcPr>
            <w:tcW w:w="2139" w:type="dxa"/>
            <w:gridSpan w:val="2"/>
            <w:vAlign w:val="center"/>
          </w:tcPr>
          <w:p>
            <w:pPr>
              <w:jc w:val="center"/>
              <w:rPr>
                <w:rFonts w:ascii="仿宋" w:hAnsi="仿宋" w:eastAsia="仿宋" w:cs="仿宋"/>
                <w:sz w:val="24"/>
              </w:rPr>
            </w:pPr>
          </w:p>
        </w:tc>
        <w:tc>
          <w:tcPr>
            <w:tcW w:w="758" w:type="dxa"/>
            <w:vAlign w:val="center"/>
          </w:tcPr>
          <w:p>
            <w:pPr>
              <w:jc w:val="center"/>
              <w:rPr>
                <w:rFonts w:ascii="仿宋" w:hAnsi="仿宋" w:eastAsia="仿宋" w:cs="仿宋"/>
                <w:sz w:val="24"/>
              </w:rPr>
            </w:pPr>
          </w:p>
        </w:tc>
        <w:tc>
          <w:tcPr>
            <w:tcW w:w="855"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54" w:type="dxa"/>
            <w:gridSpan w:val="2"/>
            <w:vAlign w:val="center"/>
          </w:tcPr>
          <w:p>
            <w:pPr>
              <w:jc w:val="center"/>
              <w:rPr>
                <w:rFonts w:ascii="仿宋" w:hAnsi="仿宋" w:eastAsia="仿宋" w:cs="仿宋"/>
                <w:sz w:val="24"/>
              </w:rPr>
            </w:pPr>
            <w:r>
              <w:rPr>
                <w:rFonts w:hint="eastAsia" w:ascii="仿宋" w:hAnsi="仿宋" w:eastAsia="仿宋" w:cs="仿宋"/>
                <w:sz w:val="24"/>
              </w:rPr>
              <w:t>维保站负责人签字</w:t>
            </w:r>
          </w:p>
        </w:tc>
        <w:tc>
          <w:tcPr>
            <w:tcW w:w="2449" w:type="dxa"/>
            <w:gridSpan w:val="3"/>
            <w:vAlign w:val="center"/>
          </w:tcPr>
          <w:p>
            <w:pPr>
              <w:jc w:val="center"/>
              <w:rPr>
                <w:rFonts w:ascii="仿宋" w:hAnsi="仿宋" w:eastAsia="仿宋" w:cs="仿宋"/>
                <w:sz w:val="24"/>
              </w:rPr>
            </w:pPr>
          </w:p>
        </w:tc>
        <w:tc>
          <w:tcPr>
            <w:tcW w:w="1260" w:type="dxa"/>
            <w:vAlign w:val="center"/>
          </w:tcPr>
          <w:p>
            <w:pPr>
              <w:jc w:val="center"/>
              <w:rPr>
                <w:rFonts w:ascii="仿宋" w:hAnsi="仿宋" w:eastAsia="仿宋" w:cs="仿宋"/>
                <w:sz w:val="24"/>
              </w:rPr>
            </w:pPr>
            <w:r>
              <w:rPr>
                <w:rFonts w:hint="eastAsia" w:ascii="仿宋" w:hAnsi="仿宋" w:eastAsia="仿宋" w:cs="仿宋"/>
                <w:sz w:val="24"/>
              </w:rPr>
              <w:t>工程主管签字</w:t>
            </w:r>
          </w:p>
        </w:tc>
        <w:tc>
          <w:tcPr>
            <w:tcW w:w="2197" w:type="dxa"/>
            <w:vAlign w:val="center"/>
          </w:tcPr>
          <w:p>
            <w:pPr>
              <w:jc w:val="center"/>
              <w:rPr>
                <w:rFonts w:ascii="仿宋" w:hAnsi="仿宋" w:eastAsia="仿宋" w:cs="仿宋"/>
                <w:sz w:val="24"/>
              </w:rPr>
            </w:pPr>
          </w:p>
        </w:tc>
        <w:tc>
          <w:tcPr>
            <w:tcW w:w="761" w:type="dxa"/>
            <w:vAlign w:val="center"/>
          </w:tcPr>
          <w:p>
            <w:pPr>
              <w:jc w:val="center"/>
              <w:rPr>
                <w:rFonts w:ascii="仿宋" w:hAnsi="仿宋" w:eastAsia="仿宋" w:cs="仿宋"/>
                <w:sz w:val="24"/>
              </w:rPr>
            </w:pPr>
            <w:r>
              <w:rPr>
                <w:rFonts w:hint="eastAsia" w:ascii="仿宋" w:hAnsi="仿宋" w:eastAsia="仿宋" w:cs="仿宋"/>
                <w:sz w:val="24"/>
              </w:rPr>
              <w:t>项目经理签字</w:t>
            </w:r>
          </w:p>
        </w:tc>
        <w:tc>
          <w:tcPr>
            <w:tcW w:w="2991" w:type="dxa"/>
            <w:gridSpan w:val="3"/>
            <w:vAlign w:val="center"/>
          </w:tcPr>
          <w:p>
            <w:pPr>
              <w:jc w:val="center"/>
              <w:rPr>
                <w:rFonts w:ascii="仿宋" w:hAnsi="仿宋" w:eastAsia="仿宋" w:cs="仿宋"/>
                <w:sz w:val="24"/>
              </w:rPr>
            </w:pPr>
          </w:p>
        </w:tc>
      </w:tr>
    </w:tbl>
    <w:p>
      <w:pPr>
        <w:spacing w:line="440" w:lineRule="exact"/>
        <w:ind w:left="-899" w:leftChars="-428" w:right="-981" w:rightChars="-467"/>
        <w:jc w:val="center"/>
        <w:rPr>
          <w:rFonts w:ascii="仿宋" w:hAnsi="仿宋" w:eastAsia="仿宋" w:cs="仿宋"/>
          <w:b/>
          <w:sz w:val="44"/>
          <w:szCs w:val="44"/>
        </w:rPr>
      </w:pPr>
      <w:r>
        <w:rPr>
          <w:rFonts w:hint="eastAsia" w:ascii="仿宋" w:hAnsi="仿宋" w:eastAsia="仿宋" w:cs="仿宋"/>
          <w:sz w:val="28"/>
          <w:szCs w:val="28"/>
        </w:rPr>
        <w:t>项目名称：            电梯维保公司：                   年    月     日</w:t>
      </w:r>
    </w:p>
    <w:p>
      <w:pPr>
        <w:ind w:left="-718" w:leftChars="-342" w:firstLine="560" w:firstLineChars="200"/>
        <w:rPr>
          <w:rFonts w:ascii="仿宋" w:hAnsi="仿宋" w:eastAsia="仿宋" w:cs="仿宋"/>
          <w:szCs w:val="21"/>
        </w:rPr>
      </w:pPr>
      <w:r>
        <w:rPr>
          <w:rFonts w:hint="eastAsia" w:ascii="仿宋" w:hAnsi="仿宋" w:eastAsia="仿宋" w:cs="仿宋"/>
          <w:sz w:val="28"/>
          <w:szCs w:val="28"/>
        </w:rPr>
        <w:t>说明：本表一式叁份，项目部存档一份、维保公司一份。</w:t>
      </w:r>
    </w:p>
    <w:sectPr>
      <w:pgSz w:w="11906" w:h="16838"/>
      <w:pgMar w:top="1440" w:right="612" w:bottom="1440" w:left="896" w:header="851" w:footer="992" w:gutter="0"/>
      <w:cols w:space="72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utch801 Rm BT">
    <w:panose1 w:val="02020603060505020304"/>
    <w:charset w:val="00"/>
    <w:family w:val="roman"/>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C0A59"/>
    <w:multiLevelType w:val="singleLevel"/>
    <w:tmpl w:val="8ACC0A59"/>
    <w:lvl w:ilvl="0" w:tentative="0">
      <w:start w:val="2"/>
      <w:numFmt w:val="decimal"/>
      <w:suff w:val="nothing"/>
      <w:lvlText w:val="%1、"/>
      <w:lvlJc w:val="left"/>
    </w:lvl>
  </w:abstractNum>
  <w:abstractNum w:abstractNumId="1">
    <w:nsid w:val="8E49FEAF"/>
    <w:multiLevelType w:val="singleLevel"/>
    <w:tmpl w:val="8E49FEAF"/>
    <w:lvl w:ilvl="0" w:tentative="0">
      <w:start w:val="6"/>
      <w:numFmt w:val="chineseCounting"/>
      <w:suff w:val="nothing"/>
      <w:lvlText w:val="（%1）"/>
      <w:lvlJc w:val="left"/>
      <w:rPr>
        <w:rFonts w:hint="eastAsia"/>
      </w:rPr>
    </w:lvl>
  </w:abstractNum>
  <w:abstractNum w:abstractNumId="2">
    <w:nsid w:val="9B751592"/>
    <w:multiLevelType w:val="singleLevel"/>
    <w:tmpl w:val="9B751592"/>
    <w:lvl w:ilvl="0" w:tentative="0">
      <w:start w:val="3"/>
      <w:numFmt w:val="chineseCounting"/>
      <w:suff w:val="nothing"/>
      <w:lvlText w:val="%1、"/>
      <w:lvlJc w:val="left"/>
      <w:rPr>
        <w:rFonts w:hint="eastAsia"/>
      </w:rPr>
    </w:lvl>
  </w:abstractNum>
  <w:abstractNum w:abstractNumId="3">
    <w:nsid w:val="E2938495"/>
    <w:multiLevelType w:val="singleLevel"/>
    <w:tmpl w:val="E2938495"/>
    <w:lvl w:ilvl="0" w:tentative="0">
      <w:start w:val="2"/>
      <w:numFmt w:val="chineseCounting"/>
      <w:suff w:val="nothing"/>
      <w:lvlText w:val="（%1）"/>
      <w:lvlJc w:val="left"/>
      <w:rPr>
        <w:rFonts w:hint="eastAsia"/>
      </w:rPr>
    </w:lvl>
  </w:abstractNum>
  <w:abstractNum w:abstractNumId="4">
    <w:nsid w:val="00000003"/>
    <w:multiLevelType w:val="multilevel"/>
    <w:tmpl w:val="00000003"/>
    <w:lvl w:ilvl="0" w:tentative="0">
      <w:start w:val="1"/>
      <w:numFmt w:val="decimal"/>
      <w:pStyle w:val="15"/>
      <w:suff w:val="space"/>
      <w:lvlText w:val="%1."/>
      <w:lvlJc w:val="left"/>
      <w:pPr>
        <w:ind w:left="709" w:hanging="709"/>
      </w:pPr>
      <w:rPr>
        <w:rFonts w:hint="eastAsia"/>
      </w:rPr>
    </w:lvl>
    <w:lvl w:ilvl="1" w:tentative="0">
      <w:start w:val="1"/>
      <w:numFmt w:val="decimal"/>
      <w:suff w:val="space"/>
      <w:lvlText w:val="%2."/>
      <w:lvlJc w:val="left"/>
      <w:pPr>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4FEE7BFA"/>
    <w:multiLevelType w:val="singleLevel"/>
    <w:tmpl w:val="4FEE7BFA"/>
    <w:lvl w:ilvl="0" w:tentative="0">
      <w:start w:val="1"/>
      <w:numFmt w:val="decimal"/>
      <w:suff w:val="space"/>
      <w:lvlText w:val="%1."/>
      <w:lvlJc w:val="left"/>
      <w:rPr>
        <w:color w:val="auto"/>
      </w:rPr>
    </w:lvl>
  </w:abstractNum>
  <w:abstractNum w:abstractNumId="6">
    <w:nsid w:val="5F7A0EA8"/>
    <w:multiLevelType w:val="multilevel"/>
    <w:tmpl w:val="5F7A0EA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D6F"/>
    <w:rsid w:val="000008D3"/>
    <w:rsid w:val="000052CC"/>
    <w:rsid w:val="00011FB4"/>
    <w:rsid w:val="00012213"/>
    <w:rsid w:val="00014FBD"/>
    <w:rsid w:val="0002637F"/>
    <w:rsid w:val="00034206"/>
    <w:rsid w:val="00045277"/>
    <w:rsid w:val="00067FD8"/>
    <w:rsid w:val="000A37B0"/>
    <w:rsid w:val="000A7EC7"/>
    <w:rsid w:val="000B3D49"/>
    <w:rsid w:val="000C7D63"/>
    <w:rsid w:val="000E09D0"/>
    <w:rsid w:val="00120E7A"/>
    <w:rsid w:val="00126BE8"/>
    <w:rsid w:val="00136D1E"/>
    <w:rsid w:val="00147748"/>
    <w:rsid w:val="00155DCF"/>
    <w:rsid w:val="00157BE0"/>
    <w:rsid w:val="00180AA0"/>
    <w:rsid w:val="00181803"/>
    <w:rsid w:val="00196AAD"/>
    <w:rsid w:val="001A2FCF"/>
    <w:rsid w:val="001A73E2"/>
    <w:rsid w:val="001B53E0"/>
    <w:rsid w:val="001B73E7"/>
    <w:rsid w:val="001D1744"/>
    <w:rsid w:val="001F774B"/>
    <w:rsid w:val="00201FFB"/>
    <w:rsid w:val="00225BF9"/>
    <w:rsid w:val="00227E58"/>
    <w:rsid w:val="00232E3E"/>
    <w:rsid w:val="002357A7"/>
    <w:rsid w:val="002449BC"/>
    <w:rsid w:val="0027526D"/>
    <w:rsid w:val="00276C5A"/>
    <w:rsid w:val="0028468E"/>
    <w:rsid w:val="002876CF"/>
    <w:rsid w:val="002A456C"/>
    <w:rsid w:val="002A4EAC"/>
    <w:rsid w:val="002B53A6"/>
    <w:rsid w:val="002C3A6C"/>
    <w:rsid w:val="002D64F0"/>
    <w:rsid w:val="002D7496"/>
    <w:rsid w:val="002F3D9A"/>
    <w:rsid w:val="002F7A38"/>
    <w:rsid w:val="00310C08"/>
    <w:rsid w:val="00330120"/>
    <w:rsid w:val="00340032"/>
    <w:rsid w:val="0034151F"/>
    <w:rsid w:val="00344096"/>
    <w:rsid w:val="003532B6"/>
    <w:rsid w:val="003662A3"/>
    <w:rsid w:val="003907E6"/>
    <w:rsid w:val="003918B5"/>
    <w:rsid w:val="003956C1"/>
    <w:rsid w:val="003A093C"/>
    <w:rsid w:val="003A3C42"/>
    <w:rsid w:val="003B3D6F"/>
    <w:rsid w:val="003E0D3C"/>
    <w:rsid w:val="003F0113"/>
    <w:rsid w:val="003F3EED"/>
    <w:rsid w:val="003F644F"/>
    <w:rsid w:val="0040144C"/>
    <w:rsid w:val="004052C9"/>
    <w:rsid w:val="00421BEE"/>
    <w:rsid w:val="004237D9"/>
    <w:rsid w:val="004466E5"/>
    <w:rsid w:val="00452E16"/>
    <w:rsid w:val="004663A1"/>
    <w:rsid w:val="00477AE6"/>
    <w:rsid w:val="00487FE3"/>
    <w:rsid w:val="004908FB"/>
    <w:rsid w:val="00496C35"/>
    <w:rsid w:val="00497E1A"/>
    <w:rsid w:val="004A1137"/>
    <w:rsid w:val="004A429E"/>
    <w:rsid w:val="004A640C"/>
    <w:rsid w:val="004B34ED"/>
    <w:rsid w:val="004B52C0"/>
    <w:rsid w:val="004B70F0"/>
    <w:rsid w:val="004C10EF"/>
    <w:rsid w:val="004C14D9"/>
    <w:rsid w:val="004D53D1"/>
    <w:rsid w:val="004D56D1"/>
    <w:rsid w:val="004E0ECE"/>
    <w:rsid w:val="004E1EE4"/>
    <w:rsid w:val="00501F81"/>
    <w:rsid w:val="00502A4F"/>
    <w:rsid w:val="00505B3F"/>
    <w:rsid w:val="005108D8"/>
    <w:rsid w:val="0053355D"/>
    <w:rsid w:val="00546929"/>
    <w:rsid w:val="00552849"/>
    <w:rsid w:val="0055603A"/>
    <w:rsid w:val="005700D7"/>
    <w:rsid w:val="00572F89"/>
    <w:rsid w:val="0059420F"/>
    <w:rsid w:val="00595F86"/>
    <w:rsid w:val="005A0C13"/>
    <w:rsid w:val="005B0ADB"/>
    <w:rsid w:val="005B4F03"/>
    <w:rsid w:val="005C0F0D"/>
    <w:rsid w:val="005D1DAB"/>
    <w:rsid w:val="005D79FC"/>
    <w:rsid w:val="005E2F31"/>
    <w:rsid w:val="005E5B16"/>
    <w:rsid w:val="005E6478"/>
    <w:rsid w:val="005E6C47"/>
    <w:rsid w:val="005E6FC4"/>
    <w:rsid w:val="005F197D"/>
    <w:rsid w:val="00600987"/>
    <w:rsid w:val="00605FEC"/>
    <w:rsid w:val="00614038"/>
    <w:rsid w:val="0063159C"/>
    <w:rsid w:val="00640832"/>
    <w:rsid w:val="00645B15"/>
    <w:rsid w:val="0066223E"/>
    <w:rsid w:val="0066644E"/>
    <w:rsid w:val="00683B73"/>
    <w:rsid w:val="00694F80"/>
    <w:rsid w:val="00696AE9"/>
    <w:rsid w:val="006C4BE9"/>
    <w:rsid w:val="006E1583"/>
    <w:rsid w:val="006E4E90"/>
    <w:rsid w:val="006E7046"/>
    <w:rsid w:val="0070213D"/>
    <w:rsid w:val="00705990"/>
    <w:rsid w:val="00706262"/>
    <w:rsid w:val="00725883"/>
    <w:rsid w:val="00735C21"/>
    <w:rsid w:val="00737419"/>
    <w:rsid w:val="00752722"/>
    <w:rsid w:val="007572D9"/>
    <w:rsid w:val="00767537"/>
    <w:rsid w:val="00774886"/>
    <w:rsid w:val="007A300E"/>
    <w:rsid w:val="007A3642"/>
    <w:rsid w:val="007B6792"/>
    <w:rsid w:val="007C4D52"/>
    <w:rsid w:val="007E065B"/>
    <w:rsid w:val="007E48C1"/>
    <w:rsid w:val="007F113E"/>
    <w:rsid w:val="007F1304"/>
    <w:rsid w:val="007F3549"/>
    <w:rsid w:val="0081210C"/>
    <w:rsid w:val="00834E1A"/>
    <w:rsid w:val="00857E27"/>
    <w:rsid w:val="0087040D"/>
    <w:rsid w:val="00870B75"/>
    <w:rsid w:val="00876286"/>
    <w:rsid w:val="00881F36"/>
    <w:rsid w:val="008A5693"/>
    <w:rsid w:val="008A6E7E"/>
    <w:rsid w:val="008B2CBE"/>
    <w:rsid w:val="008B73BC"/>
    <w:rsid w:val="008B7D1D"/>
    <w:rsid w:val="008C25E2"/>
    <w:rsid w:val="008C5851"/>
    <w:rsid w:val="008C6B17"/>
    <w:rsid w:val="008D442F"/>
    <w:rsid w:val="008E392C"/>
    <w:rsid w:val="008E4A16"/>
    <w:rsid w:val="008E642A"/>
    <w:rsid w:val="008E7A92"/>
    <w:rsid w:val="00904114"/>
    <w:rsid w:val="00906FBC"/>
    <w:rsid w:val="0092656D"/>
    <w:rsid w:val="0092664F"/>
    <w:rsid w:val="00953C07"/>
    <w:rsid w:val="00953EF4"/>
    <w:rsid w:val="00956E61"/>
    <w:rsid w:val="009655AC"/>
    <w:rsid w:val="009666FD"/>
    <w:rsid w:val="00971880"/>
    <w:rsid w:val="009A3EA5"/>
    <w:rsid w:val="009A7FAC"/>
    <w:rsid w:val="009B16CF"/>
    <w:rsid w:val="009B18CC"/>
    <w:rsid w:val="009B469A"/>
    <w:rsid w:val="009C6ADF"/>
    <w:rsid w:val="009D66E9"/>
    <w:rsid w:val="009E0312"/>
    <w:rsid w:val="009E5442"/>
    <w:rsid w:val="009E746C"/>
    <w:rsid w:val="009F36CD"/>
    <w:rsid w:val="009F4F2C"/>
    <w:rsid w:val="00A10D5A"/>
    <w:rsid w:val="00A25658"/>
    <w:rsid w:val="00A32976"/>
    <w:rsid w:val="00A44E6C"/>
    <w:rsid w:val="00A45D8F"/>
    <w:rsid w:val="00A560E2"/>
    <w:rsid w:val="00A75DE8"/>
    <w:rsid w:val="00A90A3B"/>
    <w:rsid w:val="00AA3D16"/>
    <w:rsid w:val="00AB0B22"/>
    <w:rsid w:val="00AB23FB"/>
    <w:rsid w:val="00AB385E"/>
    <w:rsid w:val="00AB4AA7"/>
    <w:rsid w:val="00AD5ACF"/>
    <w:rsid w:val="00AD71AA"/>
    <w:rsid w:val="00AF0B6B"/>
    <w:rsid w:val="00AF5747"/>
    <w:rsid w:val="00B00BE2"/>
    <w:rsid w:val="00B0633D"/>
    <w:rsid w:val="00B12B5A"/>
    <w:rsid w:val="00B13384"/>
    <w:rsid w:val="00B3628B"/>
    <w:rsid w:val="00B3673F"/>
    <w:rsid w:val="00B40549"/>
    <w:rsid w:val="00B611BF"/>
    <w:rsid w:val="00B64188"/>
    <w:rsid w:val="00B906FA"/>
    <w:rsid w:val="00B96C40"/>
    <w:rsid w:val="00BA097B"/>
    <w:rsid w:val="00BA16C4"/>
    <w:rsid w:val="00BA7A51"/>
    <w:rsid w:val="00BC4CC9"/>
    <w:rsid w:val="00BC7D06"/>
    <w:rsid w:val="00BD527A"/>
    <w:rsid w:val="00BD6639"/>
    <w:rsid w:val="00BD7F5D"/>
    <w:rsid w:val="00BE0771"/>
    <w:rsid w:val="00BE2F8D"/>
    <w:rsid w:val="00BE3B63"/>
    <w:rsid w:val="00BE6FA4"/>
    <w:rsid w:val="00BF08BF"/>
    <w:rsid w:val="00BF0C6B"/>
    <w:rsid w:val="00BF65A6"/>
    <w:rsid w:val="00C035F9"/>
    <w:rsid w:val="00C06372"/>
    <w:rsid w:val="00C07CF2"/>
    <w:rsid w:val="00C11311"/>
    <w:rsid w:val="00C30981"/>
    <w:rsid w:val="00C33DA9"/>
    <w:rsid w:val="00C43B81"/>
    <w:rsid w:val="00C44E46"/>
    <w:rsid w:val="00C54CB9"/>
    <w:rsid w:val="00C66102"/>
    <w:rsid w:val="00C66407"/>
    <w:rsid w:val="00C85935"/>
    <w:rsid w:val="00C87A79"/>
    <w:rsid w:val="00CA1941"/>
    <w:rsid w:val="00CE49D9"/>
    <w:rsid w:val="00CF50EB"/>
    <w:rsid w:val="00D012E2"/>
    <w:rsid w:val="00D01380"/>
    <w:rsid w:val="00D12E37"/>
    <w:rsid w:val="00D179DD"/>
    <w:rsid w:val="00D25F07"/>
    <w:rsid w:val="00D33FF2"/>
    <w:rsid w:val="00D37EFE"/>
    <w:rsid w:val="00D41A06"/>
    <w:rsid w:val="00D55C0F"/>
    <w:rsid w:val="00D844E6"/>
    <w:rsid w:val="00D9073C"/>
    <w:rsid w:val="00D9332D"/>
    <w:rsid w:val="00DA37CE"/>
    <w:rsid w:val="00DB0917"/>
    <w:rsid w:val="00DB10CA"/>
    <w:rsid w:val="00DB618A"/>
    <w:rsid w:val="00DC3EBA"/>
    <w:rsid w:val="00DE61A5"/>
    <w:rsid w:val="00E00605"/>
    <w:rsid w:val="00E03BE0"/>
    <w:rsid w:val="00E04258"/>
    <w:rsid w:val="00E10C03"/>
    <w:rsid w:val="00E22575"/>
    <w:rsid w:val="00E26414"/>
    <w:rsid w:val="00E277F1"/>
    <w:rsid w:val="00E33CC6"/>
    <w:rsid w:val="00E37B38"/>
    <w:rsid w:val="00E37F38"/>
    <w:rsid w:val="00E43040"/>
    <w:rsid w:val="00E53532"/>
    <w:rsid w:val="00E55735"/>
    <w:rsid w:val="00E73BD3"/>
    <w:rsid w:val="00E76AE6"/>
    <w:rsid w:val="00E874B1"/>
    <w:rsid w:val="00E91116"/>
    <w:rsid w:val="00E92E62"/>
    <w:rsid w:val="00E954A7"/>
    <w:rsid w:val="00EA1A87"/>
    <w:rsid w:val="00EA426B"/>
    <w:rsid w:val="00EA5628"/>
    <w:rsid w:val="00EB2D59"/>
    <w:rsid w:val="00ED2341"/>
    <w:rsid w:val="00ED4CCE"/>
    <w:rsid w:val="00ED6EF9"/>
    <w:rsid w:val="00EE0A7B"/>
    <w:rsid w:val="00F018B3"/>
    <w:rsid w:val="00F03C15"/>
    <w:rsid w:val="00F203C6"/>
    <w:rsid w:val="00F20EAA"/>
    <w:rsid w:val="00F30BAE"/>
    <w:rsid w:val="00F34C9B"/>
    <w:rsid w:val="00F36543"/>
    <w:rsid w:val="00F37FE9"/>
    <w:rsid w:val="00F4690C"/>
    <w:rsid w:val="00F60C2F"/>
    <w:rsid w:val="00F77202"/>
    <w:rsid w:val="00F77D6F"/>
    <w:rsid w:val="00F77D84"/>
    <w:rsid w:val="00F92831"/>
    <w:rsid w:val="00F946A2"/>
    <w:rsid w:val="00FB20D8"/>
    <w:rsid w:val="00FB4FB9"/>
    <w:rsid w:val="00FB5F3C"/>
    <w:rsid w:val="00FD1376"/>
    <w:rsid w:val="00FE7791"/>
    <w:rsid w:val="00FF2A5F"/>
    <w:rsid w:val="00FF3FAB"/>
    <w:rsid w:val="00FF4FD4"/>
    <w:rsid w:val="00FF6B81"/>
    <w:rsid w:val="02972450"/>
    <w:rsid w:val="0A7E2354"/>
    <w:rsid w:val="0A86259B"/>
    <w:rsid w:val="0AAA5247"/>
    <w:rsid w:val="0D7D302A"/>
    <w:rsid w:val="146D41BD"/>
    <w:rsid w:val="16D3345A"/>
    <w:rsid w:val="185F679A"/>
    <w:rsid w:val="1AFD2FB1"/>
    <w:rsid w:val="216016B7"/>
    <w:rsid w:val="21EC1B0C"/>
    <w:rsid w:val="22D05BB5"/>
    <w:rsid w:val="2FBD3D43"/>
    <w:rsid w:val="360139E1"/>
    <w:rsid w:val="37243BAB"/>
    <w:rsid w:val="3B266ADD"/>
    <w:rsid w:val="4442254E"/>
    <w:rsid w:val="50BC37D3"/>
    <w:rsid w:val="54B700DF"/>
    <w:rsid w:val="5B157AE5"/>
    <w:rsid w:val="6A490624"/>
    <w:rsid w:val="6A6A7CD9"/>
    <w:rsid w:val="6D8F3E62"/>
    <w:rsid w:val="6E9F7D86"/>
    <w:rsid w:val="71231279"/>
    <w:rsid w:val="73E06191"/>
    <w:rsid w:val="77BB7F78"/>
    <w:rsid w:val="78C85986"/>
    <w:rsid w:val="79A86E1D"/>
    <w:rsid w:val="7DFB28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utch801 Rm BT" w:hAnsi="Dutch801 Rm BT" w:eastAsia="宋体" w:cs="Dutch801 Rm BT"/>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样式1"/>
    <w:basedOn w:val="1"/>
    <w:qFormat/>
    <w:uiPriority w:val="0"/>
    <w:pPr>
      <w:numPr>
        <w:ilvl w:val="0"/>
        <w:numId w:val="1"/>
      </w:numPr>
    </w:pPr>
    <w:rPr>
      <w:rFonts w:ascii="宋体" w:hAnsi="宋体" w:eastAsia="宋体" w:cs="Times New Roman"/>
      <w:szCs w:val="21"/>
    </w:rPr>
  </w:style>
  <w:style w:type="character" w:customStyle="1" w:styleId="16">
    <w:name w:val="批注文字 字符"/>
    <w:basedOn w:val="9"/>
    <w:link w:val="2"/>
    <w:semiHidden/>
    <w:qFormat/>
    <w:uiPriority w:val="99"/>
  </w:style>
  <w:style w:type="character" w:customStyle="1" w:styleId="17">
    <w:name w:val="批注主题 字符"/>
    <w:basedOn w:val="16"/>
    <w:link w:val="6"/>
    <w:semiHidden/>
    <w:qFormat/>
    <w:uiPriority w:val="99"/>
    <w:rPr>
      <w:b/>
      <w:bCs/>
    </w:rPr>
  </w:style>
  <w:style w:type="character" w:customStyle="1" w:styleId="18">
    <w:name w:val="font11"/>
    <w:basedOn w:val="9"/>
    <w:qFormat/>
    <w:uiPriority w:val="0"/>
    <w:rPr>
      <w:rFonts w:hint="eastAsia" w:ascii="宋体" w:hAnsi="宋体" w:eastAsia="宋体" w:cs="宋体"/>
      <w:color w:val="000000"/>
      <w:sz w:val="24"/>
      <w:szCs w:val="24"/>
    </w:rPr>
  </w:style>
  <w:style w:type="character" w:customStyle="1" w:styleId="19">
    <w:name w:val="font01"/>
    <w:basedOn w:val="9"/>
    <w:qFormat/>
    <w:uiPriority w:val="0"/>
    <w:rPr>
      <w:rFonts w:ascii="Arial" w:hAnsi="Arial" w:cs="Arial"/>
      <w:color w:val="000000"/>
      <w:sz w:val="24"/>
      <w:szCs w:val="24"/>
    </w:rPr>
  </w:style>
  <w:style w:type="paragraph" w:customStyle="1" w:styleId="20">
    <w:name w:val="标题二、"/>
    <w:basedOn w:val="1"/>
    <w:qFormat/>
    <w:uiPriority w:val="0"/>
    <w:pPr>
      <w:spacing w:line="360" w:lineRule="auto"/>
      <w:ind w:firstLine="200" w:firstLineChars="200"/>
      <w:outlineLvl w:val="2"/>
    </w:pPr>
    <w:rPr>
      <w:rFonts w:ascii="宋体" w:hAnsi="宋体"/>
      <w:b/>
      <w:szCs w:val="21"/>
    </w:rPr>
  </w:style>
  <w:style w:type="paragraph" w:customStyle="1" w:styleId="21">
    <w:name w:val="中文正文、"/>
    <w:basedOn w:val="1"/>
    <w:qFormat/>
    <w:uiPriority w:val="0"/>
    <w:pPr>
      <w:spacing w:line="360" w:lineRule="auto"/>
      <w:ind w:firstLine="420" w:firstLineChars="200"/>
      <w:jc w:val="left"/>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94B6E7-D601-4C2E-8D44-2047C73A5DA3}">
  <ds:schemaRefs/>
</ds:datastoreItem>
</file>

<file path=docProps/app.xml><?xml version="1.0" encoding="utf-8"?>
<Properties xmlns="http://schemas.openxmlformats.org/officeDocument/2006/extended-properties" xmlns:vt="http://schemas.openxmlformats.org/officeDocument/2006/docPropsVTypes">
  <Template>Normal</Template>
  <Company>cgb</Company>
  <Pages>10</Pages>
  <Words>995</Words>
  <Characters>5672</Characters>
  <Lines>47</Lines>
  <Paragraphs>13</Paragraphs>
  <TotalTime>4</TotalTime>
  <ScaleCrop>false</ScaleCrop>
  <LinksUpToDate>false</LinksUpToDate>
  <CharactersWithSpaces>6654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2021-02-25T03:32:00Z</dcterms:created>
  <dc:creator>dd</dc:creator>
  <cp:lastModifiedBy>lenovo</cp:lastModifiedBy>
  <dcterms:modified xsi:type="dcterms:W3CDTF">2021-07-01T01:59:47Z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485C85E7F5D343A3BAF8B7D0C2058D9E</vt:lpwstr>
  </property>
</Properties>
</file>